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5,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Carriage Services, Inc.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665" w:type="dxa"/>
        <w:jc w:val="center"/>
        <w:tblInd w:w="0" w:type="dxa"/>
        <w:tblLayout w:type="fixed"/>
        <w:tblCellMar>
          <w:top w:w="28" w:type="dxa"/>
          <w:left w:w="28" w:type="dxa"/>
          <w:bottom w:w="28" w:type="dxa"/>
          <w:right w:w="28" w:type="dxa"/>
        </w:tblCellMar>
      </w:tblPr>
      <w:tblGrid>
        <w:gridCol w:w="792"/>
        <w:gridCol w:w="698"/>
        <w:gridCol w:w="700"/>
        <w:gridCol w:w="109"/>
        <w:gridCol w:w="109"/>
        <w:gridCol w:w="109"/>
        <w:gridCol w:w="414"/>
        <w:gridCol w:w="414"/>
        <w:gridCol w:w="418"/>
        <w:gridCol w:w="109"/>
        <w:gridCol w:w="109"/>
        <w:gridCol w:w="109"/>
        <w:gridCol w:w="460"/>
        <w:gridCol w:w="460"/>
        <w:gridCol w:w="655"/>
      </w:tblGrid>
      <w:tr>
        <w:trPr/>
        <w:tc>
          <w:tcPr>
            <w:tcW w:w="79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1-11961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76-0423828</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i/>
                <w:color w:val="000000"/>
                <w:sz w:val="18"/>
              </w:rPr>
              <w:t>(State or other jurisdiction</w:t>
              <w:br/>
              <w:t>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i/>
                <w:color w:val="000000"/>
                <w:sz w:val="18"/>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i/>
                <w:color w:val="000000"/>
                <w:sz w:val="18"/>
              </w:rPr>
              <w:t>(IRS Employer</w:t>
              <w:br/>
              <w:t>   Identification No.)</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3040 Post Oak Boulevard, Suite 300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Houston, Texas 77056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(Address, including zip code,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color w:val="000000"/>
        </w:rPr>
      </w:pPr>
      <w:r>
        <w:rPr>
          <w:color w:val="000000"/>
        </w:rPr>
        <w:t xml:space="preserve">     </w:t>
      </w:r>
      <w:r>
        <w:rPr>
          <w:rFonts w:ascii="Times New Roman;serif" w:hAnsi="Times New Roman;serif"/>
          <w:b w:val="false"/>
          <w:color w:val="000000"/>
          <w:sz w:val="20"/>
        </w:rPr>
        <w:t xml:space="preserve">(713) 332-8400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center"/>
        <w:rPr/>
      </w:pPr>
      <w:r>
        <w:rPr/>
      </w:r>
    </w:p>
    <w:p>
      <w:pPr>
        <w:pStyle w:val="TextBody"/>
        <w:bidi w:val="0"/>
        <w:spacing w:lineRule="auto" w:line="288" w:before="0" w:after="0"/>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before="0" w:after="0"/>
        <w:ind w:left="0" w:right="0" w:hanging="36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Written communication pursuant to Rule 425 under the Securities Act (17 CFR 230.425)</w:t>
      </w:r>
    </w:p>
    <w:p>
      <w:pPr>
        <w:pStyle w:val="TextBody"/>
        <w:bidi w:val="0"/>
        <w:spacing w:before="0" w:after="0"/>
        <w:ind w:left="0" w:right="0" w:hanging="36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ind w:left="0" w:right="0" w:hanging="36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ind w:left="0" w:right="0" w:hanging="36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ind w:left="0" w:right="0" w:hanging="36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518" w:type="dxa"/>
        <w:jc w:val="left"/>
        <w:tblInd w:w="0" w:type="dxa"/>
        <w:tblLayout w:type="fixed"/>
        <w:tblCellMar>
          <w:top w:w="28" w:type="dxa"/>
          <w:left w:w="28" w:type="dxa"/>
          <w:bottom w:w="28" w:type="dxa"/>
          <w:right w:w="28" w:type="dxa"/>
        </w:tblCellMar>
      </w:tblPr>
      <w:tblGrid>
        <w:gridCol w:w="1227"/>
        <w:gridCol w:w="1075"/>
        <w:gridCol w:w="1087"/>
        <w:gridCol w:w="474"/>
        <w:gridCol w:w="474"/>
        <w:gridCol w:w="476"/>
        <w:gridCol w:w="1085"/>
        <w:gridCol w:w="1085"/>
        <w:gridCol w:w="1535"/>
      </w:tblGrid>
      <w:tr>
        <w:trPr/>
        <w:tc>
          <w:tcPr>
            <w:tcW w:w="122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3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$.01 per share</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CSV</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33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ind w:left="0" w:right="0" w:firstLine="450"/>
        <w:jc w:val="right"/>
        <w:rPr/>
      </w:pPr>
      <w:r>
        <w:rPr>
          <w:color w:val="000000"/>
        </w:rPr>
        <w:t xml:space="preserve">                                         </w:t>
      </w: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60" w:after="283"/>
        <w:jc w:val="left"/>
        <w:rPr/>
      </w:pPr>
      <w:r>
        <w:rPr>
          <w:rFonts w:ascii="Times New Roman;serif" w:hAnsi="Times New Roman;serif"/>
          <w:b/>
          <w:color w:val="000000"/>
          <w:sz w:val="20"/>
        </w:rPr>
        <w:t>ITEM 2.02    RESULTS OF OPERATIONS AND FINANCIAL CONDITION</w:t>
      </w:r>
      <w:r>
        <w:rPr>
          <w:rFonts w:ascii="Times New Roman;serif" w:hAnsi="Times New Roman;serif"/>
          <w:b w:val="false"/>
          <w:color w:val="000000"/>
          <w:sz w:val="20"/>
        </w:rPr>
        <w: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the press release dated August 5, 2026, Carriage Services, Inc. (the “Company”) announced and commented on its financial results for its quarter ended June 30, 2026. A copy of the press release issued by the Company is attached hereto as Exhibit 99.1 and incorporated by this reference.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press release dated August 5, 2026, contains non-GAAP financial measures. Generally, a non-GAAP financial measure is a numerical measure of a company’s performance, financial position, or cash flows that either excludes or includes amounts that are not normally excluded or included in the most directly comparable measure calculated and presented in accordance with United States generally accepted accounting principles, or GAAP. Pursuant to the requirements of Regulation G, the Company has provided quantitative reconciliations within the press release of the non-GAAP financial measures to the most directly comparable GAAP financial measures.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of Form 8-K, the foregoing information, including the Press Release filed herewith as Exhibit 99.1, shall not be deemed “filed” for purposes of Section 18 of the Securities Exchange Act of 1934, as amended (the “Exchange Act”), or otherwise subject to liabilities of that Section, nor shall such information, including Exhibit 99.1, be deemed incorporated by reference in any filing under the Securities Act of 1933, as amended or the Exchange Act, except as shall be expressly set forth by specific reference in such filing.</w:t>
      </w:r>
    </w:p>
    <w:p>
      <w:pPr>
        <w:pStyle w:val="TextBody"/>
        <w:bidi w:val="0"/>
        <w:spacing w:lineRule="auto" w:line="288" w:before="360" w:after="283"/>
        <w:jc w:val="left"/>
        <w:rPr/>
      </w:pPr>
      <w:r>
        <w:rPr>
          <w:rFonts w:ascii="Times New Roman;serif" w:hAnsi="Times New Roman;serif"/>
          <w:b/>
          <w:color w:val="000000"/>
          <w:sz w:val="20"/>
        </w:rPr>
        <w:t>ITEM 9.01    FINANCIAL STATEMENTS AND EXHIBITS</w:t>
      </w:r>
      <w:r>
        <w:rPr>
          <w:rFonts w:ascii="Times New Roman;serif" w:hAnsi="Times New Roman;serif"/>
          <w:b w:val="false"/>
          <w:color w:val="000000"/>
          <w:sz w:val="20"/>
        </w:rPr>
        <w: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are furnished as part of this Current Report on Form 8-K:</w:t>
      </w:r>
    </w:p>
    <w:p>
      <w:pPr>
        <w:pStyle w:val="TextBody"/>
        <w:bidi w:val="0"/>
        <w:spacing w:lineRule="auto" w:line="288" w:before="120" w:after="283"/>
        <w:jc w:val="both"/>
        <w:rPr/>
      </w:pPr>
      <w:r>
        <w:rPr>
          <w:rFonts w:ascii="Times New Roman;serif" w:hAnsi="Times New Roman;serif"/>
          <w:b w:val="false"/>
          <w:color w:val="000000"/>
          <w:sz w:val="20"/>
        </w:rPr>
        <w:t xml:space="preserve">99.1 </w:t>
      </w:r>
      <w:hyperlink w:anchor="pressrelease-q22026.htm">
        <w:r>
          <w:rPr>
            <w:rStyle w:val="InternetLink"/>
          </w:rPr>
          <w:t xml:space="preserve">Press Release dated </w:t>
        </w:r>
      </w:hyperlink>
      <w:hyperlink w:anchor="pressrelease-q22026.htm">
        <w:r>
          <w:rPr>
            <w:rStyle w:val="InternetLink"/>
          </w:rPr>
          <w:t xml:space="preserve">August </w:t>
        </w:r>
      </w:hyperlink>
      <w:hyperlink w:anchor="pressrelease-q22026.htm">
        <w:r>
          <w:rPr>
            <w:rStyle w:val="InternetLink"/>
          </w:rPr>
          <w:t>5, 2026</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101 Cover Page Interactive Data File - the cover page XBRL tags are embedded within the Inline XBRL document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104 The cover page from this Current Report on Form 8-K, formatted as Inline XBRL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Carriage Services, Inc. has duly caused this report to be signed on its behalf by the undersigned hereunto duly authorized.</w:t>
      </w:r>
    </w:p>
    <w:tbl>
      <w:tblPr>
        <w:tblW w:w="8560" w:type="dxa"/>
        <w:jc w:val="center"/>
        <w:tblInd w:w="0" w:type="dxa"/>
        <w:tblLayout w:type="fixed"/>
        <w:tblCellMar>
          <w:top w:w="28" w:type="dxa"/>
          <w:left w:w="28" w:type="dxa"/>
          <w:bottom w:w="28" w:type="dxa"/>
          <w:right w:w="28" w:type="dxa"/>
        </w:tblCellMar>
      </w:tblPr>
      <w:tblGrid>
        <w:gridCol w:w="705"/>
        <w:gridCol w:w="619"/>
        <w:gridCol w:w="625"/>
        <w:gridCol w:w="272"/>
        <w:gridCol w:w="272"/>
        <w:gridCol w:w="272"/>
        <w:gridCol w:w="272"/>
        <w:gridCol w:w="272"/>
        <w:gridCol w:w="272"/>
        <w:gridCol w:w="1451"/>
        <w:gridCol w:w="1451"/>
        <w:gridCol w:w="2077"/>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CARRIAGE SERVICES,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5, 2026</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Enwright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Enwright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0"/>
        </w:rPr>
      </w:pPr>
      <w:r>
        <w:rPr>
          <w:rFonts w:ascii="Times New Roman;serif" w:hAnsi="Times New Roman;serif"/>
          <w:b/>
          <w:i/>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left"/>
        <w:rPr/>
      </w:pPr>
      <w:r>
        <w:rPr/>
      </w:r>
    </w:p>
    <w:tbl>
      <w:tblPr>
        <w:tblW w:w="3353" w:type="dxa"/>
        <w:jc w:val="center"/>
        <w:tblInd w:w="0" w:type="dxa"/>
        <w:tblLayout w:type="fixed"/>
        <w:tblCellMar>
          <w:top w:w="28" w:type="dxa"/>
          <w:left w:w="28" w:type="dxa"/>
          <w:bottom w:w="28" w:type="dxa"/>
          <w:right w:w="28" w:type="dxa"/>
        </w:tblCellMar>
      </w:tblPr>
      <w:tblGrid>
        <w:gridCol w:w="1080"/>
        <w:gridCol w:w="950"/>
        <w:gridCol w:w="951"/>
        <w:gridCol w:w="109"/>
        <w:gridCol w:w="109"/>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828800" cy="5524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28800" cy="55245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pPr>
      <w:r>
        <w:rPr>
          <w:rFonts w:ascii="Times New Roman;serif" w:hAnsi="Times New Roman;serif"/>
          <w:b/>
          <w:color w:val="000000"/>
          <w:sz w:val="27"/>
        </w:rPr>
        <w:t>Carriage Services</w:t>
      </w:r>
      <w:r>
        <w:rPr>
          <w:color w:val="000000"/>
        </w:rPr>
        <w:t xml:space="preserve"> </w:t>
      </w:r>
      <w:r>
        <w:rPr>
          <w:rFonts w:ascii="Times New Roman;serif" w:hAnsi="Times New Roman;serif"/>
          <w:b/>
          <w:color w:val="000000"/>
          <w:sz w:val="27"/>
        </w:rPr>
        <w:t>Announces Second Quarter 2026 Results and</w:t>
      </w:r>
    </w:p>
    <w:p>
      <w:pPr>
        <w:pStyle w:val="TextBody"/>
        <w:bidi w:val="0"/>
        <w:spacing w:lineRule="auto" w:line="288" w:before="80" w:after="283"/>
        <w:jc w:val="center"/>
        <w:rPr>
          <w:rFonts w:ascii="Times New Roman;serif" w:hAnsi="Times New Roman;serif"/>
          <w:b/>
          <w:color w:val="000000"/>
          <w:sz w:val="27"/>
        </w:rPr>
      </w:pPr>
      <w:r>
        <w:rPr>
          <w:rFonts w:ascii="Times New Roman;serif" w:hAnsi="Times New Roman;serif"/>
          <w:b/>
          <w:color w:val="000000"/>
          <w:sz w:val="27"/>
        </w:rPr>
        <w:t>Confirms 2026 Earnings Per Share Midpoint Guidance</w:t>
      </w:r>
    </w:p>
    <w:p>
      <w:pPr>
        <w:pStyle w:val="TextBody"/>
        <w:bidi w:val="0"/>
        <w:spacing w:lineRule="auto" w:line="288" w:before="40" w:after="283"/>
        <w:jc w:val="center"/>
        <w:rPr>
          <w:rFonts w:ascii="Times New Roman;serif" w:hAnsi="Times New Roman;serif"/>
          <w:b/>
          <w:color w:val="4C16AE"/>
          <w:sz w:val="22"/>
        </w:rPr>
      </w:pPr>
      <w:r>
        <w:rPr>
          <w:rFonts w:ascii="Times New Roman;serif" w:hAnsi="Times New Roman;serif"/>
          <w:b/>
          <w:color w:val="4C16AE"/>
          <w:sz w:val="22"/>
        </w:rPr>
        <w:t>Conference call on Thursday, August 6, 2026 at 8:00 a.m. Central Time</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HOUSTON - August 5, 2026 - (GLOBE NEWSWIRE) Carriage Services, Inc. (NYSE: CSV) today announced its financial results for the second quarter June 30, 2026.</w:t>
      </w:r>
    </w:p>
    <w:p>
      <w:pPr>
        <w:pStyle w:val="TextBody"/>
        <w:bidi w:val="0"/>
        <w:spacing w:lineRule="auto" w:line="288" w:before="80" w:after="283"/>
        <w:jc w:val="both"/>
        <w:rPr/>
      </w:pPr>
      <w:r>
        <w:rPr>
          <w:rFonts w:ascii="Times New Roman;serif" w:hAnsi="Times New Roman;serif"/>
          <w:b/>
          <w:i/>
          <w:color w:val="000000"/>
          <w:sz w:val="22"/>
          <w:u w:val="single"/>
        </w:rPr>
        <w:t>Company Highlights:</w:t>
      </w:r>
      <w:r>
        <w:rPr>
          <w:color w:val="000000"/>
        </w:rPr>
        <w:t xml:space="preserve"> </w:t>
      </w:r>
    </w:p>
    <w:p>
      <w:pPr>
        <w:pStyle w:val="TextBody"/>
        <w:bidi w:val="0"/>
        <w:spacing w:lineRule="auto" w:line="288" w:before="80" w:after="283"/>
        <w:ind w:left="0" w:right="0" w:hanging="360"/>
        <w:jc w:val="both"/>
        <w:rPr/>
      </w:pPr>
      <w:r>
        <w:rPr>
          <w:color w:val="000000"/>
        </w:rPr>
        <w:t>•</w:t>
      </w:r>
      <w:r>
        <w:rPr>
          <w:rFonts w:ascii="Times New Roman;serif" w:hAnsi="Times New Roman;serif"/>
          <w:b w:val="false"/>
          <w:color w:val="000000"/>
          <w:sz w:val="22"/>
        </w:rPr>
        <w:t>Consolidated cemetery preneed sales production increased 5.0%;</w:t>
      </w:r>
    </w:p>
    <w:p>
      <w:pPr>
        <w:pStyle w:val="TextBody"/>
        <w:bidi w:val="0"/>
        <w:spacing w:lineRule="auto" w:line="288" w:before="80" w:after="283"/>
        <w:ind w:left="0" w:right="0" w:hanging="360"/>
        <w:jc w:val="both"/>
        <w:rPr/>
      </w:pPr>
      <w:r>
        <w:rPr>
          <w:color w:val="000000"/>
        </w:rPr>
        <w:t>•</w:t>
      </w:r>
      <w:r>
        <w:rPr>
          <w:rFonts w:ascii="Times New Roman;serif" w:hAnsi="Times New Roman;serif"/>
          <w:b w:val="false"/>
          <w:color w:val="000000"/>
          <w:sz w:val="22"/>
        </w:rPr>
        <w:t>Consolidated average price per preneed interment right sold grew 17.3%;</w:t>
      </w:r>
    </w:p>
    <w:p>
      <w:pPr>
        <w:pStyle w:val="TextBody"/>
        <w:bidi w:val="0"/>
        <w:spacing w:lineRule="auto" w:line="288" w:before="80" w:after="283"/>
        <w:ind w:left="0" w:right="0" w:hanging="360"/>
        <w:jc w:val="both"/>
        <w:rPr/>
      </w:pPr>
      <w:r>
        <w:rPr>
          <w:color w:val="000000"/>
        </w:rPr>
        <w:t>•</w:t>
      </w:r>
      <w:r>
        <w:rPr>
          <w:rFonts w:ascii="Times New Roman;serif" w:hAnsi="Times New Roman;serif"/>
          <w:b w:val="false"/>
          <w:color w:val="000000"/>
          <w:sz w:val="22"/>
        </w:rPr>
        <w:t>Consolidated insurance-funded preneed funeral contracts sold grew 21.1%;</w:t>
      </w:r>
    </w:p>
    <w:p>
      <w:pPr>
        <w:pStyle w:val="TextBody"/>
        <w:bidi w:val="0"/>
        <w:spacing w:lineRule="auto" w:line="288" w:before="80" w:after="283"/>
        <w:ind w:left="0" w:right="0" w:hanging="360"/>
        <w:jc w:val="both"/>
        <w:rPr/>
      </w:pPr>
      <w:r>
        <w:rPr>
          <w:color w:val="000000"/>
        </w:rPr>
        <w:t>•</w:t>
      </w:r>
      <w:r>
        <w:rPr>
          <w:rFonts w:ascii="Times New Roman;serif" w:hAnsi="Times New Roman;serif"/>
          <w:b w:val="false"/>
          <w:color w:val="000000"/>
          <w:sz w:val="22"/>
        </w:rPr>
        <w:t>Funeral consolidated average revenue per contract grew 4.7%;</w:t>
      </w:r>
    </w:p>
    <w:p>
      <w:pPr>
        <w:pStyle w:val="TextBody"/>
        <w:bidi w:val="0"/>
        <w:spacing w:lineRule="auto" w:line="288" w:before="80" w:after="283"/>
        <w:ind w:left="0" w:right="0" w:hanging="360"/>
        <w:jc w:val="both"/>
        <w:rPr/>
      </w:pPr>
      <w:r>
        <w:rPr>
          <w:color w:val="000000"/>
        </w:rPr>
        <w:t>•</w:t>
      </w:r>
      <w:r>
        <w:rPr>
          <w:rFonts w:ascii="Times New Roman;serif" w:hAnsi="Times New Roman;serif"/>
          <w:b w:val="false"/>
          <w:color w:val="000000"/>
          <w:sz w:val="22"/>
        </w:rPr>
        <w:t>Financial revenue grew 14.0% compared with the prior year quarter;</w:t>
      </w:r>
    </w:p>
    <w:p>
      <w:pPr>
        <w:pStyle w:val="TextBody"/>
        <w:bidi w:val="0"/>
        <w:spacing w:lineRule="auto" w:line="288" w:before="80" w:after="283"/>
        <w:ind w:left="0" w:right="0" w:hanging="360"/>
        <w:jc w:val="both"/>
        <w:rPr/>
      </w:pPr>
      <w:r>
        <w:rPr>
          <w:color w:val="000000"/>
        </w:rPr>
        <w:t>•</w:t>
      </w:r>
      <w:r>
        <w:rPr>
          <w:rFonts w:ascii="Times New Roman;serif" w:hAnsi="Times New Roman;serif"/>
          <w:b w:val="false"/>
          <w:color w:val="000000"/>
          <w:sz w:val="22"/>
        </w:rPr>
        <w:t>GAAP Net Income grew 4.5% and operating income remained flat compared with the prior year quarter;</w:t>
      </w:r>
    </w:p>
    <w:p>
      <w:pPr>
        <w:pStyle w:val="TextBody"/>
        <w:bidi w:val="0"/>
        <w:spacing w:lineRule="auto" w:line="288" w:before="80" w:after="283"/>
        <w:ind w:left="0" w:right="0" w:hanging="360"/>
        <w:jc w:val="both"/>
        <w:rPr/>
      </w:pPr>
      <w:r>
        <w:rPr>
          <w:color w:val="000000"/>
        </w:rPr>
        <w:t>•</w:t>
      </w:r>
      <w:r>
        <w:rPr>
          <w:rFonts w:ascii="Times New Roman;serif" w:hAnsi="Times New Roman;serif"/>
          <w:b w:val="false"/>
          <w:color w:val="000000"/>
          <w:sz w:val="22"/>
        </w:rPr>
        <w:t>Adjusted Consolidated EBITDA grew by 3.1% and adjusted consolidated EBITDA margin expanded 70 basis points to 32.3%;</w:t>
      </w:r>
    </w:p>
    <w:p>
      <w:pPr>
        <w:pStyle w:val="TextBody"/>
        <w:bidi w:val="0"/>
        <w:spacing w:lineRule="auto" w:line="288" w:before="80" w:after="283"/>
        <w:ind w:left="0" w:right="0" w:hanging="360"/>
        <w:jc w:val="both"/>
        <w:rPr/>
      </w:pPr>
      <w:r>
        <w:rPr>
          <w:color w:val="000000"/>
        </w:rPr>
        <w:t>•</w:t>
      </w:r>
      <w:r>
        <w:rPr>
          <w:rFonts w:ascii="Times New Roman;serif" w:hAnsi="Times New Roman;serif"/>
          <w:b w:val="false"/>
          <w:color w:val="000000"/>
          <w:sz w:val="22"/>
        </w:rPr>
        <w:t>GAAP diluted EPS of $0.77 compared with $0.74 in the prior year quarter;</w:t>
      </w:r>
    </w:p>
    <w:p>
      <w:pPr>
        <w:pStyle w:val="TextBody"/>
        <w:bidi w:val="0"/>
        <w:spacing w:lineRule="auto" w:line="288" w:before="80" w:after="283"/>
        <w:ind w:left="0" w:right="0" w:hanging="360"/>
        <w:jc w:val="both"/>
        <w:rPr/>
      </w:pPr>
      <w:r>
        <w:rPr>
          <w:color w:val="000000"/>
        </w:rPr>
        <w:t>•</w:t>
      </w:r>
      <w:r>
        <w:rPr>
          <w:rFonts w:ascii="Times New Roman;serif" w:hAnsi="Times New Roman;serif"/>
          <w:b w:val="false"/>
          <w:color w:val="000000"/>
          <w:sz w:val="22"/>
        </w:rPr>
        <w:t>Adjusted diluted EPS of $0.78 compared to $0.74 in the prior year quarter; and</w:t>
      </w:r>
    </w:p>
    <w:p>
      <w:pPr>
        <w:pStyle w:val="TextBody"/>
        <w:bidi w:val="0"/>
        <w:spacing w:lineRule="auto" w:line="288" w:before="80" w:after="60"/>
        <w:ind w:left="0" w:right="0" w:hanging="360"/>
        <w:jc w:val="both"/>
        <w:rPr/>
      </w:pPr>
      <w:r>
        <w:rPr>
          <w:color w:val="000000"/>
        </w:rPr>
        <w:t>•</w:t>
      </w:r>
      <w:r>
        <w:rPr>
          <w:rFonts w:ascii="Times New Roman;serif" w:hAnsi="Times New Roman;serif"/>
          <w:b w:val="false"/>
          <w:color w:val="000000"/>
          <w:sz w:val="22"/>
        </w:rPr>
        <w:t>Completed the strategic acquisition of one funeral home while maintaining our leverage ratio at 4.0x.</w:t>
      </w:r>
    </w:p>
    <w:p>
      <w:pPr>
        <w:pStyle w:val="TextBody"/>
        <w:bidi w:val="0"/>
        <w:spacing w:lineRule="auto" w:line="288" w:before="120" w:after="283"/>
        <w:ind w:left="0" w:right="0" w:firstLine="450"/>
        <w:jc w:val="both"/>
        <w:rPr>
          <w:rFonts w:ascii="Times New Roman;serif" w:hAnsi="Times New Roman;serif"/>
          <w:b w:val="false"/>
          <w:color w:val="000000"/>
          <w:sz w:val="22"/>
        </w:rPr>
      </w:pPr>
      <w:r>
        <w:rPr>
          <w:rFonts w:ascii="Times New Roman;serif" w:hAnsi="Times New Roman;serif"/>
          <w:b w:val="false"/>
          <w:color w:val="000000"/>
          <w:sz w:val="22"/>
        </w:rPr>
        <w:t>Carlos Quezada, Vice Chairman and CEO, stated, "We are pleased with our second-quarter performance. Against the backdrop of lower national mortality trends that emerged earlier this year, resulting in a 3.5% decline in our at-need volume compared with the second quarter of 2025, we delivered strong financial results. Comparable average revenue per contract increased 3.7% in funeral homes and 17.9% in preneed cemetery average revenue per interment, while total financial revenue grew 14.0%. Another positive during the second quarter was the continued growth in our preneed programs, a key driver of our long-term growth strategy, highlighted by 21.1% growth in insurance-funded preneed funeral contracts and 5.0% growth in consolidated cemetery preneed sales production. These accomplishments more than offset the volume impact, driving revenue to $102.9 million, an increase of 0.8% year over year.</w:t>
      </w:r>
    </w:p>
    <w:p>
      <w:pPr>
        <w:pStyle w:val="TextBody"/>
        <w:bidi w:val="0"/>
        <w:spacing w:lineRule="auto" w:line="288" w:before="120" w:after="283"/>
        <w:ind w:left="0" w:right="0" w:firstLine="450"/>
        <w:jc w:val="both"/>
        <w:rPr>
          <w:rFonts w:ascii="Times New Roman;serif" w:hAnsi="Times New Roman;serif"/>
          <w:b w:val="false"/>
          <w:color w:val="000000"/>
          <w:sz w:val="22"/>
        </w:rPr>
      </w:pPr>
      <w:r>
        <w:rPr>
          <w:rFonts w:ascii="Times New Roman;serif" w:hAnsi="Times New Roman;serif"/>
          <w:b w:val="false"/>
          <w:color w:val="000000"/>
          <w:sz w:val="22"/>
        </w:rPr>
        <w:t>Disciplined cost management drove adjusted consolidated EBITDA of $32.3 million, up $1.0 million, or 3.1%, from the prior year period. Adjusted consolidated EBITDA margin expanded 70 basis points to 32.3%, reflecting the operating leverage created through disciplined execution.</w:t>
      </w:r>
    </w:p>
    <w:p>
      <w:pPr>
        <w:pStyle w:val="TextBody"/>
        <w:bidi w:val="0"/>
        <w:spacing w:lineRule="auto" w:line="288" w:before="120" w:after="283"/>
        <w:ind w:left="0" w:right="0" w:firstLine="450"/>
        <w:jc w:val="both"/>
        <w:rPr>
          <w:rFonts w:ascii="Times New Roman;serif" w:hAnsi="Times New Roman;serif"/>
          <w:b w:val="false"/>
          <w:color w:val="000000"/>
          <w:sz w:val="22"/>
        </w:rPr>
      </w:pPr>
      <w:r>
        <w:rPr>
          <w:rFonts w:ascii="Times New Roman;serif" w:hAnsi="Times New Roman;serif"/>
          <w:b w:val="false"/>
          <w:color w:val="000000"/>
          <w:sz w:val="22"/>
        </w:rPr>
        <w:t>We are in advanced conversations with a number of owners of premier businesses about joining the Carriage Family, and as mentioned on our last call, we expect more activity around closings over the next two quarters and into 2027. We remain excited about the future growth potential through high-quality and strategic growth acquisitions.</w:t>
      </w:r>
    </w:p>
    <w:p>
      <w:pPr>
        <w:pStyle w:val="TextBody"/>
        <w:bidi w:val="0"/>
        <w:spacing w:lineRule="auto" w:line="288" w:before="120" w:after="283"/>
        <w:ind w:left="0" w:right="0" w:firstLine="450"/>
        <w:jc w:val="both"/>
        <w:rPr>
          <w:rFonts w:ascii="Times New Roman;serif" w:hAnsi="Times New Roman;serif"/>
          <w:b w:val="false"/>
          <w:color w:val="000000"/>
          <w:sz w:val="22"/>
        </w:rPr>
      </w:pPr>
      <w:r>
        <w:rPr>
          <w:rFonts w:ascii="Times New Roman;serif" w:hAnsi="Times New Roman;serif"/>
          <w:b w:val="false"/>
          <w:color w:val="000000"/>
          <w:sz w:val="22"/>
        </w:rPr>
        <w:t>Looking ahead, July funeral volume trends are encouraging, and we remain focused on disciplined execution of our 2026 priorities as we continue advancing toward our 2030 Vision," concluded Mr. Quezada.</w:t>
      </w:r>
    </w:p>
    <w:p>
      <w:pPr>
        <w:pStyle w:val="TextBody"/>
        <w:bidi w:val="0"/>
        <w:spacing w:before="0" w:after="120"/>
        <w:ind w:left="0" w:right="0" w:firstLine="450"/>
        <w:jc w:val="both"/>
        <w:rPr/>
      </w:pPr>
      <w:r>
        <w:rPr/>
      </w:r>
    </w:p>
    <w:p>
      <w:pPr>
        <w:pStyle w:val="TextBody"/>
        <w:bidi w:val="0"/>
        <w:spacing w:lineRule="auto" w:line="288" w:before="0" w:after="0"/>
        <w:jc w:val="right"/>
        <w:rPr>
          <w:rFonts w:ascii="Times New Roman;serif" w:hAnsi="Times New Roman;serif"/>
          <w:b/>
          <w:i/>
          <w:color w:val="000000"/>
          <w:sz w:val="20"/>
        </w:rPr>
      </w:pPr>
      <w:r>
        <w:rPr>
          <w:rFonts w:ascii="Times New Roman;serif" w:hAnsi="Times New Roman;serif"/>
          <w:b/>
          <w:i/>
          <w:color w:val="000000"/>
          <w:sz w:val="20"/>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both"/>
        <w:rPr>
          <w:rFonts w:ascii="Times New Roman;serif" w:hAnsi="Times New Roman;serif"/>
          <w:b/>
          <w:i/>
          <w:color w:val="000000"/>
          <w:sz w:val="22"/>
          <w:u w:val="single"/>
        </w:rPr>
      </w:pPr>
      <w:r>
        <w:rPr>
          <w:rFonts w:ascii="Times New Roman;serif" w:hAnsi="Times New Roman;serif"/>
          <w:b/>
          <w:i/>
          <w:color w:val="000000"/>
          <w:sz w:val="22"/>
          <w:u w:val="single"/>
        </w:rPr>
        <w:t xml:space="preserve">FINANCIAL HIGHLIGHTS </w:t>
      </w:r>
    </w:p>
    <w:tbl>
      <w:tblPr>
        <w:tblW w:w="10205" w:type="dxa"/>
        <w:jc w:val="left"/>
        <w:tblInd w:w="0" w:type="dxa"/>
        <w:tblLayout w:type="fixed"/>
        <w:tblCellMar>
          <w:top w:w="28" w:type="dxa"/>
          <w:left w:w="28" w:type="dxa"/>
          <w:bottom w:w="28" w:type="dxa"/>
          <w:right w:w="28" w:type="dxa"/>
        </w:tblCellMar>
      </w:tblPr>
      <w:tblGrid>
        <w:gridCol w:w="1274"/>
        <w:gridCol w:w="841"/>
        <w:gridCol w:w="847"/>
        <w:gridCol w:w="135"/>
        <w:gridCol w:w="135"/>
        <w:gridCol w:w="135"/>
        <w:gridCol w:w="261"/>
        <w:gridCol w:w="893"/>
        <w:gridCol w:w="335"/>
        <w:gridCol w:w="135"/>
        <w:gridCol w:w="135"/>
        <w:gridCol w:w="135"/>
        <w:gridCol w:w="261"/>
        <w:gridCol w:w="893"/>
        <w:gridCol w:w="335"/>
        <w:gridCol w:w="135"/>
        <w:gridCol w:w="135"/>
        <w:gridCol w:w="135"/>
        <w:gridCol w:w="368"/>
        <w:gridCol w:w="301"/>
        <w:gridCol w:w="536"/>
        <w:gridCol w:w="158"/>
        <w:gridCol w:w="158"/>
        <w:gridCol w:w="158"/>
        <w:gridCol w:w="368"/>
        <w:gridCol w:w="301"/>
        <w:gridCol w:w="536"/>
        <w:gridCol w:w="166"/>
      </w:tblGrid>
      <w:tr>
        <w:trPr/>
        <w:tc>
          <w:tcPr>
            <w:tcW w:w="127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(in millions, except volume, average, margins, and EPS)</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2025</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2025</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Metrics:</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margin</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3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3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Cemetery Consolidated Metrics:</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interment rights (property) sold</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6,607</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7,252</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Preneed sales production</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24,636 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23,469 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45,769</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42,978</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price per preneed interment right sold</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6,884 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5,871 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6,470</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5,669</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Funeral Consolidated Metrics:</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Funeral contracts</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10,169 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10,589 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21,386</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22,761</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Average revenue per funeral contract</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6,048 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5,776 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6,049</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5,825</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Burial rate</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3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3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Cremation rate</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3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3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Non-GAAP Metrics</w:t>
            </w:r>
            <w:r>
              <w:rPr>
                <w:rFonts w:ascii="Times New Roman;serif" w:hAnsi="Times New Roman;serif"/>
                <w:b/>
                <w:color w:val="000000"/>
                <w:sz w:val="13"/>
              </w:rPr>
              <w:t>(1)</w:t>
            </w:r>
            <w:r>
              <w:rPr>
                <w:rFonts w:ascii="Times New Roman;serif" w:hAnsi="Times New Roman;serif"/>
                <w:b/>
                <w:color w:val="000000"/>
                <w:sz w:val="20"/>
              </w:rPr>
              <w:t>:</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consolidated EBITDA</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consolidated EBITDA margin</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3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3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diluted EPS</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Cemetery Comparable Metrics</w:t>
            </w:r>
            <w:r>
              <w:rPr>
                <w:rFonts w:ascii="Times New Roman;serif" w:hAnsi="Times New Roman;serif"/>
                <w:b/>
                <w:color w:val="000000"/>
                <w:sz w:val="13"/>
              </w:rPr>
              <w:t>(2)</w:t>
            </w:r>
            <w:r>
              <w:rPr>
                <w:rFonts w:ascii="Times New Roman;serif" w:hAnsi="Times New Roman;serif"/>
                <w:b/>
                <w:color w:val="000000"/>
                <w:sz w:val="20"/>
              </w:rPr>
              <w:t>:</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interment rights (property) sold</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6,187</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7,088</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Preneed sales production</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23,753 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23,423 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44,033</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42,281</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price per preneed interment right sold</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6,950 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5,894 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6,670</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5,724</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Funeral Comparable Metrics</w:t>
            </w:r>
            <w:r>
              <w:rPr>
                <w:rFonts w:ascii="Times New Roman;serif" w:hAnsi="Times New Roman;serif"/>
                <w:b/>
                <w:color w:val="000000"/>
                <w:sz w:val="13"/>
              </w:rPr>
              <w:t>(3)</w:t>
            </w:r>
            <w:r>
              <w:rPr>
                <w:rFonts w:ascii="Times New Roman;serif" w:hAnsi="Times New Roman;serif"/>
                <w:b/>
                <w:color w:val="000000"/>
                <w:sz w:val="20"/>
              </w:rPr>
              <w:t>:</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Funeral contracts</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9,639 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9,985 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20,289</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21,283</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Average revenue per funeral contract</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6,088 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5,869 </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6,094</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5,940</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Burial rate</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3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3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Cremation rate</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3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3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5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6838" w:type="dxa"/>
            <w:gridSpan w:val="22"/>
            <w:tcBorders/>
          </w:tcPr>
          <w:p>
            <w:pPr>
              <w:pStyle w:val="TableContents"/>
              <w:bidi w:val="0"/>
              <w:spacing w:before="0" w:after="283"/>
              <w:jc w:val="left"/>
              <w:rPr>
                <w:sz w:val="4"/>
                <w:szCs w:val="4"/>
              </w:rPr>
            </w:pPr>
            <w:r>
              <w:rPr>
                <w:sz w:val="4"/>
                <w:szCs w:val="4"/>
              </w:rPr>
            </w:r>
          </w:p>
        </w:tc>
      </w:tr>
      <w:tr>
        <w:trPr/>
        <w:tc>
          <w:tcPr>
            <w:tcW w:w="10039"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We present both GAAP and non-GAAP measures to provide investors with additional information and to allow for the increased comparability of our ongoing performance from period to period. The most comparable GAAP measures to the Non-GAAP measures presented in this table can be found in the Reconciliation of Non-GAAP Financial Measures section of this press release.</w:t>
            </w:r>
          </w:p>
        </w:tc>
        <w:tc>
          <w:tcPr>
            <w:tcW w:w="166" w:type="dxa"/>
            <w:tcBorders/>
            <w:vAlign w:val="center"/>
          </w:tcPr>
          <w:p>
            <w:pPr>
              <w:pStyle w:val="TableContents"/>
              <w:bidi w:val="0"/>
              <w:spacing w:before="0" w:after="283"/>
              <w:jc w:val="left"/>
              <w:rPr>
                <w:sz w:val="4"/>
                <w:szCs w:val="4"/>
              </w:rPr>
            </w:pPr>
            <w:r>
              <w:rPr>
                <w:sz w:val="4"/>
                <w:szCs w:val="4"/>
              </w:rPr>
            </w:r>
          </w:p>
        </w:tc>
      </w:tr>
      <w:tr>
        <w:trPr/>
        <w:tc>
          <w:tcPr>
            <w:tcW w:w="10039" w:type="dxa"/>
            <w:gridSpan w:val="27"/>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 xml:space="preserve">Metrics calculated using cemetery comparable results (including cemeteries that are owned for the entire period beginning January 1, 2025 and ending </w:t>
            </w:r>
          </w:p>
          <w:p>
            <w:pPr>
              <w:pStyle w:val="TableContents"/>
              <w:bidi w:val="0"/>
              <w:spacing w:lineRule="auto" w:line="240" w:before="0" w:after="0"/>
              <w:jc w:val="both"/>
              <w:rPr>
                <w:color w:val="000000"/>
              </w:rPr>
            </w:pPr>
            <w:r>
              <w:rPr>
                <w:color w:val="000000"/>
              </w:rPr>
              <w:t>   </w:t>
            </w:r>
            <w:r>
              <w:rPr>
                <w:rFonts w:ascii="Times New Roman;serif" w:hAnsi="Times New Roman;serif"/>
                <w:b w:val="false"/>
                <w:color w:val="000000"/>
                <w:sz w:val="16"/>
              </w:rPr>
              <w:t xml:space="preserve">June 30, 2026). </w:t>
            </w:r>
          </w:p>
        </w:tc>
        <w:tc>
          <w:tcPr>
            <w:tcW w:w="166" w:type="dxa"/>
            <w:tcBorders/>
            <w:vAlign w:val="center"/>
          </w:tcPr>
          <w:p>
            <w:pPr>
              <w:pStyle w:val="TableContents"/>
              <w:bidi w:val="0"/>
              <w:spacing w:before="0" w:after="283"/>
              <w:jc w:val="left"/>
              <w:rPr>
                <w:sz w:val="4"/>
                <w:szCs w:val="4"/>
              </w:rPr>
            </w:pPr>
            <w:r>
              <w:rPr>
                <w:sz w:val="4"/>
                <w:szCs w:val="4"/>
              </w:rPr>
            </w:r>
          </w:p>
        </w:tc>
      </w:tr>
      <w:tr>
        <w:trPr/>
        <w:tc>
          <w:tcPr>
            <w:tcW w:w="10039" w:type="dxa"/>
            <w:gridSpan w:val="27"/>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0"/>
              </w:rPr>
              <w:t xml:space="preserve">(3) </w:t>
            </w:r>
            <w:r>
              <w:rPr>
                <w:rFonts w:ascii="Times New Roman;serif" w:hAnsi="Times New Roman;serif"/>
                <w:b w:val="false"/>
                <w:color w:val="000000"/>
                <w:sz w:val="16"/>
              </w:rPr>
              <w:t xml:space="preserve">Metrics calculated using funeral comparable results (including funeral homes that are owned for the entire period beginning January 1, 2025 and ending </w:t>
            </w:r>
          </w:p>
          <w:p>
            <w:pPr>
              <w:pStyle w:val="TableContents"/>
              <w:bidi w:val="0"/>
              <w:spacing w:lineRule="auto" w:line="240" w:before="0" w:after="0"/>
              <w:jc w:val="both"/>
              <w:rPr>
                <w:color w:val="000000"/>
              </w:rPr>
            </w:pPr>
            <w:r>
              <w:rPr>
                <w:color w:val="000000"/>
              </w:rPr>
              <w:t>   </w:t>
            </w:r>
            <w:r>
              <w:rPr>
                <w:rFonts w:ascii="Times New Roman;serif" w:hAnsi="Times New Roman;serif"/>
                <w:b w:val="false"/>
                <w:color w:val="000000"/>
                <w:sz w:val="16"/>
              </w:rPr>
              <w:t xml:space="preserve">June 30, 2026). </w:t>
            </w:r>
          </w:p>
        </w:tc>
        <w:tc>
          <w:tcPr>
            <w:tcW w:w="16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Total revenue for the three months ended June 30, 2026 increased $0.8 million compared to the three months ended June 30, 2025. In our cemetery segment, we experienced a 17.3% increase in the consolidated average price per preneed interment rights sold and a 14.0% decrease in the consolidated number of preneed interment rights (property) sold. Additionally, in our funeral segment, we experienced a 4.7% increase in the consolidated average revenue per funeral contract and a 4.0% decrease in consolidated funeral contract volume.</w:t>
      </w:r>
    </w:p>
    <w:p>
      <w:pPr>
        <w:pStyle w:val="TextBody"/>
        <w:bidi w:val="0"/>
        <w:spacing w:lineRule="auto" w:line="288" w:before="0" w:after="0"/>
        <w:jc w:val="right"/>
        <w:rPr>
          <w:rFonts w:ascii="Times New Roman;serif" w:hAnsi="Times New Roman;serif"/>
          <w:b/>
          <w:i/>
          <w:color w:val="000000"/>
          <w:sz w:val="20"/>
        </w:rPr>
      </w:pPr>
      <w:r>
        <w:rPr>
          <w:rFonts w:ascii="Times New Roman;serif" w:hAnsi="Times New Roman;serif"/>
          <w:b/>
          <w:i/>
          <w:color w:val="000000"/>
          <w:sz w:val="20"/>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 xml:space="preserve">Net income for the three months ended June 30, 2026 increased $0.5 million compared to the three months ended June 30, 2025. We experienced a $0.9 million decrease in gross profit contribution from our businesses partially offset by a $0.2 million decrease in income tax expense and a $0.4 million decrease in interest expense.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Total revenue for the six months ended June 30, 2026 decreased $0.1 million compared to the six months ended June 30, 2025. In our cemetery segment, we experienced a 14.1% increase in the consolidated average price per preneed interment rights sold and an 8.9% decrease in the consolidated number of preneed interment rights (property) sold. Additionally, in our funeral segment, we experienced a 3.8% increase in the consolidated average revenue per funeral contract and a 6.0% decrease in consolidated funeral contract volume.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Net income for the six months ended June 30, 2026 decreased $6.9 million compared to the six months ended June 30, 2025, primarily due to a prior year net gain on divestitures and sale of real property of $7.7 million partially offset by a $0.8 million decline in interest expense and $0.7 million decrease in income tax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4"/>
          <w:u w:val="single"/>
        </w:rPr>
      </w:pPr>
      <w:r>
        <w:rPr>
          <w:rFonts w:ascii="Times New Roman;serif" w:hAnsi="Times New Roman;serif"/>
          <w:b/>
          <w:i/>
          <w:color w:val="000000"/>
          <w:sz w:val="24"/>
          <w:u w:val="single"/>
        </w:rPr>
        <w:t>OUTLOOK FOR 2026</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We are updating our outlook to reflect changes in external demand assumptions, including the lower-than-anticipated mortality trends in the first half of the year and the revised timing of expected acquisitions.</w:t>
      </w:r>
    </w:p>
    <w:tbl>
      <w:tblPr>
        <w:tblW w:w="10205" w:type="dxa"/>
        <w:jc w:val="center"/>
        <w:tblInd w:w="0" w:type="dxa"/>
        <w:tblLayout w:type="fixed"/>
        <w:tblCellMar>
          <w:top w:w="28" w:type="dxa"/>
          <w:left w:w="28" w:type="dxa"/>
          <w:bottom w:w="28" w:type="dxa"/>
          <w:right w:w="28" w:type="dxa"/>
        </w:tblCellMar>
      </w:tblPr>
      <w:tblGrid>
        <w:gridCol w:w="1532"/>
        <w:gridCol w:w="1076"/>
        <w:gridCol w:w="1081"/>
        <w:gridCol w:w="182"/>
        <w:gridCol w:w="182"/>
        <w:gridCol w:w="182"/>
        <w:gridCol w:w="942"/>
        <w:gridCol w:w="942"/>
        <w:gridCol w:w="945"/>
        <w:gridCol w:w="173"/>
        <w:gridCol w:w="173"/>
        <w:gridCol w:w="173"/>
        <w:gridCol w:w="766"/>
        <w:gridCol w:w="766"/>
        <w:gridCol w:w="1090"/>
      </w:tblGrid>
      <w:tr>
        <w:trPr/>
        <w:tc>
          <w:tcPr>
            <w:tcW w:w="153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2"/>
              </w:rPr>
              <w:t>Original 2026 Outlook</w:t>
            </w:r>
            <w:r>
              <w:rPr>
                <w:color w:val="000000"/>
              </w:rPr>
              <w:t xml:space="preserve"> </w:t>
            </w:r>
            <w:r>
              <w:rPr>
                <w:rFonts w:ascii="Times New Roman;serif" w:hAnsi="Times New Roman;serif"/>
                <w:b/>
                <w:color w:val="000000"/>
                <w:sz w:val="14"/>
              </w:rPr>
              <w:t>(1)</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2"/>
              </w:rPr>
              <w:t>Revised 2026 Outlook</w:t>
            </w:r>
            <w:r>
              <w:rPr>
                <w:color w:val="000000"/>
              </w:rPr>
              <w:t xml:space="preserve"> </w:t>
            </w:r>
            <w:r>
              <w:rPr>
                <w:rFonts w:ascii="Times New Roman;serif" w:hAnsi="Times New Roman;serif"/>
                <w:b/>
                <w:color w:val="000000"/>
                <w:sz w:val="14"/>
              </w:rPr>
              <w:t>(1)</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millions - except per share amounts)</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$440 - $450</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$435 - $445</w:t>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consolidated EBITDA</w:t>
            </w:r>
            <w:r>
              <w:rPr>
                <w:rFonts w:ascii="Times New Roman;serif" w:hAnsi="Times New Roman;serif"/>
                <w:b w:val="false"/>
                <w:color w:val="000000"/>
                <w:sz w:val="13"/>
              </w:rPr>
              <w:t>(2)</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$135 - $140</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$135 - $140</w:t>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diluted EPS</w:t>
            </w:r>
            <w:r>
              <w:rPr>
                <w:rFonts w:ascii="Times New Roman;serif" w:hAnsi="Times New Roman;serif"/>
                <w:b w:val="false"/>
                <w:color w:val="000000"/>
                <w:sz w:val="13"/>
              </w:rPr>
              <w:t>(2)</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$3.35 - $3.55</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$3.35 - $3.55</w:t>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free cash flow</w:t>
            </w:r>
            <w:r>
              <w:rPr>
                <w:rFonts w:ascii="Times New Roman;serif" w:hAnsi="Times New Roman;serif"/>
                <w:b w:val="false"/>
                <w:color w:val="000000"/>
                <w:sz w:val="13"/>
              </w:rPr>
              <w:t>(2)(3)</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$40 - $50</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$40 - $50</w:t>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$25 - $30</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$20 - $25</w:t>
            </w:r>
          </w:p>
        </w:tc>
      </w:tr>
      <w:tr>
        <w:trPr/>
        <w:tc>
          <w:tcPr>
            <w:tcW w:w="7064"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(1) Includes the expected revenue impact of acquisitions and divestitures of certain non-core assets.</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(2) Adjusted consolidated EBITDA, adjusted diluted EPS, and adjusted free cash flow are non-GAAP financial measures. We normally reconcile these non-GAAP financial measures from operating income, diluted earnings per share, and cash provided by operating activities; however, these measures calculated in accordance with GAAP are not currently accessible on a forward-looking basis. Our outlook for 2026 excludes the following: Gains or losses associated with divestitures, acquisition costs, severance and separation costs, impairment of goodwill, intangibles, and property, plant, and equipment, special vendor incentives, potential tax reserve adjustments and IRS payments and/or refunds, and other special items. The foregoing items could materially impact our forward-looking diluted earnings per share and/or our net cash provided by operating activities calculated in accordance with GAAP.</w:t>
            </w:r>
          </w:p>
        </w:tc>
      </w:tr>
      <w:tr>
        <w:trPr/>
        <w:tc>
          <w:tcPr>
            <w:tcW w:w="7064"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(3) Includes the expected impact of total capital expenditures (growth and maintenance). </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4"/>
          <w:u w:val="single"/>
        </w:rPr>
      </w:pPr>
      <w:r>
        <w:rPr>
          <w:rFonts w:ascii="Times New Roman;serif" w:hAnsi="Times New Roman;serif"/>
          <w:b/>
          <w:i/>
          <w:color w:val="000000"/>
          <w:sz w:val="24"/>
          <w:u w:val="single"/>
        </w:rPr>
        <w:t>CALL AND INVESTOR RELATIONS CONTACT</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Carriage Services has scheduled a conference call for tomorrow, August 6, 2026 at 8:00 a.m. Central Time. To participate in the call, please dial 800-330-6710 (Conference ID - 9291372) or to listen live over the internet via webcast link. An audio archive of the call will be available on demand via the Company's website at www.carriageservices.com. </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Carriage Services is a leading provider of funeral and cemetery services and merchandise in the United States. Carriage operated 155 funeral homes in 24 states and 28 cemeteries in 9 states as of June 30, 2026. It is dedicated to delivering premier experiences through innovation, partnership, and elevated service.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For more information, please email InvestorRelations@carriageservices.com.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0"/>
        </w:rPr>
      </w:pPr>
      <w:r>
        <w:rPr>
          <w:rFonts w:ascii="Times New Roman;serif" w:hAnsi="Times New Roman;serif"/>
          <w:b/>
          <w:i/>
          <w:color w:val="000000"/>
          <w:sz w:val="20"/>
        </w:rPr>
        <w:t>Exhibit 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w:t>
                      </w:r>
                    </w:p>
                  </w:txbxContent>
                </v:textbox>
                <w10:wrap type="none"/>
              </v:rect>
            </w:pict>
          </mc:Fallback>
        </mc:AlternateContent>
      </w:r>
    </w:p>
    <w:p>
      <w:pPr>
        <w:pStyle w:val="TextBody"/>
        <w:bidi w:val="0"/>
        <w:spacing w:before="240" w:after="283"/>
        <w:jc w:val="left"/>
        <w:rPr/>
      </w:pPr>
      <w:r>
        <w:rPr/>
      </w:r>
    </w:p>
    <w:tbl>
      <w:tblPr>
        <w:tblW w:w="10205" w:type="dxa"/>
        <w:jc w:val="center"/>
        <w:tblInd w:w="0" w:type="dxa"/>
        <w:tblLayout w:type="fixed"/>
        <w:tblCellMar>
          <w:top w:w="28" w:type="dxa"/>
          <w:left w:w="28" w:type="dxa"/>
          <w:bottom w:w="28" w:type="dxa"/>
          <w:right w:w="28" w:type="dxa"/>
        </w:tblCellMar>
      </w:tblPr>
      <w:tblGrid>
        <w:gridCol w:w="1199"/>
        <w:gridCol w:w="1010"/>
        <w:gridCol w:w="1016"/>
        <w:gridCol w:w="112"/>
        <w:gridCol w:w="112"/>
        <w:gridCol w:w="112"/>
        <w:gridCol w:w="217"/>
        <w:gridCol w:w="868"/>
        <w:gridCol w:w="310"/>
        <w:gridCol w:w="112"/>
        <w:gridCol w:w="112"/>
        <w:gridCol w:w="112"/>
        <w:gridCol w:w="217"/>
        <w:gridCol w:w="868"/>
        <w:gridCol w:w="310"/>
        <w:gridCol w:w="112"/>
        <w:gridCol w:w="112"/>
        <w:gridCol w:w="112"/>
        <w:gridCol w:w="217"/>
        <w:gridCol w:w="868"/>
        <w:gridCol w:w="310"/>
        <w:gridCol w:w="112"/>
        <w:gridCol w:w="112"/>
        <w:gridCol w:w="112"/>
        <w:gridCol w:w="217"/>
        <w:gridCol w:w="868"/>
        <w:gridCol w:w="366"/>
      </w:tblGrid>
      <w:tr>
        <w:trPr/>
        <w:tc>
          <w:tcPr>
            <w:tcW w:w="119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CARRIAGE SERVICES, INC.</w:t>
            </w:r>
          </w:p>
        </w:tc>
      </w:tr>
      <w:tr>
        <w:trPr/>
        <w:tc>
          <w:tcPr>
            <w:tcW w:w="10205" w:type="dxa"/>
            <w:gridSpan w:val="27"/>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CONDENSED OPERATING AND FINANCIAL TREND REPORT</w:t>
            </w:r>
          </w:p>
        </w:tc>
      </w:tr>
      <w:tr>
        <w:trPr/>
        <w:tc>
          <w:tcPr>
            <w:tcW w:w="10205" w:type="dxa"/>
            <w:gridSpan w:val="27"/>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(in thousands - except margins and per share amounts)</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2"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2025</w:t>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Funeral comparable revenue</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55,663 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57,030 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118,866 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122,979 </w:t>
            </w:r>
          </w:p>
        </w:tc>
        <w:tc>
          <w:tcPr>
            <w:tcW w:w="3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Cemetery comparable revenue</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33,167 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33,309 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62,741 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61,204 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Total comparable revenue</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88,830 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90,339 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181,607 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184,183 </w:t>
            </w:r>
          </w:p>
        </w:tc>
        <w:tc>
          <w:tcPr>
            <w:tcW w:w="3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Financial revenue</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9,342 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8,196 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17,800 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15,506 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Ancillary revenue</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revenue</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7,865 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Divested revenue</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7,592 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Total revenue</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102,949</w:t>
            </w:r>
            <w:r>
              <w:rPr>
                <w:color w:val="000000"/>
              </w:rPr>
              <w:t>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102,147</w:t>
            </w:r>
            <w:r>
              <w:rPr>
                <w:color w:val="000000"/>
              </w:rPr>
              <w:t>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209,069</w:t>
            </w:r>
            <w:r>
              <w:rPr>
                <w:color w:val="000000"/>
              </w:rPr>
              <w:t>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209,216</w:t>
            </w:r>
            <w:r>
              <w:rPr>
                <w:color w:val="000000"/>
              </w:rPr>
              <w:t> </w:t>
            </w:r>
          </w:p>
        </w:tc>
        <w:tc>
          <w:tcPr>
            <w:tcW w:w="3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Funeral comparable EBITDA</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20,295 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21,553 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46,458 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50,259 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Funeral comparable EBITDA margin</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3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Cemetery comparable EBITDA</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14,769 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14,977 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27,598 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26,367 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Cemetery comparable EBITDA margin</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3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EBITDA</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8,708 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7,601 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16,596 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14,123 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EBITDA margin</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3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Ancillary EBITDA</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Ancillary EBITDA margin</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3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EBITDA</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EBITDA margin</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Divested EBITDA</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Divested EBITDA margin</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3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Total field EBITDA</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45,182</w:t>
            </w:r>
            <w:r>
              <w:rPr>
                <w:color w:val="000000"/>
              </w:rPr>
              <w:t>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44,724</w:t>
            </w:r>
            <w:r>
              <w:rPr>
                <w:color w:val="000000"/>
              </w:rPr>
              <w:t>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93,616</w:t>
            </w:r>
            <w:r>
              <w:rPr>
                <w:color w:val="000000"/>
              </w:rPr>
              <w:t>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92,951</w:t>
            </w:r>
            <w:r>
              <w:rPr>
                <w:color w:val="000000"/>
              </w:rPr>
              <w:t> </w:t>
            </w:r>
          </w:p>
        </w:tc>
        <w:tc>
          <w:tcPr>
            <w:tcW w:w="3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Total field EBITDA margin</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43.9</w:t>
            </w:r>
            <w:r>
              <w:rPr>
                <w:color w:val="000000"/>
              </w:rPr>
              <w:t>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43.8</w:t>
            </w:r>
            <w:r>
              <w:rPr>
                <w:color w:val="000000"/>
              </w:rPr>
              <w:t>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44.8</w:t>
            </w:r>
            <w:r>
              <w:rPr>
                <w:color w:val="000000"/>
              </w:rPr>
              <w:t>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44.4</w:t>
            </w:r>
            <w:r>
              <w:rPr>
                <w:color w:val="000000"/>
              </w:rPr>
              <w:t> </w:t>
            </w:r>
          </w:p>
        </w:tc>
        <w:tc>
          <w:tcPr>
            <w:tcW w:w="3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Total overhead</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12,128 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12,462 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26,956 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27,741 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Overhead as a percentage of revenue</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w:t>
            </w:r>
            <w:r>
              <w:rPr>
                <w:color w:val="000000"/>
              </w:rPr>
              <w:t>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w:t>
            </w:r>
            <w:r>
              <w:rPr>
                <w:color w:val="000000"/>
              </w:rPr>
              <w:t>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w:t>
            </w:r>
            <w:r>
              <w:rPr>
                <w:color w:val="000000"/>
              </w:rPr>
              <w:t>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w:t>
            </w:r>
            <w:r>
              <w:rPr>
                <w:color w:val="000000"/>
              </w:rPr>
              <w:t> </w:t>
            </w:r>
          </w:p>
        </w:tc>
        <w:tc>
          <w:tcPr>
            <w:tcW w:w="3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Consolidated EBITDA</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33,054</w:t>
            </w:r>
            <w:r>
              <w:rPr>
                <w:color w:val="000000"/>
              </w:rPr>
              <w:t>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32,262</w:t>
            </w:r>
            <w:r>
              <w:rPr>
                <w:color w:val="000000"/>
              </w:rPr>
              <w:t>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66,660</w:t>
            </w:r>
            <w:r>
              <w:rPr>
                <w:color w:val="000000"/>
              </w:rPr>
              <w:t>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65,210</w:t>
            </w:r>
            <w:r>
              <w:rPr>
                <w:color w:val="000000"/>
              </w:rPr>
              <w:t> </w:t>
            </w:r>
          </w:p>
        </w:tc>
        <w:tc>
          <w:tcPr>
            <w:tcW w:w="3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Consolidated EBITDA margin</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w:t>
            </w:r>
            <w:r>
              <w:rPr>
                <w:color w:val="000000"/>
              </w:rPr>
              <w:t>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31.6</w:t>
            </w:r>
            <w:r>
              <w:rPr>
                <w:color w:val="000000"/>
              </w:rPr>
              <w:t>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31.9</w:t>
            </w:r>
            <w:r>
              <w:rPr>
                <w:color w:val="000000"/>
              </w:rPr>
              <w:t>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31.2</w:t>
            </w:r>
            <w:r>
              <w:rPr>
                <w:color w:val="000000"/>
              </w:rPr>
              <w:t> </w:t>
            </w:r>
          </w:p>
        </w:tc>
        <w:tc>
          <w:tcPr>
            <w:tcW w:w="3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Other expenses and interest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&amp; amortization</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7,081 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6,173 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13,036 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11,574 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compensation</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6,683 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7,034 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13,567 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14,332 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(7,652)</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 xml:space="preserve">Pretax income </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17,157</w:t>
            </w:r>
            <w:r>
              <w:rPr>
                <w:color w:val="000000"/>
              </w:rPr>
              <w:t>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16,857</w:t>
            </w:r>
            <w:r>
              <w:rPr>
                <w:color w:val="000000"/>
              </w:rPr>
              <w:t>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35,556</w:t>
            </w:r>
            <w:r>
              <w:rPr>
                <w:color w:val="000000"/>
              </w:rPr>
              <w:t>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43,111</w:t>
            </w:r>
            <w:r>
              <w:rPr>
                <w:color w:val="000000"/>
              </w:rPr>
              <w:t> </w:t>
            </w:r>
          </w:p>
        </w:tc>
        <w:tc>
          <w:tcPr>
            <w:tcW w:w="3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tax expense </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4,885 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5,118 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9,792 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10,446 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 xml:space="preserve">Net income </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12,272</w:t>
            </w:r>
            <w:r>
              <w:rPr>
                <w:color w:val="000000"/>
              </w:rPr>
              <w:t>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11,739</w:t>
            </w:r>
            <w:r>
              <w:rPr>
                <w:color w:val="000000"/>
              </w:rPr>
              <w:t>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25,764</w:t>
            </w:r>
            <w:r>
              <w:rPr>
                <w:color w:val="000000"/>
              </w:rPr>
              <w:t>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32,665</w:t>
            </w:r>
            <w:r>
              <w:rPr>
                <w:color w:val="000000"/>
              </w:rPr>
              <w:t> </w:t>
            </w:r>
          </w:p>
        </w:tc>
        <w:tc>
          <w:tcPr>
            <w:tcW w:w="3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Special items</w:t>
            </w:r>
            <w:r>
              <w:rPr>
                <w:rFonts w:ascii="Times New Roman;serif" w:hAnsi="Times New Roman;serif"/>
                <w:b w:val="false"/>
                <w:color w:val="000000"/>
                <w:sz w:val="13"/>
              </w:rPr>
              <w:t>(1)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310"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0"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310"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(8,217)</w:t>
            </w:r>
          </w:p>
        </w:tc>
        <w:tc>
          <w:tcPr>
            <w:tcW w:w="366"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Tax on special items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Adjusted net income</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12,489</w:t>
            </w:r>
            <w:r>
              <w:rPr>
                <w:color w:val="000000"/>
              </w:rPr>
              <w:t>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11,747</w:t>
            </w:r>
            <w:r>
              <w:rPr>
                <w:color w:val="000000"/>
              </w:rPr>
              <w:t>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26,294</w:t>
            </w:r>
            <w:r>
              <w:rPr>
                <w:color w:val="000000"/>
              </w:rPr>
              <w:t>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26,880</w:t>
            </w:r>
            <w:r>
              <w:rPr>
                <w:color w:val="000000"/>
              </w:rPr>
              <w:t> </w:t>
            </w:r>
          </w:p>
        </w:tc>
        <w:tc>
          <w:tcPr>
            <w:tcW w:w="3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Adjusted net income margin</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w:t>
            </w:r>
            <w:r>
              <w:rPr>
                <w:color w:val="000000"/>
              </w:rPr>
              <w:t>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w:t>
            </w:r>
            <w:r>
              <w:rPr>
                <w:color w:val="000000"/>
              </w:rPr>
              <w:t>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w:t>
            </w:r>
            <w:r>
              <w:rPr>
                <w:color w:val="000000"/>
              </w:rPr>
              <w:t>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w:t>
            </w:r>
            <w:r>
              <w:rPr>
                <w:color w:val="000000"/>
              </w:rPr>
              <w:t> </w:t>
            </w:r>
          </w:p>
        </w:tc>
        <w:tc>
          <w:tcPr>
            <w:tcW w:w="3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diluted earnings per share </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GAAP basic earnings per share</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GAAP diluted earnings per share</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o/s - basic</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15,651 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15,458 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15,609 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15,352 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o/s - diluted</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15,842 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15,653 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15,811 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15,528 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Reconciliation of Consolidated EBITDA to Adjusted consolidated EBITDA</w:t>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Consolidated EBITDA</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33,054</w:t>
            </w:r>
            <w:r>
              <w:rPr>
                <w:color w:val="000000"/>
              </w:rPr>
              <w:t>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32,262</w:t>
            </w:r>
            <w:r>
              <w:rPr>
                <w:color w:val="000000"/>
              </w:rPr>
              <w:t>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66,660</w:t>
            </w:r>
            <w:r>
              <w:rPr>
                <w:color w:val="000000"/>
              </w:rPr>
              <w:t>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65,210</w:t>
            </w:r>
            <w:r>
              <w:rPr>
                <w:color w:val="000000"/>
              </w:rPr>
              <w:t>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Special items</w:t>
            </w:r>
            <w:r>
              <w:rPr>
                <w:rFonts w:ascii="Times New Roman;serif" w:hAnsi="Times New Roman;serif"/>
                <w:b w:val="false"/>
                <w:color w:val="000000"/>
                <w:sz w:val="13"/>
              </w:rPr>
              <w:t>(1)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 xml:space="preserve">Adjusted consolidated EBITDA </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33,259</w:t>
            </w:r>
            <w:r>
              <w:rPr>
                <w:color w:val="000000"/>
              </w:rPr>
              <w:t>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32,262</w:t>
            </w:r>
            <w:r>
              <w:rPr>
                <w:color w:val="000000"/>
              </w:rPr>
              <w:t>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67,012</w:t>
            </w:r>
            <w:r>
              <w:rPr>
                <w:color w:val="000000"/>
              </w:rPr>
              <w:t>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65,210</w:t>
            </w:r>
            <w:r>
              <w:rPr>
                <w:color w:val="000000"/>
              </w:rPr>
              <w:t> </w:t>
            </w:r>
          </w:p>
        </w:tc>
        <w:tc>
          <w:tcPr>
            <w:tcW w:w="3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 xml:space="preserve">Adjusted consolidated EBITDA margin </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w:t>
            </w:r>
            <w:r>
              <w:rPr>
                <w:color w:val="000000"/>
              </w:rPr>
              <w:t>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31.6</w:t>
            </w:r>
            <w:r>
              <w:rPr>
                <w:color w:val="000000"/>
              </w:rPr>
              <w:t>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w:t>
            </w:r>
            <w:r>
              <w:rPr>
                <w:color w:val="000000"/>
              </w:rPr>
              <w:t> </w:t>
            </w:r>
          </w:p>
        </w:tc>
        <w:tc>
          <w:tcPr>
            <w:tcW w:w="3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31.2</w:t>
            </w:r>
            <w:r>
              <w:rPr>
                <w:color w:val="000000"/>
              </w:rPr>
              <w:t> </w:t>
            </w:r>
          </w:p>
        </w:tc>
        <w:tc>
          <w:tcPr>
            <w:tcW w:w="3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76"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 detail of our Special items presented in this table can be found in the Reconciliation of Non-GAAP Financial Measures section of this press release.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0"/>
        </w:rPr>
      </w:pPr>
      <w:r>
        <w:rPr>
          <w:rFonts w:ascii="Times New Roman;serif" w:hAnsi="Times New Roman;serif"/>
          <w:b/>
          <w:i/>
          <w:color w:val="000000"/>
          <w:sz w:val="20"/>
        </w:rPr>
        <w:t>Exhibit 99.1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w:t>
                      </w:r>
                    </w:p>
                  </w:txbxContent>
                </v:textbox>
                <w10:wrap type="none"/>
              </v:rect>
            </w:pict>
          </mc:Fallback>
        </mc:AlternateContent>
      </w:r>
    </w:p>
    <w:p>
      <w:pPr>
        <w:pStyle w:val="TextBody"/>
        <w:bidi w:val="0"/>
        <w:spacing w:before="240" w:after="283"/>
        <w:jc w:val="left"/>
        <w:rPr/>
      </w:pPr>
      <w:r>
        <w:rPr/>
      </w:r>
    </w:p>
    <w:tbl>
      <w:tblPr>
        <w:tblW w:w="8315" w:type="dxa"/>
        <w:jc w:val="center"/>
        <w:tblInd w:w="0" w:type="dxa"/>
        <w:tblLayout w:type="fixed"/>
        <w:tblCellMar>
          <w:top w:w="28" w:type="dxa"/>
          <w:left w:w="28" w:type="dxa"/>
          <w:bottom w:w="28" w:type="dxa"/>
          <w:right w:w="28" w:type="dxa"/>
        </w:tblCellMar>
      </w:tblPr>
      <w:tblGrid>
        <w:gridCol w:w="1725"/>
        <w:gridCol w:w="1511"/>
        <w:gridCol w:w="1519"/>
        <w:gridCol w:w="221"/>
        <w:gridCol w:w="1023"/>
        <w:gridCol w:w="114"/>
        <w:gridCol w:w="114"/>
        <w:gridCol w:w="114"/>
        <w:gridCol w:w="114"/>
        <w:gridCol w:w="292"/>
        <w:gridCol w:w="1355"/>
        <w:gridCol w:w="213"/>
      </w:tblGrid>
      <w:tr>
        <w:trPr/>
        <w:tc>
          <w:tcPr>
            <w:tcW w:w="1725"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31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CARRIAGE SERVICES, INC.</w:t>
            </w:r>
          </w:p>
        </w:tc>
      </w:tr>
      <w:tr>
        <w:trPr/>
        <w:tc>
          <w:tcPr>
            <w:tcW w:w="831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BALANCE SHEET </w:t>
            </w:r>
          </w:p>
        </w:tc>
      </w:tr>
      <w:tr>
        <w:trPr/>
        <w:tc>
          <w:tcPr>
            <w:tcW w:w="831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 and in thousands)</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1"/>
              </w:rPr>
            </w:pPr>
            <w:r>
              <w:rPr>
                <w:rFonts w:ascii="Times New Roman;serif" w:hAnsi="Times New Roman;serif"/>
                <w:b/>
                <w:color w:val="000000"/>
                <w:sz w:val="21"/>
              </w:rPr>
              <w:t>June 30, 2026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1"/>
              </w:rPr>
            </w:pPr>
            <w:r>
              <w:rPr>
                <w:rFonts w:ascii="Times New Roman;serif" w:hAnsi="Times New Roman;serif"/>
                <w:b/>
                <w:color w:val="000000"/>
                <w:sz w:val="21"/>
              </w:rPr>
              <w:t>December 31, 2025</w:t>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ASSETS</w:t>
            </w:r>
          </w:p>
        </w:tc>
        <w:tc>
          <w:tcPr>
            <w:tcW w:w="13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40,647 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12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5,978 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67,640 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56,076 </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trust investments</w:t>
            </w:r>
          </w:p>
        </w:tc>
        <w:tc>
          <w:tcPr>
            <w:tcW w:w="12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113,456 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109,152 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funeral trust investments</w:t>
            </w:r>
          </w:p>
        </w:tc>
        <w:tc>
          <w:tcPr>
            <w:tcW w:w="12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112,900 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115,416 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cemetery receivables, net</w:t>
            </w:r>
          </w:p>
        </w:tc>
        <w:tc>
          <w:tcPr>
            <w:tcW w:w="12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69,605 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67,055 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from preneed funeral trusts, net</w:t>
            </w:r>
          </w:p>
        </w:tc>
        <w:tc>
          <w:tcPr>
            <w:tcW w:w="12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16,255 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2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286,815 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286,810 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 net</w:t>
            </w:r>
          </w:p>
        </w:tc>
        <w:tc>
          <w:tcPr>
            <w:tcW w:w="12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114,718 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115,645 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428,714 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427,897 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and other non-current assets, net</w:t>
            </w:r>
          </w:p>
        </w:tc>
        <w:tc>
          <w:tcPr>
            <w:tcW w:w="12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43,607 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11,563 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12,045 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perpetual care trust investments</w:t>
            </w:r>
          </w:p>
        </w:tc>
        <w:tc>
          <w:tcPr>
            <w:tcW w:w="12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98,772 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95,625 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 held for sale</w:t>
            </w:r>
          </w:p>
        </w:tc>
        <w:tc>
          <w:tcPr>
            <w:tcW w:w="12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1,365,944 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1,345,905 </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LIABILITIES AND STOCKHOLDERS' EQUITY</w:t>
            </w:r>
          </w:p>
        </w:tc>
        <w:tc>
          <w:tcPr>
            <w:tcW w:w="13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debt and lease obligations</w:t>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18,999 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12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33,922 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46,480 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57,217 </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2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526,016 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528,335 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under finance leases, net of current portion</w:t>
            </w:r>
          </w:p>
        </w:tc>
        <w:tc>
          <w:tcPr>
            <w:tcW w:w="12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9,339 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under operating leases, net of current portion</w:t>
            </w:r>
          </w:p>
        </w:tc>
        <w:tc>
          <w:tcPr>
            <w:tcW w:w="12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10,538 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preneed cemetery revenue</w:t>
            </w:r>
          </w:p>
        </w:tc>
        <w:tc>
          <w:tcPr>
            <w:tcW w:w="12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79,360 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76,781 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preneed funeral revenue</w:t>
            </w:r>
          </w:p>
        </w:tc>
        <w:tc>
          <w:tcPr>
            <w:tcW w:w="12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33,663 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2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55,409 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preneed cemetery receipts held in trust</w:t>
            </w:r>
          </w:p>
        </w:tc>
        <w:tc>
          <w:tcPr>
            <w:tcW w:w="12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113,456 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109,152 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preneed funeral receipts held in trust</w:t>
            </w:r>
          </w:p>
        </w:tc>
        <w:tc>
          <w:tcPr>
            <w:tcW w:w="12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112,900 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115,416 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Care trusts’ corpus</w:t>
            </w:r>
          </w:p>
        </w:tc>
        <w:tc>
          <w:tcPr>
            <w:tcW w:w="12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97,864 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93,425 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1,086,575 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1,091,129 </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3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2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237,367 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238,539 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320,480 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294,716 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w:t>
            </w:r>
          </w:p>
        </w:tc>
        <w:tc>
          <w:tcPr>
            <w:tcW w:w="12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(278,753)</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279,369 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254,776 </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1,365,944 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1,345,905 </w:t>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lineRule="auto" w:line="288" w:before="0" w:after="0"/>
        <w:jc w:val="right"/>
        <w:rPr>
          <w:rFonts w:ascii="Times New Roman;serif" w:hAnsi="Times New Roman;serif"/>
          <w:b/>
          <w:i/>
          <w:color w:val="000000"/>
          <w:sz w:val="20"/>
        </w:rPr>
      </w:pPr>
      <w:r>
        <w:rPr>
          <w:rFonts w:ascii="Times New Roman;serif" w:hAnsi="Times New Roman;serif"/>
          <w:b/>
          <w:i/>
          <w:color w:val="000000"/>
          <w:sz w:val="20"/>
        </w:rPr>
        <w:t>Exhibit 99.1</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240" w:after="283"/>
        <w:jc w:val="left"/>
        <w:rPr/>
      </w:pPr>
      <w:r>
        <w:rPr/>
      </w:r>
    </w:p>
    <w:tbl>
      <w:tblPr>
        <w:tblW w:w="10205" w:type="dxa"/>
        <w:jc w:val="center"/>
        <w:tblInd w:w="0" w:type="dxa"/>
        <w:tblLayout w:type="fixed"/>
        <w:tblCellMar>
          <w:top w:w="28" w:type="dxa"/>
          <w:left w:w="28" w:type="dxa"/>
          <w:bottom w:w="28" w:type="dxa"/>
          <w:right w:w="28" w:type="dxa"/>
        </w:tblCellMar>
      </w:tblPr>
      <w:tblGrid>
        <w:gridCol w:w="1702"/>
        <w:gridCol w:w="1462"/>
        <w:gridCol w:w="1430"/>
        <w:gridCol w:w="218"/>
        <w:gridCol w:w="748"/>
        <w:gridCol w:w="113"/>
        <w:gridCol w:w="113"/>
        <w:gridCol w:w="113"/>
        <w:gridCol w:w="113"/>
        <w:gridCol w:w="218"/>
        <w:gridCol w:w="748"/>
        <w:gridCol w:w="113"/>
        <w:gridCol w:w="109"/>
        <w:gridCol w:w="109"/>
        <w:gridCol w:w="109"/>
        <w:gridCol w:w="211"/>
        <w:gridCol w:w="721"/>
        <w:gridCol w:w="109"/>
        <w:gridCol w:w="109"/>
        <w:gridCol w:w="109"/>
        <w:gridCol w:w="109"/>
        <w:gridCol w:w="211"/>
        <w:gridCol w:w="721"/>
        <w:gridCol w:w="109"/>
        <w:gridCol w:w="109"/>
        <w:gridCol w:w="109"/>
        <w:gridCol w:w="160"/>
      </w:tblGrid>
      <w:tr>
        <w:trPr/>
        <w:tc>
          <w:tcPr>
            <w:tcW w:w="1702"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CARRIAGE SERVICES, INC.</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 and in thousands, except per share data)</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merchandise revenue</w:t>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47,149 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102,949 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102,147 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209,069 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costs and expenses:</w:t>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w:t>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merchandise</w:t>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Cemetery property amortization</w:t>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depreciation expense</w:t>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and unallocated funeral and cemetery costs</w:t>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field costs and expenses</w:t>
            </w:r>
          </w:p>
        </w:tc>
        <w:tc>
          <w:tcPr>
            <w:tcW w:w="9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67,905 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66,212 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135,385 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35,044 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35,935 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73,684 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costs and expenses:</w:t>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(gain) on divestitures and impairment charges</w:t>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23,953 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23,998 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net </w:t>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17,157 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16,857 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for income taxes</w:t>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related to discrete income tax items</w:t>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 for income taxes</w:t>
            </w:r>
          </w:p>
        </w:tc>
        <w:tc>
          <w:tcPr>
            <w:tcW w:w="9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4,885 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5,118 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12,272 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11,739 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21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13"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113"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per common share:</w:t>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0.1125 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0.1125 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and common equivalent shares outstanding:</w:t>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66"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15,842 </w:t>
            </w:r>
          </w:p>
        </w:tc>
        <w:tc>
          <w:tcPr>
            <w:tcW w:w="113"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15,653 </w:t>
            </w:r>
          </w:p>
        </w:tc>
        <w:tc>
          <w:tcPr>
            <w:tcW w:w="113"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15,811 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15,528 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i/>
          <w:color w:val="000000"/>
          <w:sz w:val="20"/>
        </w:rPr>
      </w:pPr>
      <w:r>
        <w:rPr>
          <w:rFonts w:ascii="Times New Roman;serif" w:hAnsi="Times New Roman;serif"/>
          <w:b/>
          <w:i/>
          <w:color w:val="000000"/>
          <w:sz w:val="20"/>
        </w:rPr>
        <w:t>Exhibit 99.1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240" w:after="283"/>
        <w:jc w:val="left"/>
        <w:rPr/>
      </w:pPr>
      <w:r>
        <w:rPr/>
      </w:r>
    </w:p>
    <w:tbl>
      <w:tblPr>
        <w:tblW w:w="10205" w:type="dxa"/>
        <w:jc w:val="center"/>
        <w:tblInd w:w="0" w:type="dxa"/>
        <w:tblLayout w:type="fixed"/>
        <w:tblCellMar>
          <w:top w:w="28" w:type="dxa"/>
          <w:left w:w="28" w:type="dxa"/>
          <w:bottom w:w="28" w:type="dxa"/>
          <w:right w:w="28" w:type="dxa"/>
        </w:tblCellMar>
      </w:tblPr>
      <w:tblGrid>
        <w:gridCol w:w="2351"/>
        <w:gridCol w:w="2009"/>
        <w:gridCol w:w="2015"/>
        <w:gridCol w:w="329"/>
        <w:gridCol w:w="1125"/>
        <w:gridCol w:w="169"/>
        <w:gridCol w:w="169"/>
        <w:gridCol w:w="169"/>
        <w:gridCol w:w="169"/>
        <w:gridCol w:w="329"/>
        <w:gridCol w:w="1125"/>
        <w:gridCol w:w="246"/>
      </w:tblGrid>
      <w:tr>
        <w:trPr/>
        <w:tc>
          <w:tcPr>
            <w:tcW w:w="2351"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CARRIAGE SERVICES,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 and in thousands)</w:t>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w:t>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6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25,764 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32,665 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13,037 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11,574 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expense</w:t>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and accretion of debt</w:t>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(gain) on divestitures and impairment charges</w:t>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(5,771)</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sale of excess real property</w:t>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that provided (used) cash:</w:t>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preneed receivables</w:t>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(7,601)</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(11,430)</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prepaid, and other current assets</w:t>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(7,376)</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and other non-current assets</w:t>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Preneed funeral and cemetery trust investments</w:t>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(8,229)</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(10,458)</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preneed funeral and cemetery revenue</w:t>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preneed funeral and cemetery receipts held in trust</w:t>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4,762 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4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22,450 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21,877 </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businesses</w:t>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(9,223)</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(6,009)</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divestitures and sale of other assets</w:t>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18,822 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14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(13,381)</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12,813 </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from the credit facility</w:t>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63,029 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against the credit facility</w:t>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(65,729)</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(48,700)</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acquisition debt and obligations under finance leases</w:t>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exercise of stock options and employee stock purchase plan contributions</w:t>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on restricted stock, performance award vestings, and exercise of stock options</w:t>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(7,631)</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on common stock</w:t>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4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(8,207)</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(34,457)</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3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2,550 </w:t>
            </w:r>
          </w:p>
        </w:tc>
        <w:tc>
          <w:tcPr>
            <w:tcW w:w="1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0"/>
        </w:rPr>
      </w:pPr>
      <w:r>
        <w:rPr>
          <w:rFonts w:ascii="Times New Roman;serif" w:hAnsi="Times New Roman;serif"/>
          <w:b/>
          <w:i/>
          <w:color w:val="000000"/>
          <w:sz w:val="20"/>
        </w:rPr>
        <w:t>Exhibit 99.1</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120"/>
        <w:jc w:val="both"/>
        <w:rPr/>
      </w:pPr>
      <w:r>
        <w:rPr>
          <w:rFonts w:ascii="Times New Roman;serif" w:hAnsi="Times New Roman;serif"/>
          <w:b/>
          <w:i/>
          <w:color w:val="000000"/>
          <w:sz w:val="22"/>
          <w:u w:val="single"/>
        </w:rPr>
        <w:t>NON-GAAP FINANCIAL MEASURES</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This earnings release uses Non-GAAP financial measures to present the financial performance of the Company. Non-GAAP financial measures should be viewed in addition to, and not as an alternative for, the Company’s reported operating results or cash flow from operations or any other measure of performance as determined in accordance with GAAP. We believe the Non-GAAP results are useful to investors to compare our results to previous periods, to provide insight into the underlying long-term performance trends in our business and to provide the opportunity to differentiate ourselves as the best consolidation platform in the industry against the performance of other funeral and cemetery companies. </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Reconciliations of the Non-GAAP financial measures to GAAP measures are also provided in this earnings release.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Non-GAAP financial measures used in this earnings release and the definitions of them used by the Company for our internal management purposes in this earnings release are described below.</w:t>
      </w:r>
    </w:p>
    <w:p>
      <w:pPr>
        <w:pStyle w:val="TextBody"/>
        <w:bidi w:val="0"/>
        <w:spacing w:lineRule="auto" w:line="288" w:before="50" w:after="283"/>
        <w:ind w:left="0" w:right="0" w:hanging="360"/>
        <w:jc w:val="both"/>
        <w:rPr/>
      </w:pPr>
      <w:r>
        <w:rPr>
          <w:color w:val="000000"/>
        </w:rPr>
        <w:t>•</w:t>
      </w:r>
      <w:r>
        <w:rPr>
          <w:rFonts w:ascii="Times New Roman;serif" w:hAnsi="Times New Roman;serif"/>
          <w:b w:val="false"/>
          <w:color w:val="000000"/>
          <w:sz w:val="22"/>
        </w:rPr>
        <w:t>Special items are defined as charges or credits included in our GAAP financial statements that can vary from period to period and are not reflective of costs incurred in the ordinary course of our operations. The tax adjustment related to certain discrete items is not tax effected, all other special items are taxed at the operating tax rate.</w:t>
      </w:r>
    </w:p>
    <w:p>
      <w:pPr>
        <w:pStyle w:val="TextBody"/>
        <w:bidi w:val="0"/>
        <w:spacing w:lineRule="auto" w:line="288" w:before="50" w:after="283"/>
        <w:ind w:left="0" w:right="0" w:hanging="360"/>
        <w:jc w:val="both"/>
        <w:rPr/>
      </w:pPr>
      <w:r>
        <w:rPr>
          <w:color w:val="000000"/>
        </w:rPr>
        <w:t>•</w:t>
      </w:r>
      <w:r>
        <w:rPr>
          <w:rFonts w:ascii="Times New Roman;serif" w:hAnsi="Times New Roman;serif"/>
          <w:b w:val="false"/>
          <w:color w:val="000000"/>
          <w:sz w:val="22"/>
        </w:rPr>
        <w:t xml:space="preserve">Adjusted net income is defined as net income after adjustments for special items that we believe do not directly reflect our core operations and may not be indicative of our normal business operations. Adjusted net income margin is defined as adjusted net income as a percentage of total revenue. </w:t>
      </w:r>
    </w:p>
    <w:p>
      <w:pPr>
        <w:pStyle w:val="TextBody"/>
        <w:bidi w:val="0"/>
        <w:spacing w:lineRule="auto" w:line="288" w:before="50" w:after="283"/>
        <w:ind w:left="0" w:right="0" w:hanging="360"/>
        <w:jc w:val="both"/>
        <w:rPr/>
      </w:pPr>
      <w:r>
        <w:rPr>
          <w:color w:val="000000"/>
        </w:rPr>
        <w:t>•</w:t>
      </w:r>
      <w:r>
        <w:rPr>
          <w:rFonts w:ascii="Times New Roman;serif" w:hAnsi="Times New Roman;serif"/>
          <w:b w:val="false"/>
          <w:color w:val="000000"/>
          <w:sz w:val="22"/>
        </w:rPr>
        <w:t xml:space="preserve">Consolidated EBITDA is defined as operating income, plus depreciation and amortization expense, non-cash stock compensation and net loss on divestitures, disposals, and impairment charges. Consolidated EBITDA margin is defined as consolidated EBITDA as a percentage of total revenue. </w:t>
      </w:r>
    </w:p>
    <w:p>
      <w:pPr>
        <w:pStyle w:val="TextBody"/>
        <w:bidi w:val="0"/>
        <w:spacing w:lineRule="auto" w:line="288" w:before="50" w:after="283"/>
        <w:ind w:left="0" w:right="0" w:hanging="360"/>
        <w:jc w:val="both"/>
        <w:rPr/>
      </w:pPr>
      <w:r>
        <w:rPr>
          <w:color w:val="000000"/>
        </w:rPr>
        <w:t>•</w:t>
      </w:r>
      <w:r>
        <w:rPr>
          <w:rFonts w:ascii="Times New Roman;serif" w:hAnsi="Times New Roman;serif"/>
          <w:b w:val="false"/>
          <w:color w:val="000000"/>
          <w:sz w:val="22"/>
        </w:rPr>
        <w:t xml:space="preserve">Adjusted consolidated EBITDA is defined as consolidated EBITDA after adjustments for severance and separation costs and other special items. Adjusted consolidated EBITDA margin is defined as adjusted consolidated EBITDA as a percentage of total revenue. </w:t>
      </w:r>
    </w:p>
    <w:p>
      <w:pPr>
        <w:pStyle w:val="TextBody"/>
        <w:bidi w:val="0"/>
        <w:spacing w:lineRule="auto" w:line="288" w:before="50" w:after="283"/>
        <w:ind w:left="0" w:right="0" w:hanging="360"/>
        <w:jc w:val="both"/>
        <w:rPr/>
      </w:pPr>
      <w:r>
        <w:rPr>
          <w:color w:val="000000"/>
        </w:rPr>
        <w:t>•</w:t>
      </w:r>
      <w:r>
        <w:rPr>
          <w:rFonts w:ascii="Times New Roman;serif" w:hAnsi="Times New Roman;serif"/>
          <w:b w:val="false"/>
          <w:color w:val="000000"/>
          <w:sz w:val="22"/>
        </w:rPr>
        <w:t>Adjusted free cash flow is defined as cash provided by operating activities, adjusted by special items as deemed necessary, less cash for capital expenditures, which include cemetery property development costs, facility repairs and improvements, equipment, furniture, and vehicle purchases. Adjusted free cash flow margin is defined as adjusted free cash flow as a percentage of total revenue.</w:t>
      </w:r>
    </w:p>
    <w:p>
      <w:pPr>
        <w:pStyle w:val="TextBody"/>
        <w:bidi w:val="0"/>
        <w:spacing w:lineRule="auto" w:line="288" w:before="50" w:after="283"/>
        <w:ind w:left="0" w:right="0" w:hanging="360"/>
        <w:jc w:val="both"/>
        <w:rPr/>
      </w:pPr>
      <w:r>
        <w:rPr>
          <w:color w:val="000000"/>
        </w:rPr>
        <w:t>•</w:t>
      </w:r>
      <w:r>
        <w:rPr>
          <w:rFonts w:ascii="Times New Roman;serif" w:hAnsi="Times New Roman;serif"/>
          <w:b w:val="false"/>
          <w:color w:val="000000"/>
          <w:sz w:val="22"/>
        </w:rPr>
        <w:t>Funeral comparable EBITDA is defined as funeral gross profit, plus depreciation and amortization and regional and unallocated costs, less financial EBITDA, ancillary EBITDA, acquisition EBITDA, and divested EBITDA related to the funeral home segment. Funeral comparable EBITDA margin is defined as funeral comparable EBITDA as a percentage of funeral comparable revenue.</w:t>
      </w:r>
    </w:p>
    <w:p>
      <w:pPr>
        <w:pStyle w:val="TextBody"/>
        <w:bidi w:val="0"/>
        <w:spacing w:lineRule="auto" w:line="288" w:before="50" w:after="283"/>
        <w:ind w:left="0" w:right="0" w:hanging="360"/>
        <w:jc w:val="both"/>
        <w:rPr/>
      </w:pPr>
      <w:r>
        <w:rPr>
          <w:color w:val="000000"/>
        </w:rPr>
        <w:t>•</w:t>
      </w:r>
      <w:r>
        <w:rPr>
          <w:rFonts w:ascii="Times New Roman;serif" w:hAnsi="Times New Roman;serif"/>
          <w:b w:val="false"/>
          <w:color w:val="000000"/>
          <w:sz w:val="22"/>
        </w:rPr>
        <w:t>Cemetery comparable EBITDA is defined as cemetery gross profit, plus depreciation and amortization and regional and unallocated costs, less financial EBITDA, acquisition EBITDA, and divested EBITDA related to the cemetery segment. Cemetery comparable EBITDA margin is defined as cemetery comparable EBITDA as a percentage of cemetery comparable revenue.</w:t>
      </w:r>
    </w:p>
    <w:p>
      <w:pPr>
        <w:pStyle w:val="TextBody"/>
        <w:bidi w:val="0"/>
        <w:spacing w:lineRule="auto" w:line="288" w:before="50" w:after="283"/>
        <w:ind w:left="0" w:right="0" w:hanging="360"/>
        <w:jc w:val="both"/>
        <w:rPr/>
      </w:pPr>
      <w:r>
        <w:rPr>
          <w:color w:val="000000"/>
        </w:rPr>
        <w:t>•</w:t>
      </w:r>
      <w:r>
        <w:rPr>
          <w:rFonts w:ascii="Times New Roman;serif" w:hAnsi="Times New Roman;serif"/>
          <w:b w:val="false"/>
          <w:color w:val="000000"/>
          <w:sz w:val="22"/>
        </w:rPr>
        <w:t>Preneed cemetery sales is defined as cemetery property, merchandise, and services sold prior to death.</w:t>
      </w:r>
    </w:p>
    <w:p>
      <w:pPr>
        <w:pStyle w:val="TextBody"/>
        <w:bidi w:val="0"/>
        <w:spacing w:lineRule="auto" w:line="288" w:before="50" w:after="283"/>
        <w:ind w:left="0" w:right="0" w:hanging="360"/>
        <w:jc w:val="both"/>
        <w:rPr/>
      </w:pPr>
      <w:r>
        <w:rPr>
          <w:color w:val="000000"/>
        </w:rPr>
        <w:t>•</w:t>
      </w:r>
      <w:r>
        <w:rPr>
          <w:rFonts w:ascii="Times New Roman;serif" w:hAnsi="Times New Roman;serif"/>
          <w:b w:val="false"/>
          <w:color w:val="000000"/>
          <w:sz w:val="22"/>
        </w:rPr>
        <w:t xml:space="preserve">Financial EBITDA is defined as financial revenue, less the related expenses. Financial revenue and the related expenses are presented within </w:t>
      </w:r>
      <w:r>
        <w:rPr>
          <w:rFonts w:ascii="Times New Roman;serif" w:hAnsi="Times New Roman;serif"/>
          <w:b w:val="false"/>
          <w:i/>
          <w:color w:val="000000"/>
          <w:sz w:val="22"/>
        </w:rPr>
        <w:t>Other revenue</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i/>
          <w:color w:val="000000"/>
          <w:sz w:val="22"/>
        </w:rPr>
        <w:t>Other expenses,</w:t>
      </w:r>
      <w:r>
        <w:rPr>
          <w:color w:val="000000"/>
        </w:rPr>
        <w:t xml:space="preserve"> </w:t>
      </w:r>
      <w:r>
        <w:rPr>
          <w:rFonts w:ascii="Times New Roman;serif" w:hAnsi="Times New Roman;serif"/>
          <w:b w:val="false"/>
          <w:color w:val="000000"/>
          <w:sz w:val="22"/>
        </w:rPr>
        <w:t>respectively, on the Consolidated Statement of Operations. Financial EBITDA margin is defined as financial EBITDA as a percentage of financial revenue.</w:t>
      </w:r>
    </w:p>
    <w:p>
      <w:pPr>
        <w:pStyle w:val="TextBody"/>
        <w:bidi w:val="0"/>
        <w:spacing w:lineRule="auto" w:line="288" w:before="50" w:after="283"/>
        <w:ind w:left="0" w:right="0" w:hanging="360"/>
        <w:jc w:val="both"/>
        <w:rPr/>
      </w:pPr>
      <w:r>
        <w:rPr>
          <w:color w:val="000000"/>
        </w:rPr>
        <w:t>•</w:t>
      </w:r>
      <w:r>
        <w:rPr>
          <w:rFonts w:ascii="Times New Roman;serif" w:hAnsi="Times New Roman;serif"/>
          <w:b w:val="false"/>
          <w:color w:val="000000"/>
          <w:sz w:val="22"/>
        </w:rPr>
        <w:t xml:space="preserve">Ancillary revenue is defined as revenues from our ancillary businesses, which include a flower shop, a monument business, a pet cremation business and our online cremation businesses. Ancillary revenue and the related expenses are presented within </w:t>
      </w:r>
      <w:r>
        <w:rPr>
          <w:rFonts w:ascii="Times New Roman;serif" w:hAnsi="Times New Roman;serif"/>
          <w:b w:val="false"/>
          <w:i/>
          <w:color w:val="000000"/>
          <w:sz w:val="22"/>
        </w:rPr>
        <w:t>Other revenue</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i/>
          <w:color w:val="000000"/>
          <w:sz w:val="22"/>
        </w:rPr>
        <w:t xml:space="preserve">Other expenses, </w:t>
      </w:r>
      <w:r>
        <w:rPr>
          <w:rFonts w:ascii="Times New Roman;serif" w:hAnsi="Times New Roman;serif"/>
          <w:b w:val="false"/>
          <w:color w:val="000000"/>
          <w:sz w:val="22"/>
        </w:rPr>
        <w:t>respectively, on the Consolidated Statement of Operations.</w:t>
      </w:r>
    </w:p>
    <w:p>
      <w:pPr>
        <w:pStyle w:val="TextBody"/>
        <w:bidi w:val="0"/>
        <w:spacing w:lineRule="auto" w:line="288" w:before="50" w:after="283"/>
        <w:ind w:left="0" w:right="0" w:hanging="360"/>
        <w:jc w:val="both"/>
        <w:rPr/>
      </w:pPr>
      <w:r>
        <w:rPr>
          <w:color w:val="000000"/>
        </w:rPr>
        <w:t>•</w:t>
      </w:r>
      <w:r>
        <w:rPr>
          <w:rFonts w:ascii="Times New Roman;serif" w:hAnsi="Times New Roman;serif"/>
          <w:b w:val="false"/>
          <w:color w:val="000000"/>
          <w:sz w:val="22"/>
        </w:rPr>
        <w:t>Ancillary EBITDA is defined as ancillary revenue, less expenses related to our ancillary businesses noted above. Ancillary EBITDA margin is defined as ancillary EBITDA as a percentage of ancillary revenue.</w:t>
      </w:r>
    </w:p>
    <w:p>
      <w:pPr>
        <w:pStyle w:val="TextBody"/>
        <w:bidi w:val="0"/>
        <w:spacing w:lineRule="auto" w:line="288" w:before="50" w:after="283"/>
        <w:ind w:left="0" w:right="0" w:hanging="360"/>
        <w:jc w:val="both"/>
        <w:rPr/>
      </w:pPr>
      <w:r>
        <w:rPr>
          <w:color w:val="000000"/>
        </w:rPr>
        <w:t>•</w:t>
      </w:r>
      <w:r>
        <w:rPr>
          <w:rFonts w:ascii="Times New Roman;serif" w:hAnsi="Times New Roman;serif"/>
          <w:b w:val="false"/>
          <w:color w:val="000000"/>
          <w:sz w:val="22"/>
        </w:rPr>
        <w:t>Divested revenue is defined as revenues from certain funeral home and cemetery businesses that we have divested.</w:t>
      </w:r>
    </w:p>
    <w:p>
      <w:pPr>
        <w:pStyle w:val="TextBody"/>
        <w:bidi w:val="0"/>
        <w:spacing w:lineRule="auto" w:line="288" w:before="0" w:after="0"/>
        <w:jc w:val="right"/>
        <w:rPr>
          <w:rFonts w:ascii="Times New Roman;serif" w:hAnsi="Times New Roman;serif"/>
          <w:b/>
          <w:i/>
          <w:color w:val="000000"/>
          <w:sz w:val="20"/>
        </w:rPr>
      </w:pPr>
      <w:r>
        <w:rPr>
          <w:rFonts w:ascii="Times New Roman;serif" w:hAnsi="Times New Roman;serif"/>
          <w:b/>
          <w:i/>
          <w:color w:val="000000"/>
          <w:sz w:val="20"/>
        </w:rPr>
        <w:t>Exhibit 99.1</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50" w:after="283"/>
        <w:ind w:left="0" w:right="0" w:hanging="360"/>
        <w:jc w:val="both"/>
        <w:rPr/>
      </w:pPr>
      <w:r>
        <w:rPr>
          <w:color w:val="000000"/>
        </w:rPr>
        <w:t>•</w:t>
      </w:r>
      <w:r>
        <w:rPr>
          <w:rFonts w:ascii="Times New Roman;serif" w:hAnsi="Times New Roman;serif"/>
          <w:b w:val="false"/>
          <w:color w:val="000000"/>
          <w:sz w:val="22"/>
        </w:rPr>
        <w:t>Divested EBITDA is defined as divested revenue, less field level and financial expenses related to the divested businesses noted above. Divested EBITDA margin is defined as divested EBITDA as a percentage of divested revenue.</w:t>
      </w:r>
    </w:p>
    <w:p>
      <w:pPr>
        <w:pStyle w:val="TextBody"/>
        <w:bidi w:val="0"/>
        <w:spacing w:lineRule="auto" w:line="288" w:before="50" w:after="283"/>
        <w:ind w:left="0" w:right="0" w:hanging="360"/>
        <w:jc w:val="both"/>
        <w:rPr/>
      </w:pPr>
      <w:r>
        <w:rPr>
          <w:color w:val="000000"/>
        </w:rPr>
        <w:t>•</w:t>
      </w:r>
      <w:r>
        <w:rPr>
          <w:rFonts w:ascii="Times New Roman;serif" w:hAnsi="Times New Roman;serif"/>
          <w:b w:val="false"/>
          <w:color w:val="000000"/>
          <w:sz w:val="22"/>
        </w:rPr>
        <w:t xml:space="preserve">Overhead expenses are defined as </w:t>
      </w:r>
      <w:r>
        <w:rPr>
          <w:rFonts w:ascii="Times New Roman;serif" w:hAnsi="Times New Roman;serif"/>
          <w:b w:val="false"/>
          <w:i/>
          <w:color w:val="000000"/>
          <w:sz w:val="22"/>
        </w:rPr>
        <w:t xml:space="preserve">regional and unallocated funeral and cemetery costs </w:t>
      </w:r>
      <w:r>
        <w:rPr>
          <w:rFonts w:ascii="Times New Roman;serif" w:hAnsi="Times New Roman;serif"/>
          <w:b w:val="false"/>
          <w:color w:val="000000"/>
          <w:sz w:val="22"/>
        </w:rPr>
        <w:t xml:space="preserve">and </w:t>
      </w:r>
      <w:r>
        <w:rPr>
          <w:rFonts w:ascii="Times New Roman;serif" w:hAnsi="Times New Roman;serif"/>
          <w:b w:val="false"/>
          <w:i/>
          <w:color w:val="000000"/>
          <w:sz w:val="22"/>
        </w:rPr>
        <w:t xml:space="preserve">general, administrative, and other </w:t>
      </w:r>
      <w:r>
        <w:rPr>
          <w:rFonts w:ascii="Times New Roman;serif" w:hAnsi="Times New Roman;serif"/>
          <w:b w:val="false"/>
          <w:color w:val="000000"/>
          <w:sz w:val="22"/>
        </w:rPr>
        <w:t>costs, excluding home office depreciation and non-cash stock compensation.</w:t>
      </w:r>
    </w:p>
    <w:p>
      <w:pPr>
        <w:pStyle w:val="TextBody"/>
        <w:bidi w:val="0"/>
        <w:spacing w:lineRule="auto" w:line="288" w:before="50" w:after="283"/>
        <w:ind w:left="0" w:right="0" w:hanging="360"/>
        <w:jc w:val="both"/>
        <w:rPr/>
      </w:pPr>
      <w:r>
        <w:rPr>
          <w:color w:val="000000"/>
        </w:rPr>
        <w:t>•</w:t>
      </w:r>
      <w:r>
        <w:rPr>
          <w:rFonts w:ascii="Times New Roman;serif" w:hAnsi="Times New Roman;serif"/>
          <w:b w:val="false"/>
          <w:color w:val="000000"/>
          <w:sz w:val="22"/>
        </w:rPr>
        <w:t>Adjusted basic earnings per share (EPS) is defined as GAAP basic earnings per share, adjusted for special items.</w:t>
      </w:r>
    </w:p>
    <w:p>
      <w:pPr>
        <w:pStyle w:val="TextBody"/>
        <w:bidi w:val="0"/>
        <w:spacing w:lineRule="auto" w:line="288" w:before="50" w:after="283"/>
        <w:ind w:left="0" w:right="0" w:hanging="360"/>
        <w:jc w:val="both"/>
        <w:rPr/>
      </w:pPr>
      <w:r>
        <w:rPr>
          <w:color w:val="000000"/>
        </w:rPr>
        <w:t>•</w:t>
      </w:r>
      <w:r>
        <w:rPr>
          <w:rFonts w:ascii="Times New Roman;serif" w:hAnsi="Times New Roman;serif"/>
          <w:b w:val="false"/>
          <w:color w:val="000000"/>
          <w:sz w:val="22"/>
        </w:rPr>
        <w:t xml:space="preserve">Adjusted diluted earnings per share (EPS) is defined as GAAP diluted earnings per share, adjusted for special items. </w:t>
      </w:r>
    </w:p>
    <w:p>
      <w:pPr>
        <w:pStyle w:val="TextBody"/>
        <w:bidi w:val="0"/>
        <w:spacing w:lineRule="auto" w:line="276" w:before="240" w:after="120"/>
        <w:jc w:val="left"/>
        <w:rPr>
          <w:rFonts w:ascii="Times New Roman;serif" w:hAnsi="Times New Roman;serif"/>
          <w:b/>
          <w:i/>
          <w:color w:val="000000"/>
          <w:sz w:val="22"/>
        </w:rPr>
      </w:pPr>
      <w:r>
        <w:rPr>
          <w:rFonts w:ascii="Times New Roman;serif" w:hAnsi="Times New Roman;serif"/>
          <w:b/>
          <w:i/>
          <w:color w:val="000000"/>
          <w:sz w:val="22"/>
        </w:rPr>
        <w:t xml:space="preserve">Funeral Comparable EBITDA and Cemetery Comparable EBITDA </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Our operations are reported in two business segments: Funeral Home operations and Cemetery operations. Our operating level results highlight trends in volumes, revenue, operating EBITDA (the individual business’ cash earning power/locally controllable business profit), and operating EBITDA margin (the individual business’ controllable profit margin). </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Funeral comparable EBITDA and cemetery comparable EBITDA are defined above. Funeral and cemetery gross profit is defined as revenue less “field costs and expenses” — a line item encompassing these areas of costs: i) funeral and cemetery field costs, ii) field depreciation and amortization expense, and iii) regional and unallocated funeral and cemetery costs. Funeral and cemetery field costs include cost of service, funeral and cemetery merchandise costs, operating expenses, labor, and other related expenses incurred at the business level. </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Regional and unallocated funeral and cemetery costs presented in our GAAP statement consist primarily of salaries and benefits of our regional leadership, incentive compensation opportunity to our field employees, and other related costs for field infrastructure. These costs, while necessary to operate our businesses as currently operated within our unique, decentralized platform, are not controllable operating expenses at the field level as the composition, structure and function of these costs are determined by executive leadership in the Houston Support Center. These costs are components of our overall overhead platform presented within consolidated EBITDA and adjusted consolidated EBITDA. We do not directly or indirectly “push down” any of these expenses to the individual business’ field level margins.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We believe that our “regional and unallocated funeral and cemetery costs” are necessary to support our decentralized, high performance culture operating framework, and as such, are included in consolidated EBITDA and adjusted consolidated EBITDA, which more accurately reflects the cash earning power of the Company as an operating and consolidation platform.</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Usefulness and Limitations of These Measures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When used in conjunction with GAAP financial measures, our total EBITDA, consolidated EBITDA and adjusted consolidated EBITDA are supplemental measures of operating performance that we believe are useful measures to facilitate comparisons to our historical consolidated and business level performance and operating results. </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We believe our presentation of adjusted consolidated EBITDA, a key metric used internally by our management, provides investors with a supplemental view of our operating performance that facilitates analysis and comparisons of our ongoing business operations because it excludes items that may not be indicative of our ongoing operating performance.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Our total field EBITDA, consolidated EBITDA and adjusted consolidated EBITDA are not necessarily comparable to similarly titled measures used by other companies due to different methods of calculation. Our presentation is not intended to be considered in isolation or as a substitute for, or superior to, the financial information prepared and presented in accordance with GAAP. Funeral comparable EBITDA, cemetery comparable EBITDA, financial EBITDA, ancillary EBITDA, acquisition EBITDA, and divested EBITDA are not consolidated measures of profitability.</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Our total field EBITDA excludes certain costs presented in our GAAP statement that we do not allocate to the individual business’ field level margins, as noted above. </w:t>
      </w:r>
    </w:p>
    <w:p>
      <w:pPr>
        <w:pStyle w:val="TextBody"/>
        <w:bidi w:val="0"/>
        <w:spacing w:lineRule="auto" w:line="288" w:before="0" w:after="0"/>
        <w:jc w:val="right"/>
        <w:rPr>
          <w:rFonts w:ascii="Times New Roman;serif" w:hAnsi="Times New Roman;serif"/>
          <w:b/>
          <w:i/>
          <w:color w:val="000000"/>
          <w:sz w:val="20"/>
        </w:rPr>
      </w:pPr>
      <w:r>
        <w:rPr>
          <w:rFonts w:ascii="Times New Roman;serif" w:hAnsi="Times New Roman;serif"/>
          <w:b/>
          <w:i/>
          <w:color w:val="000000"/>
          <w:sz w:val="20"/>
        </w:rPr>
        <w:t>Exhibit 99.1</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Consolidated EBITDA excludes certain items that we believe do not directly reflect our core operations and may not be indicative of our normal business operations. A reconciliation to operating income, the most directly comparable GAAP measure, is set forth below. </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Therefore, these measures may not provide a complete understanding of our performance and should be reviewed in conjunction with our GAAP financial measures. We strongly encourage investors to review the Company's consolidated financial statements and publicly filed reports in their entirety and not rely on any single financial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2"/>
          <w:u w:val="single"/>
        </w:rPr>
      </w:pPr>
      <w:r>
        <w:rPr>
          <w:rFonts w:ascii="Times New Roman;serif" w:hAnsi="Times New Roman;serif"/>
          <w:b/>
          <w:i/>
          <w:color w:val="000000"/>
          <w:sz w:val="22"/>
          <w:u w:val="single"/>
        </w:rPr>
        <w:t>RECONCILIATION OF NON-GAAP FINANCIAL MEASURES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Non-GAAP financial measures are presented for additional information and are reconciled to their most comparable GAAP measures, all of which are reflected in the tables below.</w:t>
      </w:r>
    </w:p>
    <w:p>
      <w:pPr>
        <w:pStyle w:val="TextBody"/>
        <w:bidi w:val="0"/>
        <w:spacing w:lineRule="auto" w:line="288" w:before="120" w:after="283"/>
        <w:jc w:val="both"/>
        <w:rPr>
          <w:rFonts w:ascii="Times New Roman;serif" w:hAnsi="Times New Roman;serif"/>
          <w:b/>
          <w:i/>
          <w:color w:val="000000"/>
          <w:sz w:val="22"/>
        </w:rPr>
      </w:pPr>
      <w:r>
        <w:rPr>
          <w:rFonts w:ascii="Times New Roman;serif" w:hAnsi="Times New Roman;serif"/>
          <w:b/>
          <w:i/>
          <w:color w:val="000000"/>
          <w:sz w:val="22"/>
        </w:rPr>
        <w:t>Reconciliation of Operating income to Consolidated EBITDA and Adjusted consolidated EBITDA (in thousands) and Operating income margin to Adjusted consolidated EBITDA margin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552"/>
        <w:gridCol w:w="1361"/>
        <w:gridCol w:w="1353"/>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55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55,562 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&amp;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(gain) on divestitures and impairment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EBITDA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66,660 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divestiture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special items</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consolidated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209,216 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consolidated EBITDA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5939" w:type="dxa"/>
            <w:gridSpan w:val="24"/>
            <w:tcBorders/>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Represents expenses related to external legal and advisory costs for a specific tax matter.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0"/>
        </w:rPr>
      </w:pPr>
      <w:r>
        <w:rPr>
          <w:rFonts w:ascii="Times New Roman;serif" w:hAnsi="Times New Roman;serif"/>
          <w:b/>
          <w:i/>
          <w:color w:val="000000"/>
          <w:sz w:val="20"/>
        </w:rPr>
        <w:t>Exhibit 99.1</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Special items affecting Adjusted net income (in thousands) for the three and six months ended June 30, 2026 and 2025:</w:t>
      </w:r>
    </w:p>
    <w:tbl>
      <w:tblPr>
        <w:tblW w:w="10055" w:type="dxa"/>
        <w:jc w:val="left"/>
        <w:tblInd w:w="0" w:type="dxa"/>
        <w:tblLayout w:type="fixed"/>
        <w:tblCellMar>
          <w:top w:w="28" w:type="dxa"/>
          <w:left w:w="28" w:type="dxa"/>
          <w:bottom w:w="28" w:type="dxa"/>
          <w:right w:w="28" w:type="dxa"/>
        </w:tblCellMar>
      </w:tblPr>
      <w:tblGrid>
        <w:gridCol w:w="1616"/>
        <w:gridCol w:w="1423"/>
        <w:gridCol w:w="1430"/>
        <w:gridCol w:w="109"/>
        <w:gridCol w:w="109"/>
        <w:gridCol w:w="109"/>
        <w:gridCol w:w="294"/>
        <w:gridCol w:w="650"/>
        <w:gridCol w:w="152"/>
        <w:gridCol w:w="152"/>
        <w:gridCol w:w="152"/>
        <w:gridCol w:w="152"/>
        <w:gridCol w:w="294"/>
        <w:gridCol w:w="566"/>
        <w:gridCol w:w="152"/>
        <w:gridCol w:w="109"/>
        <w:gridCol w:w="109"/>
        <w:gridCol w:w="109"/>
        <w:gridCol w:w="230"/>
        <w:gridCol w:w="509"/>
        <w:gridCol w:w="119"/>
        <w:gridCol w:w="119"/>
        <w:gridCol w:w="119"/>
        <w:gridCol w:w="119"/>
        <w:gridCol w:w="230"/>
        <w:gridCol w:w="755"/>
        <w:gridCol w:w="168"/>
      </w:tblGrid>
      <w:tr>
        <w:trPr/>
        <w:tc>
          <w:tcPr>
            <w:tcW w:w="161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divestiture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loss (gain) on divestitures and sale of real estate</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(7,913)</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Impairment of goodwill, intangibles, and PPE </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adjustment related to certain discrete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special items</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(8,217)</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5586" w:type="dxa"/>
            <w:gridSpan w:val="24"/>
            <w:tcBorders/>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5586" w:type="dxa"/>
            <w:gridSpan w:val="24"/>
            <w:tcBorders/>
          </w:tcPr>
          <w:p>
            <w:pPr>
              <w:pStyle w:val="TableContents"/>
              <w:bidi w:val="0"/>
              <w:spacing w:before="0" w:after="283"/>
              <w:jc w:val="left"/>
              <w:rPr>
                <w:sz w:val="4"/>
                <w:szCs w:val="4"/>
              </w:rPr>
            </w:pPr>
            <w:r>
              <w:rPr>
                <w:sz w:val="4"/>
                <w:szCs w:val="4"/>
              </w:rPr>
            </w:r>
          </w:p>
        </w:tc>
      </w:tr>
      <w:tr>
        <w:trPr/>
        <w:tc>
          <w:tcPr>
            <w:tcW w:w="10055" w:type="dxa"/>
            <w:gridSpan w:val="27"/>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Represents the net gain or loss recognized for the sale of businesses and real estate during the periods presented.</w:t>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5586" w:type="dxa"/>
            <w:gridSpan w:val="24"/>
            <w:tcBorders/>
          </w:tcPr>
          <w:p>
            <w:pPr>
              <w:pStyle w:val="TableContents"/>
              <w:bidi w:val="0"/>
              <w:spacing w:before="0" w:after="283"/>
              <w:jc w:val="left"/>
              <w:rPr>
                <w:sz w:val="4"/>
                <w:szCs w:val="4"/>
              </w:rPr>
            </w:pPr>
            <w:r>
              <w:rPr>
                <w:sz w:val="4"/>
                <w:szCs w:val="4"/>
              </w:rPr>
            </w:r>
          </w:p>
        </w:tc>
      </w:tr>
      <w:tr>
        <w:trPr/>
        <w:tc>
          <w:tcPr>
            <w:tcW w:w="10055" w:type="dxa"/>
            <w:gridSpan w:val="27"/>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Represents impairment of assets held for sale.</w:t>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5586" w:type="dxa"/>
            <w:gridSpan w:val="24"/>
            <w:tcBorders/>
          </w:tcPr>
          <w:p>
            <w:pPr>
              <w:pStyle w:val="TableContents"/>
              <w:bidi w:val="0"/>
              <w:spacing w:before="0" w:after="283"/>
              <w:jc w:val="left"/>
              <w:rPr>
                <w:sz w:val="4"/>
                <w:szCs w:val="4"/>
              </w:rPr>
            </w:pPr>
            <w:r>
              <w:rPr>
                <w:sz w:val="4"/>
                <w:szCs w:val="4"/>
              </w:rPr>
            </w:r>
          </w:p>
        </w:tc>
      </w:tr>
      <w:tr>
        <w:trPr/>
        <w:tc>
          <w:tcPr>
            <w:tcW w:w="10055" w:type="dxa"/>
            <w:gridSpan w:val="27"/>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0"/>
              </w:rPr>
              <w:t xml:space="preserve">(3) </w:t>
            </w:r>
            <w:r>
              <w:rPr>
                <w:rFonts w:ascii="Times New Roman;serif" w:hAnsi="Times New Roman;serif"/>
                <w:b w:val="false"/>
                <w:color w:val="000000"/>
                <w:sz w:val="16"/>
              </w:rPr>
              <w:t>Represents expenses related to external legal and advisory costs for a specific tax matter.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i/>
          <w:color w:val="000000"/>
          <w:sz w:val="22"/>
        </w:rPr>
      </w:pPr>
      <w:r>
        <w:rPr>
          <w:rFonts w:ascii="Times New Roman;serif" w:hAnsi="Times New Roman;serif"/>
          <w:b/>
          <w:i/>
          <w:color w:val="000000"/>
          <w:sz w:val="22"/>
        </w:rPr>
        <w:t>Reconciliation of GAAP diluted earnings per share to Adjusted diluted earnings per share for the three and six months ended June 30, 2026 and 2025:</w:t>
      </w:r>
    </w:p>
    <w:tbl>
      <w:tblPr>
        <w:tblW w:w="8831" w:type="dxa"/>
        <w:jc w:val="left"/>
        <w:tblInd w:w="0" w:type="dxa"/>
        <w:tblLayout w:type="fixed"/>
        <w:tblCellMar>
          <w:top w:w="28" w:type="dxa"/>
          <w:left w:w="28" w:type="dxa"/>
          <w:bottom w:w="28" w:type="dxa"/>
          <w:right w:w="28" w:type="dxa"/>
        </w:tblCellMar>
      </w:tblPr>
      <w:tblGrid>
        <w:gridCol w:w="1148"/>
        <w:gridCol w:w="1007"/>
        <w:gridCol w:w="1011"/>
        <w:gridCol w:w="115"/>
        <w:gridCol w:w="115"/>
        <w:gridCol w:w="115"/>
        <w:gridCol w:w="288"/>
        <w:gridCol w:w="699"/>
        <w:gridCol w:w="148"/>
        <w:gridCol w:w="140"/>
        <w:gridCol w:w="140"/>
        <w:gridCol w:w="140"/>
        <w:gridCol w:w="272"/>
        <w:gridCol w:w="659"/>
        <w:gridCol w:w="140"/>
        <w:gridCol w:w="109"/>
        <w:gridCol w:w="109"/>
        <w:gridCol w:w="109"/>
        <w:gridCol w:w="245"/>
        <w:gridCol w:w="595"/>
        <w:gridCol w:w="127"/>
        <w:gridCol w:w="127"/>
        <w:gridCol w:w="127"/>
        <w:gridCol w:w="127"/>
        <w:gridCol w:w="245"/>
        <w:gridCol w:w="595"/>
        <w:gridCol w:w="179"/>
      </w:tblGrid>
      <w:tr>
        <w:trPr/>
        <w:tc>
          <w:tcPr>
            <w:tcW w:w="114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6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GAAP diluted earnings per share</w:t>
            </w:r>
            <w:r>
              <w:rPr>
                <w:rFonts w:ascii="Times New Roman;serif" w:hAnsi="Times New Roman;serif"/>
                <w:b w:val="false"/>
                <w:color w:val="000000"/>
                <w:sz w:val="13"/>
              </w:rPr>
              <w:t>(1)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items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diluted earnings per share</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See table below for computation of diluted earnings per share</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2"/>
        </w:rPr>
      </w:pPr>
      <w:r>
        <w:rPr>
          <w:rFonts w:ascii="Times New Roman;serif" w:hAnsi="Times New Roman;serif"/>
          <w:b/>
          <w:i/>
          <w:color w:val="000000"/>
          <w:sz w:val="22"/>
        </w:rPr>
        <w:t>Computation of the diluted earnings per share for the three months and three and six months ended June 30, 2026 and 2025 (in thousands, except per share data): </w:t>
      </w:r>
    </w:p>
    <w:tbl>
      <w:tblPr>
        <w:tblW w:w="10205" w:type="dxa"/>
        <w:jc w:val="left"/>
        <w:tblInd w:w="0" w:type="dxa"/>
        <w:tblLayout w:type="fixed"/>
        <w:tblCellMar>
          <w:top w:w="28" w:type="dxa"/>
          <w:left w:w="28" w:type="dxa"/>
          <w:bottom w:w="28" w:type="dxa"/>
          <w:right w:w="28" w:type="dxa"/>
        </w:tblCellMar>
      </w:tblPr>
      <w:tblGrid>
        <w:gridCol w:w="1830"/>
        <w:gridCol w:w="1542"/>
        <w:gridCol w:w="1551"/>
        <w:gridCol w:w="218"/>
        <w:gridCol w:w="747"/>
        <w:gridCol w:w="113"/>
        <w:gridCol w:w="113"/>
        <w:gridCol w:w="113"/>
        <w:gridCol w:w="113"/>
        <w:gridCol w:w="218"/>
        <w:gridCol w:w="747"/>
        <w:gridCol w:w="113"/>
        <w:gridCol w:w="109"/>
        <w:gridCol w:w="109"/>
        <w:gridCol w:w="109"/>
        <w:gridCol w:w="211"/>
        <w:gridCol w:w="721"/>
        <w:gridCol w:w="109"/>
        <w:gridCol w:w="109"/>
        <w:gridCol w:w="109"/>
        <w:gridCol w:w="109"/>
        <w:gridCol w:w="211"/>
        <w:gridCol w:w="721"/>
        <w:gridCol w:w="160"/>
      </w:tblGrid>
      <w:tr>
        <w:trPr/>
        <w:tc>
          <w:tcPr>
            <w:tcW w:w="1830"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 for basic and diluted earnings per share:</w:t>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32,665 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Earnings allocated to unvested restricted stock</w:t>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common stockholders</w:t>
            </w:r>
          </w:p>
        </w:tc>
        <w:tc>
          <w:tcPr>
            <w:tcW w:w="2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12,122 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11,545 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32,125 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basic earnings per common share – weighted average shares outstanding</w:t>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diluted earnings per common share – weighted average shares outstanding</w:t>
            </w:r>
          </w:p>
        </w:tc>
        <w:tc>
          <w:tcPr>
            <w:tcW w:w="9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15,842 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15,653 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15,528 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stock options excluded from the computation of diluted earnings per share</w:t>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0"/>
        </w:rPr>
      </w:pPr>
      <w:r>
        <w:rPr>
          <w:rFonts w:ascii="Times New Roman;serif" w:hAnsi="Times New Roman;serif"/>
          <w:b/>
          <w:i/>
          <w:color w:val="000000"/>
          <w:sz w:val="20"/>
        </w:rPr>
        <w:t>Exhibit 99.1</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80" w:after="283"/>
        <w:jc w:val="both"/>
        <w:rPr>
          <w:rFonts w:ascii="Times New Roman;serif" w:hAnsi="Times New Roman;serif"/>
          <w:b/>
          <w:i/>
          <w:color w:val="000000"/>
          <w:sz w:val="22"/>
        </w:rPr>
      </w:pPr>
      <w:r>
        <w:rPr>
          <w:rFonts w:ascii="Times New Roman;serif" w:hAnsi="Times New Roman;serif"/>
          <w:b/>
          <w:i/>
          <w:color w:val="000000"/>
          <w:sz w:val="22"/>
        </w:rPr>
        <w:t>Reconciliation of Cash provided by operating activities to Adjusted free cash flow (in thousands)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149"/>
        <w:gridCol w:w="841"/>
        <w:gridCol w:w="843"/>
        <w:gridCol w:w="146"/>
        <w:gridCol w:w="146"/>
        <w:gridCol w:w="146"/>
        <w:gridCol w:w="305"/>
        <w:gridCol w:w="893"/>
        <w:gridCol w:w="157"/>
        <w:gridCol w:w="157"/>
        <w:gridCol w:w="157"/>
        <w:gridCol w:w="157"/>
        <w:gridCol w:w="305"/>
        <w:gridCol w:w="893"/>
        <w:gridCol w:w="157"/>
        <w:gridCol w:w="146"/>
        <w:gridCol w:w="146"/>
        <w:gridCol w:w="146"/>
        <w:gridCol w:w="283"/>
        <w:gridCol w:w="970"/>
        <w:gridCol w:w="146"/>
        <w:gridCol w:w="146"/>
        <w:gridCol w:w="146"/>
        <w:gridCol w:w="146"/>
        <w:gridCol w:w="283"/>
        <w:gridCol w:w="970"/>
        <w:gridCol w:w="225"/>
      </w:tblGrid>
      <w:tr>
        <w:trPr/>
        <w:tc>
          <w:tcPr>
            <w:tcW w:w="114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bookmarkStart w:id="0" w:name="i814c8a27e3024c6d9cbe41cd10a99aaf_2-2-1-"/>
            <w:bookmarkEnd w:id="0"/>
            <w:r>
              <w:rPr>
                <w:rFonts w:ascii="Times New Roman;serif" w:hAnsi="Times New Roman;serif"/>
                <w:b w:val="false"/>
                <w:color w:val="000000"/>
                <w:sz w:val="20"/>
              </w:rPr>
              <w:t>7,552 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8,085 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22,450 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21,877 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for capital expenditures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(5,327)</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(6,009)</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5,239 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13,227 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15,868 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Plus: incremental special items: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divestiture costs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Severance and separation costs</w:t>
            </w:r>
            <w:r>
              <w:rPr>
                <w:rFonts w:ascii="Times New Roman;serif" w:hAnsi="Times New Roman;serif"/>
                <w:b w:val="false"/>
                <w:color w:val="000000"/>
                <w:sz w:val="13"/>
              </w:rPr>
              <w:t>(1)</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special items</w:t>
            </w:r>
            <w:r>
              <w:rPr>
                <w:rFonts w:ascii="Times New Roman;serif" w:hAnsi="Times New Roman;serif"/>
                <w:b w:val="false"/>
                <w:color w:val="000000"/>
                <w:sz w:val="13"/>
              </w:rPr>
              <w:t>(2)</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13,756 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20,253 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vAlign w:val="center"/>
          </w:tcPr>
          <w:p>
            <w:pPr>
              <w:pStyle w:val="TableContents"/>
              <w:bidi w:val="0"/>
              <w:spacing w:before="0" w:after="283"/>
              <w:jc w:val="left"/>
              <w:rPr>
                <w:sz w:val="4"/>
                <w:szCs w:val="4"/>
              </w:rPr>
            </w:pPr>
            <w:r>
              <w:rPr>
                <w:sz w:val="4"/>
                <w:szCs w:val="4"/>
              </w:rPr>
            </w:r>
          </w:p>
        </w:tc>
        <w:tc>
          <w:tcPr>
            <w:tcW w:w="7372" w:type="dxa"/>
            <w:gridSpan w:val="24"/>
            <w:tcBorders/>
          </w:tcPr>
          <w:p>
            <w:pPr>
              <w:pStyle w:val="TableContents"/>
              <w:bidi w:val="0"/>
              <w:spacing w:before="0" w:after="283"/>
              <w:jc w:val="left"/>
              <w:rPr>
                <w:sz w:val="4"/>
                <w:szCs w:val="4"/>
              </w:rPr>
            </w:pPr>
            <w:r>
              <w:rPr>
                <w:sz w:val="4"/>
                <w:szCs w:val="4"/>
              </w:rPr>
            </w:r>
          </w:p>
        </w:tc>
      </w:tr>
      <w:tr>
        <w:trPr/>
        <w:tc>
          <w:tcPr>
            <w:tcW w:w="2833" w:type="dxa"/>
            <w:gridSpan w:val="3"/>
            <w:tcBorders/>
            <w:vAlign w:val="center"/>
          </w:tcPr>
          <w:p>
            <w:pPr>
              <w:pStyle w:val="TableContents"/>
              <w:bidi w:val="0"/>
              <w:spacing w:before="0" w:after="283"/>
              <w:jc w:val="left"/>
              <w:rPr>
                <w:sz w:val="4"/>
                <w:szCs w:val="4"/>
              </w:rPr>
            </w:pPr>
            <w:r>
              <w:rPr>
                <w:sz w:val="4"/>
                <w:szCs w:val="4"/>
              </w:rPr>
            </w:r>
          </w:p>
        </w:tc>
        <w:tc>
          <w:tcPr>
            <w:tcW w:w="7372" w:type="dxa"/>
            <w:gridSpan w:val="24"/>
            <w:tcBorders/>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Primarily represents the cash paid to our former Executive Chairman of the Board per his Transition Agreement which was effective February 22, 2024 and cash paid to our former Chief Financial Officer per his Release and Separation Agreement which was effective July 1, 2024.</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Represents cash paid related to external legal and advisory costs for a specific tax matter in 2026 and cash paid for professional services related to the review of strategic alternatives in 2025.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0"/>
        </w:rPr>
      </w:pPr>
      <w:r>
        <w:rPr>
          <w:rFonts w:ascii="Times New Roman;serif" w:hAnsi="Times New Roman;serif"/>
          <w:b/>
          <w:i/>
          <w:color w:val="000000"/>
          <w:sz w:val="20"/>
        </w:rPr>
        <w:t>Exhibit 99.1</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center"/>
        <w:rPr>
          <w:rFonts w:ascii="Times New Roman;serif" w:hAnsi="Times New Roman;serif"/>
          <w:b/>
          <w:i/>
          <w:color w:val="000000"/>
          <w:sz w:val="22"/>
          <w:u w:val="single"/>
        </w:rPr>
      </w:pPr>
      <w:r>
        <w:rPr>
          <w:rFonts w:ascii="Times New Roman;serif" w:hAnsi="Times New Roman;serif"/>
          <w:b/>
          <w:i/>
          <w:color w:val="000000"/>
          <w:sz w:val="22"/>
          <w:u w:val="single"/>
        </w:rPr>
        <w:t>CAUTIONARY STATEMENT ON FORWARD-LOOKING STATEMENTS</w:t>
      </w:r>
    </w:p>
    <w:p>
      <w:pPr>
        <w:pStyle w:val="TextBody"/>
        <w:bidi w:val="0"/>
        <w:spacing w:lineRule="auto" w:line="276"/>
        <w:jc w:val="both"/>
        <w:rPr>
          <w:rFonts w:ascii="Times New Roman;serif" w:hAnsi="Times New Roman;serif"/>
          <w:b w:val="false"/>
          <w:color w:val="000000"/>
          <w:sz w:val="22"/>
        </w:rPr>
      </w:pPr>
      <w:r>
        <w:rPr>
          <w:rFonts w:ascii="Times New Roman;serif" w:hAnsi="Times New Roman;serif"/>
          <w:b w:val="false"/>
          <w:color w:val="000000"/>
          <w:sz w:val="22"/>
        </w:rPr>
        <w:t xml:space="preserve">This earnings release contains forward-looking statements within the meaning of Section 27A of the Securities Act of 1933, as amended, and Section 21E of the Securities Exchange Act of 1934, as amended, and contains certain statements and information that may constitute forward-looking statements within the safe harbor provisions of the Private Securities Litigation Reform Act of 1995. All statements made herein or elsewhere by us, or on our behalf, other than statements of historical information, should be deemed to be forward-looking statements, which include, but are not limited to, statements regarding any projections of earnings, revenue, cash flow, adjusted EBITDA, investment returns, capital allocation, debt levels, equity performance, death rates, market share growth, cost inflation, overhead, preneed sales or other financial items; any statements of the plans, strategies, objectives and timing of management for future operations or financing activities, including, but not limited to, capital allocation, organizational performance, execution of our strategic objectives and growth strategy, planned acquisitions and divestitures, technology improvements, product development, the ability to obtain credit or financing, anticipated integration, performance and other benefits of recently completed and anticipated acquisitions, and cost management and debt reductions; any statements of the plans, timing and objectives of management for acquisition and divestiture activities; any statements regarding future economic conditions and market conditions or performance; any statements related to the ATM Program, potential future sales thereunder, and the expected use of proceeds thereof, including our ability to meet the expectations, timing and plans, if at all, related to the ATM Program; or any statements of belief; and any statements of assumptions underlying any of the foregoing and are based on our current expectations and beliefs concerning future developments and their potential effect on us. Words such as “may”, “will”, “estimate”, “intend”, “believe”, “expect”, “seek”, “project”, “forecast”, “foresee”, “should”, “would”, “could”, “plan”, “anticipate” and other similar words may be used to identify forward-looking statements; however, the absence of these words does not mean that the statements are not forward-looking. While we believe these assumptions concerning future events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or divestitures, except where specifically noted. Our forward-looking statements involve significant risks and uncertainties (some of which are beyond our control) and assumptions that could cause actual results to differ materially from our historical experience and our present expectations or projections. Important factors that could cause actual results to differ materially from those in the forward-looking statements include but are not limited to: our ability to find and retain skilled personnel; the effects of our talent recruitment efforts, incentive, and compensation plans and programs, including such effects on our Standards Operating Model and the Company’s operational and financial performance; our ability to execute our strategic objectives and growth strategy, if at all; our ability to meet the timing, objectives, and expectations related to our 2030 Vision, if at all; our ability to meet the timing, objectives, and expectations of our ATM Program, if at all, including the planned use of proceeds and the potentially dilutive effects to our stockholders of issuances of shares under the ATM Program; the potential adverse effects on the Company’s business, financial and equity performance if management fails to meet the expectations of its strategic objectives and growth plan; the execution of our Standards Operating and strategic acquisition frameworks; the effects of competition; changes in the number of deaths in our markets, which are not predictable from market to market or over the short term; changes in consumer preferences and our ability to adapt to or meet those changes; our ability to generate preneed sales, including implementing our cemetery portfolio sales strategy, product development, and optimization plans; the investment performance of our funeral and cemetery trust funds; fluctuations in interest rates, including, but not limited to, the effects of increased borrowing costs under our Credit Facility and our ability to minimize such costs, if at all; the effects of inflation on our operational and financial performance, including the increased overall costs for our goods and services, the impact on customer preferences as a result of changes in discretionary income, and our ability, if at all, to mitigate such effects; our ability to obtain debt or equity financing on satisfactory terms to fund additional acquisitions, expansion projects, working capital requirements and the repayment or refinancing of indebtedness; our ability to meet the timing, objectives and expectations related to our capital allocation framework, including our forecasted rates of return, planned uses of free cash flow and future capital allocation, including debt repayment plans, internal growth projects, potential strategic acquisitions, share repurchases, or dividend increases; our ability to meet the projected financial and performance guidance of our updated full year outlook, if at all; the timely and full payment of death benefits related to preneed funeral contracts funded through life insurance policies; the financial condition of third-party insurance companies that fund our preneed funeral contracts; increased or unanticipated costs, such as merchandise, goods, insurance or taxes, and our ability to mitigate or minimize such costs, if at all; our level of indebtedness and the cash required to service our indebtedness; changes in federal income tax laws and regulations and the implementation and interpretation of these laws and regulations by the </w:t>
      </w:r>
    </w:p>
    <w:p>
      <w:pPr>
        <w:pStyle w:val="TextBody"/>
        <w:bidi w:val="0"/>
        <w:spacing w:lineRule="auto" w:line="288" w:before="0" w:after="0"/>
        <w:jc w:val="right"/>
        <w:rPr>
          <w:rFonts w:ascii="Times New Roman;serif" w:hAnsi="Times New Roman;serif"/>
          <w:b/>
          <w:i/>
          <w:color w:val="000000"/>
          <w:sz w:val="20"/>
        </w:rPr>
      </w:pPr>
      <w:r>
        <w:rPr>
          <w:rFonts w:ascii="Times New Roman;serif" w:hAnsi="Times New Roman;serif"/>
          <w:b/>
          <w:i/>
          <w:color w:val="000000"/>
          <w:sz w:val="20"/>
        </w:rPr>
        <w:t>Exhibit 99.1</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240" w:after="283"/>
        <w:jc w:val="left"/>
        <w:rPr/>
      </w:pPr>
      <w:r>
        <w:rPr/>
      </w:r>
    </w:p>
    <w:p>
      <w:pPr>
        <w:pStyle w:val="TextBody"/>
        <w:bidi w:val="0"/>
        <w:spacing w:lineRule="auto" w:line="276" w:before="0" w:after="0"/>
        <w:jc w:val="both"/>
        <w:rPr/>
      </w:pPr>
      <w:r>
        <w:rPr>
          <w:rFonts w:ascii="Times New Roman;serif" w:hAnsi="Times New Roman;serif"/>
          <w:b w:val="false"/>
          <w:color w:val="000000"/>
          <w:sz w:val="22"/>
        </w:rPr>
        <w:t>Internal Revenue Service, including changes and potential impacts, if any, resulting from the recently enacted One Big Beautiful Bill Act; effects of the application of other applicable laws and regulations, including changes in such regulations or the interpretation thereof; the potential impact of epidemics and pandemics, including any new or emerging public health threats, on customer preferences and on our business; government, social, business, and other actions that have been and will be taken in response to pandemics and epidemics, including potential responses to any new or emerging public health threats; effects and expense of litigation; consolidation in the funeral and cemetery industry; our ability to identify and consummate strategic acquisitions on commercially reasonable terms and on a timely basis, if at all, and successfully integrate acquired businesses with our existing businesses, including expected performance and financial improvements related thereto; our ability to successfully complete any non-core asset divestitures on commercially reasonable terms and on a timely basis, if at all, and the impact of any such divestitures on our Company, including any financial, operational, tax or other similar impacts related thereto; the effects of any additional imposition or changes in tariffs or trade agreements including, but not limited to, any potential disruptions in international trade, any increased inflationary pressures on the economy or costs for our goods, and our ability, if at all, to mitigate such effects; economic, financial, and stock market fluctuations; significant weather events, natural disasters, or catastrophic events; uncertainty around, and disruption from, new and emerging technologies, such as artificial intelligence (“AI”) and generative AI, and the failure to adapt or successfully incorporate such technologies into the Company's business; interruptions or security lapses of our information technology, including any cybersecurity or ransomware incidents; adverse developments affecting the financial services industry; military conflicts, acts of war or terrorists acts and the governmental or military response to such acts or conflicts;</w:t>
      </w:r>
      <w:r>
        <w:rPr>
          <w:color w:val="000000"/>
        </w:rPr>
        <w:t xml:space="preserve"> </w:t>
      </w:r>
      <w:r>
        <w:rPr>
          <w:rFonts w:ascii="Times New Roman;serif" w:hAnsi="Times New Roman;serif"/>
          <w:b w:val="false"/>
          <w:color w:val="000000"/>
          <w:sz w:val="22"/>
        </w:rPr>
        <w:t>our failure to maintain effective control over financial reporting; and other factors and uncertainties inherent in the funeral and cemetery industry.</w:t>
      </w:r>
    </w:p>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For additional information regarding known material factors that could cause our actual results to differ from our projected results, please see “Risk Factors” in our Annual Report on Form 10-K for the year ended December 31, 2025, and in other filings with the SEC, available at www.carriageservices.com. Investors are cautioned not to place undue reliance on forward-looking statements, which speak only as of the date of the applicable communication and we undertake no obligation to publicly update or revise any forward-looking statements except to the extent required by applicable law.</w:t>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6931</Words>
  <Characters>38706</Characters>
  <CharactersWithSpaces>45013</CharactersWithSpaces>
  <Paragraphs>1445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