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213360</wp:posOffset>
            </wp:positionH>
            <wp:positionV relativeFrom="page">
              <wp:posOffset>638175</wp:posOffset>
            </wp:positionV>
            <wp:extent cx="7122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662305</wp:posOffset>
            </wp:positionV>
            <wp:extent cx="7122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216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1" w:lineRule="exact"/>
        <w:rPr>
          <w:sz w:val="24"/>
          <w:szCs w:val="24"/>
          <w:color w:val="auto"/>
        </w:rPr>
      </w:pPr>
    </w:p>
    <w:p>
      <w:pPr>
        <w:ind w:left="4560"/>
        <w:spacing w:after="0"/>
        <w:rPr>
          <w:sz w:val="20"/>
          <w:szCs w:val="20"/>
          <w:color w:val="auto"/>
        </w:rPr>
      </w:pPr>
      <w:r>
        <w:rPr>
          <w:rFonts w:ascii="Arial" w:cs="Arial" w:eastAsia="Arial" w:hAnsi="Arial"/>
          <w:sz w:val="21"/>
          <w:szCs w:val="21"/>
          <w:b w:val="1"/>
          <w:bCs w:val="1"/>
          <w:color w:val="auto"/>
        </w:rPr>
        <w:t>Washington, D.C. 20549</w:t>
      </w:r>
    </w:p>
    <w:p>
      <w:pPr>
        <w:spacing w:after="0" w:line="67" w:lineRule="exact"/>
        <w:rPr>
          <w:sz w:val="24"/>
          <w:szCs w:val="24"/>
          <w:color w:val="auto"/>
        </w:rPr>
      </w:pPr>
    </w:p>
    <w:p>
      <w:pPr>
        <w:ind w:left="5300"/>
        <w:spacing w:after="0"/>
        <w:rPr>
          <w:sz w:val="20"/>
          <w:szCs w:val="20"/>
          <w:color w:val="auto"/>
        </w:rPr>
      </w:pPr>
      <w:r>
        <w:rPr>
          <w:rFonts w:ascii="Arial" w:cs="Arial" w:eastAsia="Arial" w:hAnsi="Arial"/>
          <w:sz w:val="28"/>
          <w:szCs w:val="28"/>
          <w:b w:val="1"/>
          <w:bCs w:val="1"/>
          <w:color w:val="auto"/>
        </w:rPr>
        <w:t>FORM10-Q</w:t>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 w:lineRule="exact"/>
        <w:rPr>
          <w:sz w:val="24"/>
          <w:szCs w:val="24"/>
          <w:color w:val="auto"/>
        </w:rPr>
      </w:pPr>
    </w:p>
    <w:p>
      <w:pPr>
        <w:ind w:left="420" w:hanging="417"/>
        <w:spacing w:after="0"/>
        <w:tabs>
          <w:tab w:leader="none" w:pos="4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September 30, 2021</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67" w:lineRule="exact"/>
        <w:rPr>
          <w:sz w:val="24"/>
          <w:szCs w:val="24"/>
          <w:color w:val="auto"/>
        </w:rPr>
      </w:pPr>
    </w:p>
    <w:p>
      <w:pPr>
        <w:ind w:left="420" w:hanging="417"/>
        <w:spacing w:after="0"/>
        <w:tabs>
          <w:tab w:leader="none" w:pos="42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51" w:lineRule="exact"/>
        <w:rPr>
          <w:sz w:val="24"/>
          <w:szCs w:val="24"/>
          <w:color w:val="auto"/>
        </w:rPr>
      </w:pPr>
    </w:p>
    <w:p>
      <w:pPr>
        <w:ind w:left="200"/>
        <w:spacing w:after="0"/>
        <w:rPr>
          <w:sz w:val="20"/>
          <w:szCs w:val="20"/>
          <w:color w:val="auto"/>
        </w:rPr>
      </w:pPr>
      <w:r>
        <w:rPr>
          <w:rFonts w:ascii="Arial" w:cs="Arial" w:eastAsia="Arial" w:hAnsi="Arial"/>
          <w:sz w:val="17"/>
          <w:szCs w:val="17"/>
          <w:b w:val="1"/>
          <w:bCs w:val="1"/>
          <w:color w:val="auto"/>
        </w:rPr>
        <w:t>For the transition period from ___________ to  ____________</w:t>
      </w:r>
    </w:p>
    <w:p>
      <w:pPr>
        <w:spacing w:after="0" w:line="201" w:lineRule="exact"/>
        <w:rPr>
          <w:sz w:val="24"/>
          <w:szCs w:val="24"/>
          <w:color w:val="auto"/>
        </w:rPr>
      </w:pPr>
    </w:p>
    <w:tbl>
      <w:tblPr>
        <w:tblLayout w:type="fixed"/>
        <w:tblInd w:w="2340" w:type="dxa"/>
        <w:tblCellMar>
          <w:top w:w="0" w:type="dxa"/>
          <w:left w:w="0" w:type="dxa"/>
          <w:bottom w:w="0" w:type="dxa"/>
          <w:right w:w="0" w:type="dxa"/>
        </w:tblCellMar>
      </w:tblPr>
      <w:tr>
        <w:trPr>
          <w:trHeight w:val="242"/>
        </w:trPr>
        <w:tc>
          <w:tcPr>
            <w:tcW w:w="4120" w:type="dxa"/>
            <w:vAlign w:val="bottom"/>
            <w:tcBorders>
              <w:bottom w:val="single" w:sz="8" w:color="auto"/>
            </w:tcBorders>
          </w:tcPr>
          <w:p>
            <w:pPr>
              <w:ind w:left="1720"/>
              <w:spacing w:after="0"/>
              <w:rPr>
                <w:sz w:val="20"/>
                <w:szCs w:val="20"/>
                <w:color w:val="auto"/>
              </w:rPr>
            </w:pPr>
            <w:r>
              <w:rPr>
                <w:rFonts w:ascii="Arial" w:cs="Arial" w:eastAsia="Arial" w:hAnsi="Arial"/>
                <w:sz w:val="19"/>
                <w:szCs w:val="19"/>
                <w:b w:val="1"/>
                <w:bCs w:val="1"/>
                <w:color w:val="auto"/>
              </w:rPr>
              <w:t>Commission File Number:</w:t>
            </w:r>
          </w:p>
        </w:tc>
        <w:tc>
          <w:tcPr>
            <w:tcW w:w="2440" w:type="dxa"/>
            <w:vAlign w:val="bottom"/>
            <w:tcBorders>
              <w:bottom w:val="single" w:sz="8" w:color="auto"/>
            </w:tcBorders>
          </w:tcPr>
          <w:p>
            <w:pPr>
              <w:jc w:val="right"/>
              <w:ind w:right="1445"/>
              <w:spacing w:after="0"/>
              <w:rPr>
                <w:sz w:val="20"/>
                <w:szCs w:val="20"/>
                <w:color w:val="auto"/>
              </w:rPr>
            </w:pPr>
            <w:r>
              <w:rPr>
                <w:rFonts w:ascii="Arial" w:cs="Arial" w:eastAsia="Arial" w:hAnsi="Arial"/>
                <w:sz w:val="19"/>
                <w:szCs w:val="19"/>
                <w:b w:val="1"/>
                <w:bCs w:val="1"/>
                <w:color w:val="auto"/>
              </w:rPr>
              <w:t>1-11961</w:t>
            </w:r>
          </w:p>
        </w:tc>
      </w:tr>
    </w:tbl>
    <w:p>
      <w:pPr>
        <w:spacing w:after="0" w:line="6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CARRIAGE SERVICES,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2181860</wp:posOffset>
            </wp:positionH>
            <wp:positionV relativeFrom="paragraph">
              <wp:posOffset>80010</wp:posOffset>
            </wp:positionV>
            <wp:extent cx="27781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8125" cy="8255"/>
                    </a:xfrm>
                    <a:prstGeom prst="rect">
                      <a:avLst/>
                    </a:prstGeom>
                    <a:noFill/>
                  </pic:spPr>
                </pic:pic>
              </a:graphicData>
            </a:graphic>
          </wp:anchor>
        </w:drawing>
      </w:r>
    </w:p>
    <w:p>
      <w:pPr>
        <w:spacing w:after="0" w:line="384" w:lineRule="exact"/>
        <w:rPr>
          <w:sz w:val="24"/>
          <w:szCs w:val="24"/>
          <w:color w:val="auto"/>
        </w:rPr>
      </w:pPr>
    </w:p>
    <w:tbl>
      <w:tblPr>
        <w:tblLayout w:type="fixed"/>
        <w:tblInd w:w="10" w:type="dxa"/>
        <w:tblCellMar>
          <w:top w:w="0" w:type="dxa"/>
          <w:left w:w="0" w:type="dxa"/>
          <w:bottom w:w="0" w:type="dxa"/>
          <w:right w:w="0" w:type="dxa"/>
        </w:tblCellMar>
      </w:tblPr>
      <w:tr>
        <w:trPr>
          <w:trHeight w:val="215"/>
        </w:trPr>
        <w:tc>
          <w:tcPr>
            <w:tcW w:w="3840" w:type="dxa"/>
            <w:vAlign w:val="bottom"/>
            <w:gridSpan w:val="2"/>
          </w:tcPr>
          <w:p>
            <w:pPr>
              <w:jc w:val="center"/>
              <w:ind w:left="1708"/>
              <w:spacing w:after="0"/>
              <w:rPr>
                <w:sz w:val="20"/>
                <w:szCs w:val="20"/>
                <w:color w:val="auto"/>
              </w:rPr>
            </w:pPr>
            <w:r>
              <w:rPr>
                <w:rFonts w:ascii="Arial" w:cs="Arial" w:eastAsia="Arial" w:hAnsi="Arial"/>
                <w:sz w:val="17"/>
                <w:szCs w:val="17"/>
                <w:b w:val="1"/>
                <w:bCs w:val="1"/>
                <w:color w:val="auto"/>
                <w:w w:val="93"/>
              </w:rPr>
              <w:t>Delaware</w:t>
            </w:r>
          </w:p>
        </w:tc>
        <w:tc>
          <w:tcPr>
            <w:tcW w:w="2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980" w:type="dxa"/>
            <w:vAlign w:val="bottom"/>
            <w:gridSpan w:val="2"/>
          </w:tcPr>
          <w:p>
            <w:pPr>
              <w:jc w:val="center"/>
              <w:ind w:right="1631"/>
              <w:spacing w:after="0"/>
              <w:rPr>
                <w:sz w:val="20"/>
                <w:szCs w:val="20"/>
                <w:color w:val="auto"/>
              </w:rPr>
            </w:pPr>
            <w:r>
              <w:rPr>
                <w:rFonts w:ascii="Arial" w:cs="Arial" w:eastAsia="Arial" w:hAnsi="Arial"/>
                <w:sz w:val="17"/>
                <w:szCs w:val="17"/>
                <w:b w:val="1"/>
                <w:bCs w:val="1"/>
                <w:color w:val="auto"/>
                <w:w w:val="92"/>
              </w:rPr>
              <w:t>76-0423828</w:t>
            </w:r>
          </w:p>
        </w:tc>
      </w:tr>
      <w:tr>
        <w:trPr>
          <w:trHeight w:val="139"/>
        </w:trPr>
        <w:tc>
          <w:tcPr>
            <w:tcW w:w="3840" w:type="dxa"/>
            <w:vAlign w:val="bottom"/>
            <w:gridSpan w:val="2"/>
          </w:tcPr>
          <w:p>
            <w:pPr>
              <w:jc w:val="center"/>
              <w:ind w:left="1688"/>
              <w:spacing w:after="0" w:line="139" w:lineRule="exact"/>
              <w:rPr>
                <w:sz w:val="20"/>
                <w:szCs w:val="20"/>
                <w:color w:val="auto"/>
              </w:rPr>
            </w:pPr>
            <w:r>
              <w:rPr>
                <w:rFonts w:ascii="Arial" w:cs="Arial" w:eastAsia="Arial" w:hAnsi="Arial"/>
                <w:sz w:val="14"/>
                <w:szCs w:val="14"/>
                <w:b w:val="1"/>
                <w:bCs w:val="1"/>
                <w:color w:val="auto"/>
                <w:w w:val="89"/>
              </w:rPr>
              <w:t>(State or other jurisdiction of</w:t>
            </w:r>
          </w:p>
        </w:tc>
        <w:tc>
          <w:tcPr>
            <w:tcW w:w="2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20" w:type="dxa"/>
            <w:vAlign w:val="bottom"/>
          </w:tcPr>
          <w:p>
            <w:pPr>
              <w:jc w:val="center"/>
              <w:ind w:right="2191"/>
              <w:spacing w:after="0" w:line="139" w:lineRule="exact"/>
              <w:rPr>
                <w:sz w:val="20"/>
                <w:szCs w:val="20"/>
                <w:color w:val="auto"/>
              </w:rPr>
            </w:pPr>
            <w:r>
              <w:rPr>
                <w:rFonts w:ascii="Arial" w:cs="Arial" w:eastAsia="Arial" w:hAnsi="Arial"/>
                <w:sz w:val="14"/>
                <w:szCs w:val="14"/>
                <w:b w:val="1"/>
                <w:bCs w:val="1"/>
                <w:color w:val="auto"/>
                <w:w w:val="93"/>
              </w:rPr>
              <w:t>(I.R.S. Employer</w:t>
            </w:r>
          </w:p>
        </w:tc>
      </w:tr>
      <w:tr>
        <w:trPr>
          <w:trHeight w:val="179"/>
        </w:trPr>
        <w:tc>
          <w:tcPr>
            <w:tcW w:w="3840" w:type="dxa"/>
            <w:vAlign w:val="bottom"/>
            <w:gridSpan w:val="2"/>
          </w:tcPr>
          <w:p>
            <w:pPr>
              <w:jc w:val="center"/>
              <w:ind w:left="1688"/>
              <w:spacing w:after="0"/>
              <w:rPr>
                <w:sz w:val="20"/>
                <w:szCs w:val="20"/>
                <w:color w:val="auto"/>
              </w:rPr>
            </w:pPr>
            <w:r>
              <w:rPr>
                <w:rFonts w:ascii="Arial" w:cs="Arial" w:eastAsia="Arial" w:hAnsi="Arial"/>
                <w:sz w:val="14"/>
                <w:szCs w:val="14"/>
                <w:b w:val="1"/>
                <w:bCs w:val="1"/>
                <w:color w:val="auto"/>
                <w:w w:val="90"/>
              </w:rPr>
              <w:t>incorporation or organization)</w:t>
            </w:r>
          </w:p>
        </w:tc>
        <w:tc>
          <w:tcPr>
            <w:tcW w:w="2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20" w:type="dxa"/>
            <w:vAlign w:val="bottom"/>
          </w:tcPr>
          <w:p>
            <w:pPr>
              <w:jc w:val="center"/>
              <w:ind w:right="2191"/>
              <w:spacing w:after="0"/>
              <w:rPr>
                <w:sz w:val="20"/>
                <w:szCs w:val="20"/>
                <w:color w:val="auto"/>
              </w:rPr>
            </w:pPr>
            <w:r>
              <w:rPr>
                <w:rFonts w:ascii="Arial" w:cs="Arial" w:eastAsia="Arial" w:hAnsi="Arial"/>
                <w:sz w:val="14"/>
                <w:szCs w:val="14"/>
                <w:b w:val="1"/>
                <w:bCs w:val="1"/>
                <w:color w:val="auto"/>
                <w:w w:val="91"/>
              </w:rPr>
              <w:t>Identification No.)</w:t>
            </w:r>
          </w:p>
        </w:tc>
      </w:tr>
      <w:tr>
        <w:trPr>
          <w:trHeight w:val="371"/>
        </w:trPr>
        <w:tc>
          <w:tcPr>
            <w:tcW w:w="3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20" w:type="dxa"/>
            <w:vAlign w:val="bottom"/>
            <w:gridSpan w:val="2"/>
          </w:tcPr>
          <w:p>
            <w:pPr>
              <w:jc w:val="center"/>
              <w:ind w:left="84"/>
              <w:spacing w:after="0"/>
              <w:rPr>
                <w:sz w:val="20"/>
                <w:szCs w:val="20"/>
                <w:color w:val="auto"/>
              </w:rPr>
            </w:pPr>
            <w:r>
              <w:rPr>
                <w:rFonts w:ascii="Arial" w:cs="Arial" w:eastAsia="Arial" w:hAnsi="Arial"/>
                <w:sz w:val="17"/>
                <w:szCs w:val="17"/>
                <w:b w:val="1"/>
                <w:bCs w:val="1"/>
                <w:color w:val="auto"/>
                <w:w w:val="90"/>
              </w:rPr>
              <w:t>3040 Post Oak Boulevard, Suite 300</w:t>
            </w: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02"/>
        </w:trPr>
        <w:tc>
          <w:tcPr>
            <w:tcW w:w="3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20" w:type="dxa"/>
            <w:vAlign w:val="bottom"/>
            <w:gridSpan w:val="2"/>
          </w:tcPr>
          <w:p>
            <w:pPr>
              <w:jc w:val="center"/>
              <w:ind w:left="64"/>
              <w:spacing w:after="0"/>
              <w:rPr>
                <w:sz w:val="20"/>
                <w:szCs w:val="20"/>
                <w:color w:val="auto"/>
              </w:rPr>
            </w:pPr>
            <w:r>
              <w:rPr>
                <w:rFonts w:ascii="Arial" w:cs="Arial" w:eastAsia="Arial" w:hAnsi="Arial"/>
                <w:sz w:val="17"/>
                <w:szCs w:val="17"/>
                <w:b w:val="1"/>
                <w:bCs w:val="1"/>
                <w:color w:val="auto"/>
                <w:w w:val="89"/>
              </w:rPr>
              <w:t>Houston, Texas, 77056</w:t>
            </w:r>
          </w:p>
        </w:tc>
        <w:tc>
          <w:tcPr>
            <w:tcW w:w="56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159"/>
        </w:trPr>
        <w:tc>
          <w:tcPr>
            <w:tcW w:w="3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20" w:type="dxa"/>
            <w:vAlign w:val="bottom"/>
            <w:gridSpan w:val="2"/>
          </w:tcPr>
          <w:p>
            <w:pPr>
              <w:jc w:val="center"/>
              <w:ind w:left="64"/>
              <w:spacing w:after="0" w:line="159" w:lineRule="exact"/>
              <w:rPr>
                <w:sz w:val="20"/>
                <w:szCs w:val="20"/>
                <w:color w:val="auto"/>
              </w:rPr>
            </w:pPr>
            <w:r>
              <w:rPr>
                <w:rFonts w:ascii="Arial" w:cs="Arial" w:eastAsia="Arial" w:hAnsi="Arial"/>
                <w:sz w:val="14"/>
                <w:szCs w:val="14"/>
                <w:b w:val="1"/>
                <w:bCs w:val="1"/>
                <w:color w:val="auto"/>
                <w:w w:val="87"/>
              </w:rPr>
              <w:t>(Address of principal executive offices)</w:t>
            </w:r>
          </w:p>
        </w:tc>
        <w:tc>
          <w:tcPr>
            <w:tcW w:w="560" w:type="dxa"/>
            <w:vAlign w:val="bottom"/>
          </w:tcPr>
          <w:p>
            <w:pPr>
              <w:spacing w:after="0"/>
              <w:rPr>
                <w:sz w:val="13"/>
                <w:szCs w:val="13"/>
                <w:color w:val="auto"/>
              </w:rPr>
            </w:pPr>
          </w:p>
        </w:tc>
        <w:tc>
          <w:tcPr>
            <w:tcW w:w="3420" w:type="dxa"/>
            <w:vAlign w:val="bottom"/>
          </w:tcPr>
          <w:p>
            <w:pPr>
              <w:spacing w:after="0"/>
              <w:rPr>
                <w:sz w:val="13"/>
                <w:szCs w:val="13"/>
                <w:color w:val="auto"/>
              </w:rPr>
            </w:pPr>
          </w:p>
        </w:tc>
      </w:tr>
      <w:tr>
        <w:trPr>
          <w:trHeight w:val="202"/>
        </w:trPr>
        <w:tc>
          <w:tcPr>
            <w:tcW w:w="3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20" w:type="dxa"/>
            <w:vAlign w:val="bottom"/>
            <w:gridSpan w:val="2"/>
          </w:tcPr>
          <w:p>
            <w:pPr>
              <w:jc w:val="center"/>
              <w:ind w:left="64"/>
              <w:spacing w:after="0"/>
              <w:rPr>
                <w:sz w:val="20"/>
                <w:szCs w:val="20"/>
                <w:color w:val="auto"/>
              </w:rPr>
            </w:pPr>
            <w:r>
              <w:rPr>
                <w:rFonts w:ascii="Arial" w:cs="Arial" w:eastAsia="Arial" w:hAnsi="Arial"/>
                <w:sz w:val="17"/>
                <w:szCs w:val="17"/>
                <w:b w:val="1"/>
                <w:bCs w:val="1"/>
                <w:color w:val="auto"/>
                <w:w w:val="92"/>
              </w:rPr>
              <w:t>(713) 332-8400</w:t>
            </w:r>
          </w:p>
        </w:tc>
        <w:tc>
          <w:tcPr>
            <w:tcW w:w="56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179"/>
        </w:trPr>
        <w:tc>
          <w:tcPr>
            <w:tcW w:w="3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20" w:type="dxa"/>
            <w:vAlign w:val="bottom"/>
            <w:gridSpan w:val="2"/>
          </w:tcPr>
          <w:p>
            <w:pPr>
              <w:jc w:val="center"/>
              <w:ind w:left="84"/>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560" w:type="dxa"/>
            <w:vAlign w:val="bottom"/>
          </w:tcPr>
          <w:p>
            <w:pPr>
              <w:spacing w:after="0"/>
              <w:rPr>
                <w:sz w:val="15"/>
                <w:szCs w:val="15"/>
                <w:color w:val="auto"/>
              </w:rPr>
            </w:pPr>
          </w:p>
        </w:tc>
        <w:tc>
          <w:tcPr>
            <w:tcW w:w="3420" w:type="dxa"/>
            <w:vAlign w:val="bottom"/>
          </w:tcPr>
          <w:p>
            <w:pPr>
              <w:spacing w:after="0"/>
              <w:rPr>
                <w:sz w:val="15"/>
                <w:szCs w:val="15"/>
                <w:color w:val="auto"/>
              </w:rPr>
            </w:pPr>
          </w:p>
        </w:tc>
      </w:tr>
      <w:tr>
        <w:trPr>
          <w:trHeight w:val="102"/>
        </w:trPr>
        <w:tc>
          <w:tcPr>
            <w:tcW w:w="34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420" w:type="dxa"/>
            <w:vAlign w:val="bottom"/>
          </w:tcPr>
          <w:p>
            <w:pPr>
              <w:spacing w:after="0"/>
              <w:rPr>
                <w:sz w:val="8"/>
                <w:szCs w:val="8"/>
                <w:color w:val="auto"/>
              </w:rPr>
            </w:pPr>
          </w:p>
        </w:tc>
      </w:tr>
      <w:tr>
        <w:trPr>
          <w:trHeight w:val="343"/>
        </w:trPr>
        <w:tc>
          <w:tcPr>
            <w:tcW w:w="384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70"/>
        </w:trPr>
        <w:tc>
          <w:tcPr>
            <w:tcW w:w="3840" w:type="dxa"/>
            <w:vAlign w:val="bottom"/>
            <w:tcBorders>
              <w:bottom w:val="single" w:sz="8" w:color="auto"/>
            </w:tcBorders>
            <w:gridSpan w:val="2"/>
          </w:tcPr>
          <w:p>
            <w:pPr>
              <w:spacing w:after="0"/>
              <w:rPr>
                <w:sz w:val="23"/>
                <w:szCs w:val="23"/>
                <w:color w:val="auto"/>
              </w:rPr>
            </w:pPr>
          </w:p>
        </w:tc>
        <w:tc>
          <w:tcPr>
            <w:tcW w:w="21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3980" w:type="dxa"/>
            <w:vAlign w:val="bottom"/>
            <w:tcBorders>
              <w:bottom w:val="single" w:sz="8" w:color="auto"/>
            </w:tcBorders>
            <w:gridSpan w:val="2"/>
          </w:tcPr>
          <w:p>
            <w:pPr>
              <w:spacing w:after="0"/>
              <w:rPr>
                <w:sz w:val="23"/>
                <w:szCs w:val="23"/>
                <w:color w:val="auto"/>
              </w:rPr>
            </w:pPr>
          </w:p>
        </w:tc>
      </w:tr>
      <w:tr>
        <w:trPr>
          <w:trHeight w:val="171"/>
        </w:trPr>
        <w:tc>
          <w:tcPr>
            <w:tcW w:w="3840" w:type="dxa"/>
            <w:vAlign w:val="bottom"/>
            <w:tcBorders>
              <w:left w:val="single" w:sz="8" w:color="auto"/>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4"/>
                <w:szCs w:val="14"/>
                <w:color w:val="auto"/>
                <w:w w:val="87"/>
              </w:rPr>
              <w:t>Title of each class</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Trading Symbol</w:t>
            </w:r>
          </w:p>
        </w:tc>
        <w:tc>
          <w:tcPr>
            <w:tcW w:w="1320" w:type="dxa"/>
            <w:vAlign w:val="bottom"/>
            <w:tcBorders>
              <w:bottom w:val="single" w:sz="8" w:color="auto"/>
            </w:tcBorders>
          </w:tcPr>
          <w:p>
            <w:pPr>
              <w:spacing w:after="0"/>
              <w:rPr>
                <w:sz w:val="14"/>
                <w:szCs w:val="14"/>
                <w:color w:val="auto"/>
              </w:rPr>
            </w:pPr>
          </w:p>
        </w:tc>
        <w:tc>
          <w:tcPr>
            <w:tcW w:w="3980" w:type="dxa"/>
            <w:vAlign w:val="bottom"/>
            <w:tcBorders>
              <w:bottom w:val="single" w:sz="8" w:color="auto"/>
              <w:right w:val="single" w:sz="8" w:color="auto"/>
            </w:tcBorders>
            <w:gridSpan w:val="2"/>
          </w:tcPr>
          <w:p>
            <w:pPr>
              <w:jc w:val="center"/>
              <w:ind w:right="1271"/>
              <w:spacing w:after="0"/>
              <w:rPr>
                <w:sz w:val="20"/>
                <w:szCs w:val="20"/>
                <w:color w:val="auto"/>
              </w:rPr>
            </w:pPr>
            <w:r>
              <w:rPr>
                <w:rFonts w:ascii="Arial" w:cs="Arial" w:eastAsia="Arial" w:hAnsi="Arial"/>
                <w:sz w:val="14"/>
                <w:szCs w:val="14"/>
                <w:color w:val="auto"/>
                <w:w w:val="88"/>
              </w:rPr>
              <w:t>Name of each exchange on which registered</w:t>
            </w:r>
          </w:p>
        </w:tc>
      </w:tr>
      <w:tr>
        <w:trPr>
          <w:trHeight w:val="174"/>
        </w:trPr>
        <w:tc>
          <w:tcPr>
            <w:tcW w:w="38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w w:val="87"/>
              </w:rPr>
              <w:t>Common Stock, par value $.01 per share</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CSV</w:t>
            </w:r>
          </w:p>
        </w:tc>
        <w:tc>
          <w:tcPr>
            <w:tcW w:w="13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420" w:type="dxa"/>
            <w:vAlign w:val="bottom"/>
            <w:tcBorders>
              <w:bottom w:val="single" w:sz="8" w:color="auto"/>
              <w:right w:val="single" w:sz="8" w:color="auto"/>
            </w:tcBorders>
          </w:tcPr>
          <w:p>
            <w:pPr>
              <w:jc w:val="center"/>
              <w:ind w:right="1851"/>
              <w:spacing w:after="0"/>
              <w:rPr>
                <w:sz w:val="20"/>
                <w:szCs w:val="20"/>
                <w:color w:val="auto"/>
              </w:rPr>
            </w:pPr>
            <w:r>
              <w:rPr>
                <w:rFonts w:ascii="Arial" w:cs="Arial" w:eastAsia="Arial" w:hAnsi="Arial"/>
                <w:sz w:val="14"/>
                <w:szCs w:val="14"/>
                <w:color w:val="auto"/>
                <w:w w:val="90"/>
              </w:rPr>
              <w:t>New York Stock Exchange</w:t>
            </w:r>
          </w:p>
        </w:tc>
      </w:tr>
    </w:tbl>
    <w:p>
      <w:pPr>
        <w:spacing w:after="0" w:line="111"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9" w:lineRule="exact"/>
        <w:rPr>
          <w:sz w:val="24"/>
          <w:szCs w:val="24"/>
          <w:color w:val="auto"/>
        </w:rPr>
      </w:pPr>
    </w:p>
    <w:p>
      <w:pPr>
        <w:jc w:val="both"/>
        <w:spacing w:after="0" w:line="192" w:lineRule="exact"/>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w:t>
      </w:r>
      <w:r>
        <w:rPr>
          <w:rFonts w:ascii="Arial" w:cs="Arial" w:eastAsia="Arial" w:hAnsi="Arial"/>
          <w:sz w:val="16"/>
          <w:szCs w:val="16"/>
          <w:color w:val="211D1E"/>
        </w:rPr>
        <w:t>§</w:t>
      </w:r>
      <w:r>
        <w:rPr>
          <w:rFonts w:ascii="Arial" w:cs="Arial" w:eastAsia="Arial" w:hAnsi="Arial"/>
          <w:sz w:val="13"/>
          <w:szCs w:val="13"/>
          <w:color w:val="auto"/>
        </w:rPr>
        <w:t xml:space="preserve">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33" w:lineRule="exact"/>
        <w:rPr>
          <w:sz w:val="24"/>
          <w:szCs w:val="24"/>
          <w:color w:val="auto"/>
        </w:rPr>
      </w:pPr>
    </w:p>
    <w:p>
      <w:pPr>
        <w:jc w:val="both"/>
        <w:spacing w:after="0" w:line="288"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and “smaller reporting company,” and “emerging growth company” in Rule 12b-2 of the Securities Exchange Act of 1934.</w:t>
      </w:r>
    </w:p>
    <w:p>
      <w:pPr>
        <w:spacing w:after="0" w:line="55" w:lineRule="exact"/>
        <w:rPr>
          <w:sz w:val="24"/>
          <w:szCs w:val="24"/>
          <w:color w:val="auto"/>
        </w:rPr>
      </w:pPr>
    </w:p>
    <w:tbl>
      <w:tblPr>
        <w:tblLayout w:type="fixed"/>
        <w:tblInd w:w="20" w:type="dxa"/>
        <w:tblCellMar>
          <w:top w:w="0" w:type="dxa"/>
          <w:left w:w="0" w:type="dxa"/>
          <w:bottom w:w="0" w:type="dxa"/>
          <w:right w:w="0" w:type="dxa"/>
        </w:tblCellMar>
      </w:tblPr>
      <w:tr>
        <w:trPr>
          <w:trHeight w:val="181"/>
        </w:trPr>
        <w:tc>
          <w:tcPr>
            <w:tcW w:w="14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14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3960" w:type="dxa"/>
            <w:vAlign w:val="bottom"/>
          </w:tcPr>
          <w:p>
            <w:pPr>
              <w:ind w:left="2140"/>
              <w:spacing w:after="0"/>
              <w:rPr>
                <w:sz w:val="20"/>
                <w:szCs w:val="20"/>
                <w:color w:val="auto"/>
              </w:rPr>
            </w:pPr>
            <w:r>
              <w:rPr>
                <w:rFonts w:ascii="Arial" w:cs="Arial" w:eastAsia="Arial" w:hAnsi="Arial"/>
                <w:sz w:val="14"/>
                <w:szCs w:val="14"/>
                <w:color w:val="auto"/>
              </w:rPr>
              <w:t>Accelerated filer</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94"/>
        </w:trPr>
        <w:tc>
          <w:tcPr>
            <w:tcW w:w="1480" w:type="dxa"/>
            <w:vAlign w:val="bottom"/>
          </w:tcPr>
          <w:p>
            <w:pPr>
              <w:spacing w:after="0"/>
              <w:rPr>
                <w:sz w:val="20"/>
                <w:szCs w:val="20"/>
                <w:color w:val="auto"/>
              </w:rPr>
            </w:pPr>
            <w:r>
              <w:rPr>
                <w:rFonts w:ascii="Arial" w:cs="Arial" w:eastAsia="Arial" w:hAnsi="Arial"/>
                <w:sz w:val="14"/>
                <w:szCs w:val="14"/>
                <w:color w:val="auto"/>
              </w:rPr>
              <w:t>Non-accelerated filer</w:t>
            </w:r>
          </w:p>
        </w:tc>
        <w:tc>
          <w:tcPr>
            <w:tcW w:w="5140" w:type="dxa"/>
            <w:vAlign w:val="bottom"/>
          </w:tcPr>
          <w:p>
            <w:pPr>
              <w:ind w:left="2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960" w:type="dxa"/>
            <w:vAlign w:val="bottom"/>
          </w:tcPr>
          <w:p>
            <w:pPr>
              <w:ind w:left="2140"/>
              <w:spacing w:after="0"/>
              <w:rPr>
                <w:sz w:val="20"/>
                <w:szCs w:val="20"/>
                <w:color w:val="auto"/>
              </w:rPr>
            </w:pPr>
            <w:r>
              <w:rPr>
                <w:rFonts w:ascii="Arial" w:cs="Arial" w:eastAsia="Arial" w:hAnsi="Arial"/>
                <w:sz w:val="14"/>
                <w:szCs w:val="14"/>
                <w:color w:val="auto"/>
              </w:rPr>
              <w:t>Smaller reporting company</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14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3960" w:type="dxa"/>
            <w:vAlign w:val="bottom"/>
          </w:tcPr>
          <w:p>
            <w:pPr>
              <w:ind w:left="2140"/>
              <w:spacing w:after="0"/>
              <w:rPr>
                <w:sz w:val="20"/>
                <w:szCs w:val="20"/>
                <w:color w:val="auto"/>
              </w:rPr>
            </w:pPr>
            <w:r>
              <w:rPr>
                <w:rFonts w:ascii="Arial" w:cs="Arial" w:eastAsia="Arial" w:hAnsi="Arial"/>
                <w:sz w:val="14"/>
                <w:szCs w:val="14"/>
                <w:color w:val="auto"/>
              </w:rPr>
              <w:t>Emerging growth company</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19"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07" w:lineRule="exact"/>
        <w:rPr>
          <w:sz w:val="24"/>
          <w:szCs w:val="24"/>
          <w:color w:val="auto"/>
        </w:rPr>
      </w:pPr>
    </w:p>
    <w:p>
      <w:pPr>
        <w:ind w:right="3820"/>
        <w:spacing w:after="0" w:line="203"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r>
        <w:rPr>
          <w:rFonts w:ascii="Arial" w:cs="Arial" w:eastAsia="Arial" w:hAnsi="Arial"/>
          <w:sz w:val="11"/>
          <w:szCs w:val="11"/>
          <w:color w:val="auto"/>
        </w:rPr>
        <w:t xml:space="preserve"> The number of shares of the registrant’s Common Stock, $.01 par value per share, outstanding as of October 29, 2021 was 16,652,241.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814705</wp:posOffset>
            </wp:positionV>
            <wp:extent cx="716343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106045</wp:posOffset>
            </wp:positionV>
            <wp:extent cx="7122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130810</wp:posOffset>
            </wp:positionV>
            <wp:extent cx="7122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CARRIAGE SERVICES, INC.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20" w:type="dxa"/>
            <w:vAlign w:val="bottom"/>
            <w:tcBorders>
              <w:bottom w:val="single" w:sz="8" w:color="0000FF"/>
            </w:tcBorders>
            <w:gridSpan w:val="14"/>
          </w:tcPr>
          <w:p>
            <w:pPr>
              <w:spacing w:after="0"/>
              <w:rPr>
                <w:rFonts w:ascii="Arial" w:cs="Arial" w:eastAsia="Arial" w:hAnsi="Arial"/>
                <w:sz w:val="17"/>
                <w:szCs w:val="17"/>
                <w:b w:val="1"/>
                <w:bCs w:val="1"/>
                <w:color w:val="0000FF"/>
              </w:rPr>
            </w:pPr>
            <w:hyperlink w:anchor="page2">
              <w:r>
                <w:rPr>
                  <w:rFonts w:ascii="Arial" w:cs="Arial" w:eastAsia="Arial" w:hAnsi="Arial"/>
                  <w:sz w:val="17"/>
                  <w:szCs w:val="17"/>
                  <w:b w:val="1"/>
                  <w:bCs w:val="1"/>
                  <w:color w:val="0000FF"/>
                </w:rPr>
                <w:t>PART I – FINANCIAL INFORMATION</w:t>
              </w:r>
            </w:hyperlink>
          </w:p>
        </w:tc>
        <w:tc>
          <w:tcPr>
            <w:tcW w:w="7640" w:type="dxa"/>
            <w:vAlign w:val="bottom"/>
            <w:gridSpan w:val="10"/>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20" w:type="dxa"/>
            <w:vAlign w:val="bottom"/>
            <w:gridSpan w:val="8"/>
          </w:tcPr>
          <w:p>
            <w:pPr>
              <w:spacing w:after="0"/>
              <w:rPr>
                <w:rFonts w:ascii="Arial" w:cs="Arial" w:eastAsia="Arial" w:hAnsi="Arial"/>
                <w:sz w:val="17"/>
                <w:szCs w:val="17"/>
                <w:b w:val="1"/>
                <w:bCs w:val="1"/>
                <w:color w:val="0000FF"/>
                <w:w w:val="91"/>
              </w:rPr>
            </w:pPr>
            <w:hyperlink w:anchor="page3">
              <w:r>
                <w:rPr>
                  <w:rFonts w:ascii="Arial" w:cs="Arial" w:eastAsia="Arial" w:hAnsi="Arial"/>
                  <w:sz w:val="17"/>
                  <w:szCs w:val="17"/>
                  <w:b w:val="1"/>
                  <w:bCs w:val="1"/>
                  <w:color w:val="0000FF"/>
                  <w:w w:val="91"/>
                </w:rPr>
                <w:t>Item 1. Financial Statements</w:t>
              </w:r>
            </w:hyperlink>
          </w:p>
        </w:tc>
        <w:tc>
          <w:tcPr>
            <w:tcW w:w="8200" w:type="dxa"/>
            <w:vAlign w:val="bottom"/>
            <w:gridSpan w:val="14"/>
          </w:tcPr>
          <w:p>
            <w:pPr>
              <w:spacing w:after="0"/>
              <w:rPr>
                <w:sz w:val="21"/>
                <w:szCs w:val="21"/>
                <w:color w:val="auto"/>
              </w:rPr>
            </w:pPr>
          </w:p>
        </w:tc>
        <w:tc>
          <w:tcPr>
            <w:tcW w:w="560" w:type="dxa"/>
            <w:vAlign w:val="bottom"/>
            <w:gridSpan w:val="5"/>
          </w:tcPr>
          <w:p>
            <w:pPr>
              <w:jc w:val="right"/>
              <w:ind w:right="40"/>
              <w:spacing w:after="0"/>
              <w:rPr>
                <w:rFonts w:ascii="Arial" w:cs="Arial" w:eastAsia="Arial" w:hAnsi="Arial"/>
                <w:sz w:val="17"/>
                <w:szCs w:val="17"/>
                <w:color w:val="0000FF"/>
              </w:rPr>
            </w:pPr>
            <w:hyperlink w:anchor="page3">
              <w:r>
                <w:rPr>
                  <w:rFonts w:ascii="Arial" w:cs="Arial" w:eastAsia="Arial" w:hAnsi="Arial"/>
                  <w:sz w:val="17"/>
                  <w:szCs w:val="17"/>
                  <w:color w:val="0000FF"/>
                </w:rPr>
                <w:t>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740" w:type="dxa"/>
            <w:vAlign w:val="bottom"/>
            <w:gridSpan w:val="17"/>
          </w:tcPr>
          <w:p>
            <w:pPr>
              <w:spacing w:after="0"/>
              <w:rPr>
                <w:rFonts w:ascii="Arial" w:cs="Arial" w:eastAsia="Arial" w:hAnsi="Arial"/>
                <w:sz w:val="17"/>
                <w:szCs w:val="17"/>
                <w:color w:val="0000FF"/>
              </w:rPr>
            </w:pPr>
            <w:hyperlink w:anchor="page3">
              <w:r>
                <w:rPr>
                  <w:rFonts w:ascii="Arial" w:cs="Arial" w:eastAsia="Arial" w:hAnsi="Arial"/>
                  <w:sz w:val="17"/>
                  <w:szCs w:val="17"/>
                  <w:color w:val="0000FF"/>
                </w:rPr>
                <w:t>Consolidated Balance Sheet as of December 31, 2020 and September 30, 2021</w:t>
              </w:r>
            </w:hyperlink>
          </w:p>
        </w:tc>
        <w:tc>
          <w:tcPr>
            <w:tcW w:w="3300" w:type="dxa"/>
            <w:vAlign w:val="bottom"/>
            <w:gridSpan w:val="4"/>
          </w:tcPr>
          <w:p>
            <w:pPr>
              <w:spacing w:after="0"/>
              <w:rPr>
                <w:sz w:val="21"/>
                <w:szCs w:val="21"/>
                <w:color w:val="auto"/>
              </w:rPr>
            </w:pPr>
          </w:p>
        </w:tc>
        <w:tc>
          <w:tcPr>
            <w:tcW w:w="560" w:type="dxa"/>
            <w:vAlign w:val="bottom"/>
            <w:gridSpan w:val="5"/>
          </w:tcPr>
          <w:p>
            <w:pPr>
              <w:jc w:val="right"/>
              <w:ind w:right="40"/>
              <w:spacing w:after="0"/>
              <w:rPr>
                <w:rFonts w:ascii="Arial" w:cs="Arial" w:eastAsia="Arial" w:hAnsi="Arial"/>
                <w:sz w:val="17"/>
                <w:szCs w:val="17"/>
                <w:color w:val="0000FF"/>
              </w:rPr>
            </w:pPr>
            <w:hyperlink w:anchor="page3">
              <w:r>
                <w:rPr>
                  <w:rFonts w:ascii="Arial" w:cs="Arial" w:eastAsia="Arial" w:hAnsi="Arial"/>
                  <w:sz w:val="17"/>
                  <w:szCs w:val="17"/>
                  <w:color w:val="0000FF"/>
                </w:rPr>
                <w:t>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920" w:type="dxa"/>
            <w:vAlign w:val="bottom"/>
            <w:gridSpan w:val="20"/>
          </w:tcPr>
          <w:p>
            <w:pPr>
              <w:spacing w:after="0"/>
              <w:rPr>
                <w:rFonts w:ascii="Arial" w:cs="Arial" w:eastAsia="Arial" w:hAnsi="Arial"/>
                <w:sz w:val="17"/>
                <w:szCs w:val="17"/>
                <w:color w:val="0000FF"/>
              </w:rPr>
            </w:pPr>
            <w:hyperlink w:anchor="page3">
              <w:r>
                <w:rPr>
                  <w:rFonts w:ascii="Arial" w:cs="Arial" w:eastAsia="Arial" w:hAnsi="Arial"/>
                  <w:sz w:val="17"/>
                  <w:szCs w:val="17"/>
                  <w:color w:val="0000FF"/>
                </w:rPr>
                <w:t>Consolidated Statements of Operations for the Three and Nine Months ended September 30, 2020 and 2021</w:t>
              </w:r>
            </w:hyperlink>
          </w:p>
        </w:tc>
        <w:tc>
          <w:tcPr>
            <w:tcW w:w="1120" w:type="dxa"/>
            <w:vAlign w:val="bottom"/>
          </w:tcPr>
          <w:p>
            <w:pPr>
              <w:spacing w:after="0"/>
              <w:rPr>
                <w:sz w:val="21"/>
                <w:szCs w:val="21"/>
                <w:color w:val="auto"/>
              </w:rPr>
            </w:pPr>
          </w:p>
        </w:tc>
        <w:tc>
          <w:tcPr>
            <w:tcW w:w="560" w:type="dxa"/>
            <w:vAlign w:val="bottom"/>
            <w:gridSpan w:val="5"/>
          </w:tcPr>
          <w:p>
            <w:pPr>
              <w:jc w:val="right"/>
              <w:ind w:right="40"/>
              <w:spacing w:after="0"/>
              <w:rPr>
                <w:rFonts w:ascii="Arial" w:cs="Arial" w:eastAsia="Arial" w:hAnsi="Arial"/>
                <w:sz w:val="17"/>
                <w:szCs w:val="17"/>
                <w:color w:val="0000FF"/>
              </w:rPr>
            </w:pPr>
            <w:hyperlink w:anchor="page3">
              <w:r>
                <w:rPr>
                  <w:rFonts w:ascii="Arial" w:cs="Arial" w:eastAsia="Arial" w:hAnsi="Arial"/>
                  <w:sz w:val="17"/>
                  <w:szCs w:val="17"/>
                  <w:color w:val="0000FF"/>
                </w:rPr>
                <w:t>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920" w:type="dxa"/>
            <w:vAlign w:val="bottom"/>
            <w:gridSpan w:val="20"/>
          </w:tcPr>
          <w:p>
            <w:pPr>
              <w:spacing w:after="0"/>
              <w:rPr>
                <w:rFonts w:ascii="Arial" w:cs="Arial" w:eastAsia="Arial" w:hAnsi="Arial"/>
                <w:sz w:val="17"/>
                <w:szCs w:val="17"/>
                <w:color w:val="0000FF"/>
              </w:rPr>
            </w:pPr>
            <w:hyperlink w:anchor="page4">
              <w:r>
                <w:rPr>
                  <w:rFonts w:ascii="Arial" w:cs="Arial" w:eastAsia="Arial" w:hAnsi="Arial"/>
                  <w:sz w:val="17"/>
                  <w:szCs w:val="17"/>
                  <w:color w:val="0000FF"/>
                </w:rPr>
                <w:t>Consolidated Statements of Cash Flows for the Nine Months ended September 30, 2020 and 2021</w:t>
              </w:r>
            </w:hyperlink>
          </w:p>
        </w:tc>
        <w:tc>
          <w:tcPr>
            <w:tcW w:w="1120" w:type="dxa"/>
            <w:vAlign w:val="bottom"/>
          </w:tcPr>
          <w:p>
            <w:pPr>
              <w:spacing w:after="0"/>
              <w:rPr>
                <w:sz w:val="21"/>
                <w:szCs w:val="21"/>
                <w:color w:val="auto"/>
              </w:rPr>
            </w:pPr>
          </w:p>
        </w:tc>
        <w:tc>
          <w:tcPr>
            <w:tcW w:w="560" w:type="dxa"/>
            <w:vAlign w:val="bottom"/>
            <w:gridSpan w:val="5"/>
          </w:tcPr>
          <w:p>
            <w:pPr>
              <w:jc w:val="right"/>
              <w:ind w:right="40"/>
              <w:spacing w:after="0"/>
              <w:rPr>
                <w:rFonts w:ascii="Arial" w:cs="Arial" w:eastAsia="Arial" w:hAnsi="Arial"/>
                <w:sz w:val="17"/>
                <w:szCs w:val="17"/>
                <w:color w:val="0000FF"/>
              </w:rPr>
            </w:pPr>
            <w:hyperlink w:anchor="page4">
              <w:r>
                <w:rPr>
                  <w:rFonts w:ascii="Arial" w:cs="Arial" w:eastAsia="Arial" w:hAnsi="Arial"/>
                  <w:sz w:val="17"/>
                  <w:szCs w:val="17"/>
                  <w:color w:val="0000FF"/>
                </w:rPr>
                <w:t>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920" w:type="dxa"/>
            <w:vAlign w:val="bottom"/>
            <w:gridSpan w:val="20"/>
          </w:tcPr>
          <w:p>
            <w:pPr>
              <w:spacing w:after="0"/>
              <w:rPr>
                <w:rFonts w:ascii="Arial" w:cs="Arial" w:eastAsia="Arial" w:hAnsi="Arial"/>
                <w:sz w:val="17"/>
                <w:szCs w:val="17"/>
                <w:color w:val="0000FF"/>
                <w:w w:val="90"/>
              </w:rPr>
            </w:pPr>
            <w:hyperlink w:anchor="page5">
              <w:r>
                <w:rPr>
                  <w:rFonts w:ascii="Arial" w:cs="Arial" w:eastAsia="Arial" w:hAnsi="Arial"/>
                  <w:sz w:val="17"/>
                  <w:szCs w:val="17"/>
                  <w:color w:val="0000FF"/>
                  <w:w w:val="90"/>
                </w:rPr>
                <w:t>Consolidated Statements of Changes in Stockholders' Equity for the Three and Nine Months ended September 30, 2020 and 2021</w:t>
              </w:r>
            </w:hyperlink>
          </w:p>
        </w:tc>
        <w:tc>
          <w:tcPr>
            <w:tcW w:w="1120" w:type="dxa"/>
            <w:vAlign w:val="bottom"/>
          </w:tcPr>
          <w:p>
            <w:pPr>
              <w:spacing w:after="0"/>
              <w:rPr>
                <w:sz w:val="21"/>
                <w:szCs w:val="21"/>
                <w:color w:val="auto"/>
              </w:rPr>
            </w:pPr>
          </w:p>
        </w:tc>
        <w:tc>
          <w:tcPr>
            <w:tcW w:w="560" w:type="dxa"/>
            <w:vAlign w:val="bottom"/>
            <w:gridSpan w:val="5"/>
          </w:tcPr>
          <w:p>
            <w:pPr>
              <w:jc w:val="right"/>
              <w:ind w:right="40"/>
              <w:spacing w:after="0"/>
              <w:rPr>
                <w:rFonts w:ascii="Arial" w:cs="Arial" w:eastAsia="Arial" w:hAnsi="Arial"/>
                <w:sz w:val="17"/>
                <w:szCs w:val="17"/>
                <w:color w:val="0000FF"/>
              </w:rPr>
            </w:pPr>
            <w:hyperlink w:anchor="page5">
              <w:r>
                <w:rPr>
                  <w:rFonts w:ascii="Arial" w:cs="Arial" w:eastAsia="Arial" w:hAnsi="Arial"/>
                  <w:sz w:val="17"/>
                  <w:szCs w:val="17"/>
                  <w:color w:val="0000FF"/>
                </w:rPr>
                <w:t>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0" w:type="dxa"/>
            <w:vAlign w:val="bottom"/>
            <w:gridSpan w:val="13"/>
          </w:tcPr>
          <w:p>
            <w:pPr>
              <w:spacing w:after="0"/>
              <w:rPr>
                <w:rFonts w:ascii="Arial" w:cs="Arial" w:eastAsia="Arial" w:hAnsi="Arial"/>
                <w:sz w:val="17"/>
                <w:szCs w:val="17"/>
                <w:color w:val="0000FF"/>
                <w:w w:val="89"/>
              </w:rPr>
            </w:pPr>
            <w:hyperlink w:anchor="page7">
              <w:r>
                <w:rPr>
                  <w:rFonts w:ascii="Arial" w:cs="Arial" w:eastAsia="Arial" w:hAnsi="Arial"/>
                  <w:sz w:val="17"/>
                  <w:szCs w:val="17"/>
                  <w:color w:val="0000FF"/>
                  <w:w w:val="89"/>
                </w:rPr>
                <w:t>Condensed Notes to Consolidated Financial Statements</w:t>
              </w:r>
            </w:hyperlink>
          </w:p>
        </w:tc>
        <w:tc>
          <w:tcPr>
            <w:tcW w:w="5120" w:type="dxa"/>
            <w:vAlign w:val="bottom"/>
            <w:gridSpan w:val="7"/>
          </w:tcPr>
          <w:p>
            <w:pPr>
              <w:spacing w:after="0"/>
              <w:rPr>
                <w:sz w:val="21"/>
                <w:szCs w:val="21"/>
                <w:color w:val="auto"/>
              </w:rPr>
            </w:pPr>
          </w:p>
        </w:tc>
        <w:tc>
          <w:tcPr>
            <w:tcW w:w="1120" w:type="dxa"/>
            <w:vAlign w:val="bottom"/>
          </w:tcPr>
          <w:p>
            <w:pPr>
              <w:spacing w:after="0"/>
              <w:rPr>
                <w:sz w:val="21"/>
                <w:szCs w:val="21"/>
                <w:color w:val="auto"/>
              </w:rPr>
            </w:pPr>
          </w:p>
        </w:tc>
        <w:tc>
          <w:tcPr>
            <w:tcW w:w="560" w:type="dxa"/>
            <w:vAlign w:val="bottom"/>
            <w:gridSpan w:val="5"/>
          </w:tcPr>
          <w:p>
            <w:pPr>
              <w:jc w:val="right"/>
              <w:ind w:right="40"/>
              <w:spacing w:after="0"/>
              <w:rPr>
                <w:rFonts w:ascii="Arial" w:cs="Arial" w:eastAsia="Arial" w:hAnsi="Arial"/>
                <w:sz w:val="17"/>
                <w:szCs w:val="17"/>
                <w:color w:val="0000FF"/>
              </w:rPr>
            </w:pPr>
            <w:hyperlink w:anchor="page7">
              <w:r>
                <w:rPr>
                  <w:rFonts w:ascii="Arial" w:cs="Arial" w:eastAsia="Arial" w:hAnsi="Arial"/>
                  <w:sz w:val="17"/>
                  <w:szCs w:val="17"/>
                  <w:color w:val="0000FF"/>
                </w:rPr>
                <w:t>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0" w:type="dxa"/>
            <w:vAlign w:val="bottom"/>
            <w:gridSpan w:val="13"/>
          </w:tcPr>
          <w:p>
            <w:pPr>
              <w:spacing w:after="0"/>
              <w:rPr>
                <w:rFonts w:ascii="Arial" w:cs="Arial" w:eastAsia="Arial" w:hAnsi="Arial"/>
                <w:sz w:val="17"/>
                <w:szCs w:val="17"/>
                <w:color w:val="0000FF"/>
                <w:w w:val="90"/>
              </w:rPr>
            </w:pPr>
            <w:hyperlink w:anchor="page37">
              <w:r>
                <w:rPr>
                  <w:rFonts w:ascii="Arial" w:cs="Arial" w:eastAsia="Arial" w:hAnsi="Arial"/>
                  <w:sz w:val="17"/>
                  <w:szCs w:val="17"/>
                  <w:color w:val="0000FF"/>
                  <w:w w:val="90"/>
                </w:rPr>
                <w:t>Cautionary Statement on Forward–Looking Statements</w:t>
              </w:r>
            </w:hyperlink>
          </w:p>
        </w:tc>
        <w:tc>
          <w:tcPr>
            <w:tcW w:w="6240" w:type="dxa"/>
            <w:vAlign w:val="bottom"/>
            <w:gridSpan w:val="8"/>
          </w:tcPr>
          <w:p>
            <w:pPr>
              <w:spacing w:after="0"/>
              <w:rPr>
                <w:sz w:val="21"/>
                <w:szCs w:val="21"/>
                <w:color w:val="auto"/>
              </w:rPr>
            </w:pPr>
          </w:p>
        </w:tc>
        <w:tc>
          <w:tcPr>
            <w:tcW w:w="560" w:type="dxa"/>
            <w:vAlign w:val="bottom"/>
            <w:gridSpan w:val="5"/>
          </w:tcPr>
          <w:p>
            <w:pPr>
              <w:jc w:val="right"/>
              <w:ind w:right="40"/>
              <w:spacing w:after="0"/>
              <w:rPr>
                <w:rFonts w:ascii="Arial" w:cs="Arial" w:eastAsia="Arial" w:hAnsi="Arial"/>
                <w:sz w:val="17"/>
                <w:szCs w:val="17"/>
                <w:color w:val="0000FF"/>
              </w:rPr>
            </w:pPr>
            <w:hyperlink w:anchor="page37">
              <w:r>
                <w:rPr>
                  <w:rFonts w:ascii="Arial" w:cs="Arial" w:eastAsia="Arial" w:hAnsi="Arial"/>
                  <w:sz w:val="17"/>
                  <w:szCs w:val="17"/>
                  <w:color w:val="0000FF"/>
                </w:rPr>
                <w:t>38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340" w:type="dxa"/>
            <w:vAlign w:val="bottom"/>
            <w:gridSpan w:val="23"/>
          </w:tcPr>
          <w:p>
            <w:pPr>
              <w:spacing w:after="0"/>
              <w:rPr>
                <w:rFonts w:ascii="Arial" w:cs="Arial" w:eastAsia="Arial" w:hAnsi="Arial"/>
                <w:sz w:val="17"/>
                <w:szCs w:val="17"/>
                <w:b w:val="1"/>
                <w:bCs w:val="1"/>
                <w:color w:val="0000FF"/>
              </w:rPr>
            </w:pPr>
            <w:hyperlink w:anchor="page39">
              <w:r>
                <w:rPr>
                  <w:rFonts w:ascii="Arial" w:cs="Arial" w:eastAsia="Arial" w:hAnsi="Arial"/>
                  <w:sz w:val="17"/>
                  <w:szCs w:val="17"/>
                  <w:b w:val="1"/>
                  <w:bCs w:val="1"/>
                  <w:color w:val="0000FF"/>
                </w:rPr>
                <w:t>Item 2. Management’s Discussion and Analysis of Financial Condition and Results of Operations</w:t>
              </w:r>
            </w:hyperlink>
          </w:p>
        </w:tc>
        <w:tc>
          <w:tcPr>
            <w:tcW w:w="560" w:type="dxa"/>
            <w:vAlign w:val="bottom"/>
            <w:gridSpan w:val="5"/>
          </w:tcPr>
          <w:p>
            <w:pPr>
              <w:jc w:val="right"/>
              <w:ind w:right="40"/>
              <w:spacing w:after="0"/>
              <w:rPr>
                <w:rFonts w:ascii="Arial" w:cs="Arial" w:eastAsia="Arial" w:hAnsi="Arial"/>
                <w:sz w:val="17"/>
                <w:szCs w:val="17"/>
                <w:color w:val="0000FF"/>
              </w:rPr>
            </w:pPr>
            <w:hyperlink w:anchor="page39">
              <w:r>
                <w:rPr>
                  <w:rFonts w:ascii="Arial" w:cs="Arial" w:eastAsia="Arial" w:hAnsi="Arial"/>
                  <w:sz w:val="17"/>
                  <w:szCs w:val="17"/>
                  <w:color w:val="0000FF"/>
                </w:rPr>
                <w:t>40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80" w:type="dxa"/>
            <w:vAlign w:val="bottom"/>
            <w:gridSpan w:val="20"/>
          </w:tcPr>
          <w:p>
            <w:pPr>
              <w:spacing w:after="0"/>
              <w:rPr>
                <w:rFonts w:ascii="Arial" w:cs="Arial" w:eastAsia="Arial" w:hAnsi="Arial"/>
                <w:sz w:val="17"/>
                <w:szCs w:val="17"/>
                <w:b w:val="1"/>
                <w:bCs w:val="1"/>
                <w:color w:val="0000FF"/>
              </w:rPr>
            </w:pPr>
            <w:hyperlink w:anchor="page60">
              <w:r>
                <w:rPr>
                  <w:rFonts w:ascii="Arial" w:cs="Arial" w:eastAsia="Arial" w:hAnsi="Arial"/>
                  <w:sz w:val="17"/>
                  <w:szCs w:val="17"/>
                  <w:b w:val="1"/>
                  <w:bCs w:val="1"/>
                  <w:color w:val="0000FF"/>
                </w:rPr>
                <w:t>Item 3. Quantitative and Qualitative Disclosures About Market Risk</w:t>
              </w:r>
            </w:hyperlink>
          </w:p>
        </w:tc>
        <w:tc>
          <w:tcPr>
            <w:tcW w:w="3260" w:type="dxa"/>
            <w:vAlign w:val="bottom"/>
            <w:gridSpan w:val="3"/>
          </w:tcPr>
          <w:p>
            <w:pPr>
              <w:spacing w:after="0"/>
              <w:rPr>
                <w:sz w:val="21"/>
                <w:szCs w:val="21"/>
                <w:color w:val="auto"/>
              </w:rPr>
            </w:pPr>
          </w:p>
        </w:tc>
        <w:tc>
          <w:tcPr>
            <w:tcW w:w="340" w:type="dxa"/>
            <w:vAlign w:val="bottom"/>
            <w:gridSpan w:val="2"/>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7"/>
                <w:szCs w:val="17"/>
                <w:color w:val="0000FF"/>
                <w:w w:val="84"/>
              </w:rPr>
            </w:pPr>
            <w:hyperlink w:anchor="page60">
              <w:r>
                <w:rPr>
                  <w:rFonts w:ascii="Arial" w:cs="Arial" w:eastAsia="Arial" w:hAnsi="Arial"/>
                  <w:sz w:val="17"/>
                  <w:szCs w:val="17"/>
                  <w:color w:val="0000FF"/>
                  <w:w w:val="84"/>
                </w:rPr>
                <w:t>60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80" w:type="dxa"/>
            <w:vAlign w:val="bottom"/>
            <w:tcBorders>
              <w:top w:val="single" w:sz="8" w:color="0000FF"/>
            </w:tcBorders>
            <w:gridSpan w:val="11"/>
            <w:vMerge w:val="restart"/>
          </w:tcPr>
          <w:p>
            <w:pPr>
              <w:spacing w:after="0"/>
              <w:rPr>
                <w:rFonts w:ascii="Arial" w:cs="Arial" w:eastAsia="Arial" w:hAnsi="Arial"/>
                <w:sz w:val="17"/>
                <w:szCs w:val="17"/>
                <w:b w:val="1"/>
                <w:bCs w:val="1"/>
                <w:color w:val="0000FF"/>
                <w:w w:val="90"/>
              </w:rPr>
            </w:pPr>
            <w:hyperlink w:anchor="page60">
              <w:r>
                <w:rPr>
                  <w:rFonts w:ascii="Arial" w:cs="Arial" w:eastAsia="Arial" w:hAnsi="Arial"/>
                  <w:sz w:val="17"/>
                  <w:szCs w:val="17"/>
                  <w:b w:val="1"/>
                  <w:bCs w:val="1"/>
                  <w:color w:val="0000FF"/>
                  <w:w w:val="90"/>
                </w:rPr>
                <w:t>Item 4. Controls and Procedures</w:t>
              </w:r>
            </w:hyperlink>
          </w:p>
        </w:tc>
        <w:tc>
          <w:tcPr>
            <w:tcW w:w="2620" w:type="dxa"/>
            <w:vAlign w:val="bottom"/>
            <w:tcBorders>
              <w:top w:val="single" w:sz="8" w:color="0000FF"/>
            </w:tcBorders>
            <w:gridSpan w:val="6"/>
            <w:vMerge w:val="restart"/>
          </w:tcPr>
          <w:p>
            <w:pPr>
              <w:spacing w:after="0" w:line="20" w:lineRule="exact"/>
              <w:rPr>
                <w:sz w:val="1"/>
                <w:szCs w:val="1"/>
                <w:color w:val="auto"/>
              </w:rPr>
            </w:pPr>
          </w:p>
        </w:tc>
        <w:tc>
          <w:tcPr>
            <w:tcW w:w="5340" w:type="dxa"/>
            <w:vAlign w:val="bottom"/>
            <w:gridSpan w:val="6"/>
            <w:vMerge w:val="restart"/>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Borders>
              <w:top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80" w:type="dxa"/>
            <w:vAlign w:val="bottom"/>
            <w:gridSpan w:val="11"/>
            <w:vMerge w:val="continue"/>
          </w:tcPr>
          <w:p>
            <w:pPr>
              <w:spacing w:after="0"/>
              <w:rPr>
                <w:sz w:val="20"/>
                <w:szCs w:val="20"/>
                <w:color w:val="auto"/>
              </w:rPr>
            </w:pPr>
          </w:p>
        </w:tc>
        <w:tc>
          <w:tcPr>
            <w:tcW w:w="2620" w:type="dxa"/>
            <w:vAlign w:val="bottom"/>
            <w:gridSpan w:val="6"/>
            <w:vMerge w:val="continue"/>
          </w:tcPr>
          <w:p>
            <w:pPr>
              <w:spacing w:after="0"/>
              <w:rPr>
                <w:sz w:val="20"/>
                <w:szCs w:val="20"/>
                <w:color w:val="auto"/>
              </w:rPr>
            </w:pPr>
          </w:p>
        </w:tc>
        <w:tc>
          <w:tcPr>
            <w:tcW w:w="5340" w:type="dxa"/>
            <w:vAlign w:val="bottom"/>
            <w:gridSpan w:val="6"/>
            <w:vMerge w:val="continue"/>
          </w:tcPr>
          <w:p>
            <w:pPr>
              <w:spacing w:after="0"/>
              <w:rPr>
                <w:sz w:val="20"/>
                <w:szCs w:val="20"/>
                <w:color w:val="auto"/>
              </w:rPr>
            </w:pPr>
          </w:p>
        </w:tc>
        <w:tc>
          <w:tcPr>
            <w:tcW w:w="340" w:type="dxa"/>
            <w:vAlign w:val="bottom"/>
            <w:gridSpan w:val="2"/>
          </w:tcPr>
          <w:p>
            <w:pPr>
              <w:spacing w:after="0"/>
              <w:rPr>
                <w:sz w:val="20"/>
                <w:szCs w:val="20"/>
                <w:color w:val="auto"/>
              </w:rPr>
            </w:pPr>
          </w:p>
        </w:tc>
        <w:tc>
          <w:tcPr>
            <w:tcW w:w="220" w:type="dxa"/>
            <w:vAlign w:val="bottom"/>
            <w:gridSpan w:val="3"/>
          </w:tcPr>
          <w:p>
            <w:pPr>
              <w:jc w:val="right"/>
              <w:ind w:right="40"/>
              <w:spacing w:after="0"/>
              <w:rPr>
                <w:rFonts w:ascii="Arial" w:cs="Arial" w:eastAsia="Arial" w:hAnsi="Arial"/>
                <w:sz w:val="17"/>
                <w:szCs w:val="17"/>
                <w:color w:val="0000FF"/>
                <w:w w:val="84"/>
              </w:rPr>
            </w:pPr>
            <w:hyperlink w:anchor="page60">
              <w:r>
                <w:rPr>
                  <w:rFonts w:ascii="Arial" w:cs="Arial" w:eastAsia="Arial" w:hAnsi="Arial"/>
                  <w:sz w:val="17"/>
                  <w:szCs w:val="17"/>
                  <w:color w:val="0000FF"/>
                  <w:w w:val="84"/>
                </w:rPr>
                <w:t>61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42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2740" w:type="dxa"/>
            <w:vAlign w:val="bottom"/>
            <w:tcBorders>
              <w:bottom w:val="single" w:sz="8" w:color="0000FF"/>
            </w:tcBorders>
            <w:gridSpan w:val="13"/>
          </w:tcPr>
          <w:p>
            <w:pPr>
              <w:spacing w:after="0"/>
              <w:rPr>
                <w:rFonts w:ascii="Arial" w:cs="Arial" w:eastAsia="Arial" w:hAnsi="Arial"/>
                <w:sz w:val="17"/>
                <w:szCs w:val="17"/>
                <w:b w:val="1"/>
                <w:bCs w:val="1"/>
                <w:color w:val="0000FF"/>
              </w:rPr>
            </w:pPr>
            <w:hyperlink w:anchor="page61">
              <w:r>
                <w:rPr>
                  <w:rFonts w:ascii="Arial" w:cs="Arial" w:eastAsia="Arial" w:hAnsi="Arial"/>
                  <w:sz w:val="17"/>
                  <w:szCs w:val="17"/>
                  <w:b w:val="1"/>
                  <w:bCs w:val="1"/>
                  <w:color w:val="0000FF"/>
                </w:rPr>
                <w:t>PART II – OTHER INFORMATION</w:t>
              </w:r>
            </w:hyperlink>
          </w:p>
        </w:tc>
        <w:tc>
          <w:tcPr>
            <w:tcW w:w="7920" w:type="dxa"/>
            <w:vAlign w:val="bottom"/>
            <w:gridSpan w:val="11"/>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340" w:type="dxa"/>
            <w:vAlign w:val="bottom"/>
            <w:gridSpan w:val="23"/>
          </w:tcPr>
          <w:p>
            <w:pPr>
              <w:spacing w:after="0"/>
              <w:rPr>
                <w:rFonts w:ascii="Arial" w:cs="Arial" w:eastAsia="Arial" w:hAnsi="Arial"/>
                <w:sz w:val="17"/>
                <w:szCs w:val="17"/>
                <w:b w:val="1"/>
                <w:bCs w:val="1"/>
                <w:color w:val="0000FF"/>
              </w:rPr>
            </w:pPr>
            <w:hyperlink w:anchor="page62">
              <w:r>
                <w:rPr>
                  <w:rFonts w:ascii="Arial" w:cs="Arial" w:eastAsia="Arial" w:hAnsi="Arial"/>
                  <w:sz w:val="17"/>
                  <w:szCs w:val="17"/>
                  <w:b w:val="1"/>
                  <w:bCs w:val="1"/>
                  <w:color w:val="0000FF"/>
                </w:rPr>
                <w:t>Item 1. Legal Proceedings</w:t>
              </w:r>
            </w:hyperlink>
          </w:p>
        </w:tc>
        <w:tc>
          <w:tcPr>
            <w:tcW w:w="560" w:type="dxa"/>
            <w:vAlign w:val="bottom"/>
            <w:gridSpan w:val="5"/>
          </w:tcPr>
          <w:p>
            <w:pPr>
              <w:jc w:val="right"/>
              <w:ind w:right="40"/>
              <w:spacing w:after="0"/>
              <w:rPr>
                <w:rFonts w:ascii="Arial" w:cs="Arial" w:eastAsia="Arial" w:hAnsi="Arial"/>
                <w:sz w:val="17"/>
                <w:szCs w:val="17"/>
                <w:color w:val="0000FF"/>
              </w:rPr>
            </w:pPr>
            <w:hyperlink w:anchor="page62">
              <w:r>
                <w:rPr>
                  <w:rFonts w:ascii="Arial" w:cs="Arial" w:eastAsia="Arial" w:hAnsi="Arial"/>
                  <w:sz w:val="17"/>
                  <w:szCs w:val="17"/>
                  <w:color w:val="0000FF"/>
                </w:rPr>
                <w:t>62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tcBorders>
              <w:top w:val="single" w:sz="8" w:color="0000FF"/>
            </w:tcBorders>
            <w:gridSpan w:val="7"/>
            <w:vMerge w:val="restart"/>
          </w:tcPr>
          <w:p>
            <w:pPr>
              <w:spacing w:after="0"/>
              <w:rPr>
                <w:rFonts w:ascii="Arial" w:cs="Arial" w:eastAsia="Arial" w:hAnsi="Arial"/>
                <w:sz w:val="17"/>
                <w:szCs w:val="17"/>
                <w:b w:val="1"/>
                <w:bCs w:val="1"/>
                <w:color w:val="0000FF"/>
              </w:rPr>
            </w:pPr>
            <w:hyperlink w:anchor="page62">
              <w:r>
                <w:rPr>
                  <w:rFonts w:ascii="Arial" w:cs="Arial" w:eastAsia="Arial" w:hAnsi="Arial"/>
                  <w:sz w:val="17"/>
                  <w:szCs w:val="17"/>
                  <w:b w:val="1"/>
                  <w:bCs w:val="1"/>
                  <w:color w:val="0000FF"/>
                </w:rPr>
                <w:t>Item 1A. Risk Factors</w:t>
              </w:r>
            </w:hyperlink>
          </w:p>
        </w:tc>
        <w:tc>
          <w:tcPr>
            <w:tcW w:w="8460" w:type="dxa"/>
            <w:vAlign w:val="bottom"/>
            <w:gridSpan w:val="16"/>
            <w:vMerge w:val="restart"/>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Borders>
              <w:top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80" w:type="dxa"/>
            <w:vAlign w:val="bottom"/>
            <w:gridSpan w:val="7"/>
            <w:vMerge w:val="continue"/>
          </w:tcPr>
          <w:p>
            <w:pPr>
              <w:spacing w:after="0"/>
              <w:rPr>
                <w:sz w:val="20"/>
                <w:szCs w:val="20"/>
                <w:color w:val="auto"/>
              </w:rPr>
            </w:pPr>
          </w:p>
        </w:tc>
        <w:tc>
          <w:tcPr>
            <w:tcW w:w="8460" w:type="dxa"/>
            <w:vAlign w:val="bottom"/>
            <w:gridSpan w:val="16"/>
            <w:vMerge w:val="continue"/>
          </w:tcPr>
          <w:p>
            <w:pPr>
              <w:spacing w:after="0"/>
              <w:rPr>
                <w:sz w:val="20"/>
                <w:szCs w:val="20"/>
                <w:color w:val="auto"/>
              </w:rPr>
            </w:pPr>
          </w:p>
        </w:tc>
        <w:tc>
          <w:tcPr>
            <w:tcW w:w="340" w:type="dxa"/>
            <w:vAlign w:val="bottom"/>
            <w:gridSpan w:val="2"/>
          </w:tcPr>
          <w:p>
            <w:pPr>
              <w:spacing w:after="0"/>
              <w:rPr>
                <w:sz w:val="20"/>
                <w:szCs w:val="20"/>
                <w:color w:val="auto"/>
              </w:rPr>
            </w:pPr>
          </w:p>
        </w:tc>
        <w:tc>
          <w:tcPr>
            <w:tcW w:w="220" w:type="dxa"/>
            <w:vAlign w:val="bottom"/>
            <w:gridSpan w:val="3"/>
          </w:tcPr>
          <w:p>
            <w:pPr>
              <w:jc w:val="right"/>
              <w:ind w:right="40"/>
              <w:spacing w:after="0"/>
              <w:rPr>
                <w:rFonts w:ascii="Arial" w:cs="Arial" w:eastAsia="Arial" w:hAnsi="Arial"/>
                <w:sz w:val="17"/>
                <w:szCs w:val="17"/>
                <w:color w:val="0000FF"/>
                <w:w w:val="84"/>
              </w:rPr>
            </w:pPr>
            <w:hyperlink w:anchor="page62">
              <w:r>
                <w:rPr>
                  <w:rFonts w:ascii="Arial" w:cs="Arial" w:eastAsia="Arial" w:hAnsi="Arial"/>
                  <w:sz w:val="17"/>
                  <w:szCs w:val="17"/>
                  <w:color w:val="0000FF"/>
                  <w:w w:val="84"/>
                </w:rPr>
                <w:t>62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42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920" w:type="dxa"/>
            <w:vAlign w:val="bottom"/>
            <w:gridSpan w:val="16"/>
          </w:tcPr>
          <w:p>
            <w:pPr>
              <w:spacing w:after="0"/>
              <w:rPr>
                <w:sz w:val="20"/>
                <w:szCs w:val="20"/>
                <w:color w:val="auto"/>
              </w:rPr>
            </w:pPr>
            <w:r>
              <w:rPr>
                <w:rFonts w:ascii="Arial" w:cs="Arial" w:eastAsia="Arial" w:hAnsi="Arial"/>
                <w:sz w:val="17"/>
                <w:szCs w:val="17"/>
                <w:b w:val="1"/>
                <w:bCs w:val="1"/>
                <w:color w:val="0000FF"/>
                <w:w w:val="89"/>
              </w:rPr>
              <w:t>Item 2. Unregistered Sales of Equity Securities and Use of Proceeds</w:t>
            </w:r>
          </w:p>
        </w:tc>
        <w:tc>
          <w:tcPr>
            <w:tcW w:w="5420" w:type="dxa"/>
            <w:vAlign w:val="bottom"/>
            <w:gridSpan w:val="7"/>
          </w:tcPr>
          <w:p>
            <w:pPr>
              <w:spacing w:after="0"/>
              <w:rPr>
                <w:sz w:val="21"/>
                <w:szCs w:val="21"/>
                <w:color w:val="auto"/>
              </w:rPr>
            </w:pPr>
          </w:p>
        </w:tc>
        <w:tc>
          <w:tcPr>
            <w:tcW w:w="340" w:type="dxa"/>
            <w:vAlign w:val="bottom"/>
            <w:gridSpan w:val="2"/>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7"/>
                <w:szCs w:val="17"/>
                <w:color w:val="0000FF"/>
                <w:w w:val="84"/>
              </w:rPr>
            </w:pPr>
            <w:hyperlink w:anchor="page62">
              <w:r>
                <w:rPr>
                  <w:rFonts w:ascii="Arial" w:cs="Arial" w:eastAsia="Arial" w:hAnsi="Arial"/>
                  <w:sz w:val="17"/>
                  <w:szCs w:val="17"/>
                  <w:color w:val="0000FF"/>
                  <w:w w:val="84"/>
                </w:rPr>
                <w:t>63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542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920" w:type="dxa"/>
            <w:vAlign w:val="bottom"/>
            <w:gridSpan w:val="16"/>
          </w:tcPr>
          <w:p>
            <w:pPr>
              <w:spacing w:after="0"/>
              <w:rPr>
                <w:sz w:val="20"/>
                <w:szCs w:val="20"/>
                <w:color w:val="auto"/>
              </w:rPr>
            </w:pPr>
            <w:r>
              <w:rPr>
                <w:rFonts w:ascii="Arial" w:cs="Arial" w:eastAsia="Arial" w:hAnsi="Arial"/>
                <w:sz w:val="17"/>
                <w:szCs w:val="17"/>
                <w:b w:val="1"/>
                <w:bCs w:val="1"/>
                <w:color w:val="0000FF"/>
              </w:rPr>
              <w:t>Item 3. Defaults Upon Senior Securities</w:t>
            </w:r>
          </w:p>
        </w:tc>
        <w:tc>
          <w:tcPr>
            <w:tcW w:w="5420" w:type="dxa"/>
            <w:vAlign w:val="bottom"/>
            <w:gridSpan w:val="7"/>
          </w:tcPr>
          <w:p>
            <w:pPr>
              <w:spacing w:after="0"/>
              <w:rPr>
                <w:sz w:val="21"/>
                <w:szCs w:val="21"/>
                <w:color w:val="auto"/>
              </w:rPr>
            </w:pPr>
          </w:p>
        </w:tc>
        <w:tc>
          <w:tcPr>
            <w:tcW w:w="340" w:type="dxa"/>
            <w:vAlign w:val="bottom"/>
            <w:gridSpan w:val="2"/>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7"/>
                <w:szCs w:val="17"/>
                <w:color w:val="0000FF"/>
                <w:w w:val="84"/>
              </w:rPr>
            </w:pPr>
            <w:hyperlink w:anchor="page63">
              <w:r>
                <w:rPr>
                  <w:rFonts w:ascii="Arial" w:cs="Arial" w:eastAsia="Arial" w:hAnsi="Arial"/>
                  <w:sz w:val="17"/>
                  <w:szCs w:val="17"/>
                  <w:color w:val="0000FF"/>
                  <w:w w:val="84"/>
                </w:rPr>
                <w:t>63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7460" w:type="dxa"/>
            <w:vAlign w:val="bottom"/>
            <w:gridSpan w:val="9"/>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80" w:type="dxa"/>
            <w:vAlign w:val="bottom"/>
            <w:gridSpan w:val="14"/>
          </w:tcPr>
          <w:p>
            <w:pPr>
              <w:spacing w:after="0"/>
              <w:rPr>
                <w:sz w:val="20"/>
                <w:szCs w:val="20"/>
                <w:color w:val="auto"/>
              </w:rPr>
            </w:pPr>
            <w:r>
              <w:rPr>
                <w:rFonts w:ascii="Arial" w:cs="Arial" w:eastAsia="Arial" w:hAnsi="Arial"/>
                <w:sz w:val="17"/>
                <w:szCs w:val="17"/>
                <w:b w:val="1"/>
                <w:bCs w:val="1"/>
                <w:color w:val="0000FF"/>
              </w:rPr>
              <w:t>Item 4. Mine Safety Disclosures</w:t>
            </w:r>
          </w:p>
        </w:tc>
        <w:tc>
          <w:tcPr>
            <w:tcW w:w="7460" w:type="dxa"/>
            <w:vAlign w:val="bottom"/>
            <w:gridSpan w:val="9"/>
          </w:tcPr>
          <w:p>
            <w:pPr>
              <w:spacing w:after="0"/>
              <w:rPr>
                <w:sz w:val="21"/>
                <w:szCs w:val="21"/>
                <w:color w:val="auto"/>
              </w:rPr>
            </w:pPr>
          </w:p>
        </w:tc>
        <w:tc>
          <w:tcPr>
            <w:tcW w:w="340" w:type="dxa"/>
            <w:vAlign w:val="bottom"/>
            <w:gridSpan w:val="2"/>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7"/>
                <w:szCs w:val="17"/>
                <w:color w:val="0000FF"/>
                <w:w w:val="84"/>
              </w:rPr>
            </w:pPr>
            <w:hyperlink w:anchor="page63">
              <w:r>
                <w:rPr>
                  <w:rFonts w:ascii="Arial" w:cs="Arial" w:eastAsia="Arial" w:hAnsi="Arial"/>
                  <w:sz w:val="17"/>
                  <w:szCs w:val="17"/>
                  <w:color w:val="0000FF"/>
                  <w:w w:val="84"/>
                </w:rPr>
                <w:t>63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40" w:type="dxa"/>
            <w:vAlign w:val="bottom"/>
            <w:gridSpan w:val="1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00" w:type="dxa"/>
            <w:vAlign w:val="bottom"/>
            <w:gridSpan w:val="10"/>
          </w:tcPr>
          <w:p>
            <w:pPr>
              <w:spacing w:after="0"/>
              <w:rPr>
                <w:sz w:val="20"/>
                <w:szCs w:val="20"/>
                <w:color w:val="auto"/>
              </w:rPr>
            </w:pPr>
            <w:r>
              <w:rPr>
                <w:rFonts w:ascii="Arial" w:cs="Arial" w:eastAsia="Arial" w:hAnsi="Arial"/>
                <w:sz w:val="17"/>
                <w:szCs w:val="17"/>
                <w:b w:val="1"/>
                <w:bCs w:val="1"/>
                <w:color w:val="0000FF"/>
              </w:rPr>
              <w:t>Item 5. Other Information</w:t>
            </w:r>
          </w:p>
        </w:tc>
        <w:tc>
          <w:tcPr>
            <w:tcW w:w="8040" w:type="dxa"/>
            <w:vAlign w:val="bottom"/>
            <w:gridSpan w:val="13"/>
          </w:tcPr>
          <w:p>
            <w:pPr>
              <w:spacing w:after="0"/>
              <w:rPr>
                <w:sz w:val="24"/>
                <w:szCs w:val="24"/>
                <w:color w:val="auto"/>
              </w:rPr>
            </w:pPr>
          </w:p>
        </w:tc>
        <w:tc>
          <w:tcPr>
            <w:tcW w:w="340" w:type="dxa"/>
            <w:vAlign w:val="bottom"/>
            <w:gridSpan w:val="2"/>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7"/>
                <w:szCs w:val="17"/>
                <w:color w:val="0000FF"/>
                <w:w w:val="84"/>
              </w:rPr>
            </w:pPr>
            <w:hyperlink w:anchor="page63">
              <w:r>
                <w:rPr>
                  <w:rFonts w:ascii="Arial" w:cs="Arial" w:eastAsia="Arial" w:hAnsi="Arial"/>
                  <w:sz w:val="17"/>
                  <w:szCs w:val="17"/>
                  <w:color w:val="0000FF"/>
                  <w:w w:val="84"/>
                </w:rPr>
                <w:t>63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8420" w:type="dxa"/>
            <w:vAlign w:val="bottom"/>
            <w:gridSpan w:val="1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gridSpan w:val="8"/>
          </w:tcPr>
          <w:p>
            <w:pPr>
              <w:spacing w:after="0"/>
              <w:rPr>
                <w:rFonts w:ascii="Arial" w:cs="Arial" w:eastAsia="Arial" w:hAnsi="Arial"/>
                <w:sz w:val="17"/>
                <w:szCs w:val="17"/>
                <w:b w:val="1"/>
                <w:bCs w:val="1"/>
                <w:color w:val="0000FF"/>
              </w:rPr>
            </w:pPr>
            <w:hyperlink w:anchor="page63">
              <w:r>
                <w:rPr>
                  <w:rFonts w:ascii="Arial" w:cs="Arial" w:eastAsia="Arial" w:hAnsi="Arial"/>
                  <w:sz w:val="17"/>
                  <w:szCs w:val="17"/>
                  <w:b w:val="1"/>
                  <w:bCs w:val="1"/>
                  <w:color w:val="0000FF"/>
                </w:rPr>
                <w:t>Item 6. Exhibits</w:t>
              </w:r>
            </w:hyperlink>
          </w:p>
        </w:tc>
        <w:tc>
          <w:tcPr>
            <w:tcW w:w="8420" w:type="dxa"/>
            <w:vAlign w:val="bottom"/>
            <w:gridSpan w:val="15"/>
          </w:tcPr>
          <w:p>
            <w:pPr>
              <w:spacing w:after="0"/>
              <w:rPr>
                <w:sz w:val="24"/>
                <w:szCs w:val="24"/>
                <w:color w:val="auto"/>
              </w:rPr>
            </w:pPr>
          </w:p>
        </w:tc>
        <w:tc>
          <w:tcPr>
            <w:tcW w:w="340" w:type="dxa"/>
            <w:vAlign w:val="bottom"/>
            <w:gridSpan w:val="2"/>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7"/>
                <w:szCs w:val="17"/>
                <w:color w:val="0000FF"/>
                <w:w w:val="84"/>
              </w:rPr>
            </w:pPr>
            <w:hyperlink w:anchor="page63">
              <w:r>
                <w:rPr>
                  <w:rFonts w:ascii="Arial" w:cs="Arial" w:eastAsia="Arial" w:hAnsi="Arial"/>
                  <w:sz w:val="17"/>
                  <w:szCs w:val="17"/>
                  <w:color w:val="0000FF"/>
                  <w:w w:val="84"/>
                </w:rPr>
                <w:t>63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940" w:type="dxa"/>
            <w:vAlign w:val="bottom"/>
            <w:gridSpan w:val="18"/>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1020" w:type="dxa"/>
            <w:vAlign w:val="bottom"/>
            <w:gridSpan w:val="4"/>
          </w:tcPr>
          <w:p>
            <w:pPr>
              <w:spacing w:after="0"/>
              <w:rPr>
                <w:rFonts w:ascii="Arial" w:cs="Arial" w:eastAsia="Arial" w:hAnsi="Arial"/>
                <w:sz w:val="17"/>
                <w:szCs w:val="17"/>
                <w:b w:val="1"/>
                <w:bCs w:val="1"/>
                <w:color w:val="0000FF"/>
                <w:w w:val="99"/>
              </w:rPr>
            </w:pPr>
            <w:hyperlink w:anchor="page63">
              <w:r>
                <w:rPr>
                  <w:rFonts w:ascii="Arial" w:cs="Arial" w:eastAsia="Arial" w:hAnsi="Arial"/>
                  <w:sz w:val="17"/>
                  <w:szCs w:val="17"/>
                  <w:b w:val="1"/>
                  <w:bCs w:val="1"/>
                  <w:color w:val="0000FF"/>
                  <w:w w:val="99"/>
                </w:rPr>
                <w:t>SIGNATURE</w:t>
              </w:r>
            </w:hyperlink>
          </w:p>
        </w:tc>
        <w:tc>
          <w:tcPr>
            <w:tcW w:w="9640" w:type="dxa"/>
            <w:vAlign w:val="bottom"/>
            <w:gridSpan w:val="20"/>
          </w:tcPr>
          <w:p>
            <w:pPr>
              <w:spacing w:after="0"/>
              <w:rPr>
                <w:sz w:val="21"/>
                <w:szCs w:val="21"/>
                <w:color w:val="auto"/>
              </w:rPr>
            </w:pPr>
          </w:p>
        </w:tc>
        <w:tc>
          <w:tcPr>
            <w:tcW w:w="340" w:type="dxa"/>
            <w:vAlign w:val="bottom"/>
            <w:gridSpan w:val="2"/>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7"/>
                <w:szCs w:val="17"/>
                <w:color w:val="0000FF"/>
                <w:w w:val="84"/>
              </w:rPr>
            </w:pPr>
            <w:hyperlink w:anchor="page63">
              <w:r>
                <w:rPr>
                  <w:rFonts w:ascii="Arial" w:cs="Arial" w:eastAsia="Arial" w:hAnsi="Arial"/>
                  <w:sz w:val="17"/>
                  <w:szCs w:val="17"/>
                  <w:color w:val="0000FF"/>
                  <w:w w:val="84"/>
                </w:rPr>
                <w:t>64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940" w:type="dxa"/>
            <w:vAlign w:val="bottom"/>
            <w:gridSpan w:val="18"/>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1720" w:type="dxa"/>
            <w:vAlign w:val="bottom"/>
            <w:gridSpan w:val="6"/>
          </w:tcPr>
          <w:p>
            <w:pPr>
              <w:spacing w:after="0"/>
              <w:rPr>
                <w:rFonts w:ascii="Arial" w:cs="Arial" w:eastAsia="Arial" w:hAnsi="Arial"/>
                <w:sz w:val="17"/>
                <w:szCs w:val="17"/>
                <w:b w:val="1"/>
                <w:bCs w:val="1"/>
                <w:color w:val="0000FF"/>
              </w:rPr>
            </w:pPr>
            <w:hyperlink w:anchor="page63">
              <w:r>
                <w:rPr>
                  <w:rFonts w:ascii="Arial" w:cs="Arial" w:eastAsia="Arial" w:hAnsi="Arial"/>
                  <w:sz w:val="17"/>
                  <w:szCs w:val="17"/>
                  <w:b w:val="1"/>
                  <w:bCs w:val="1"/>
                  <w:color w:val="0000FF"/>
                </w:rPr>
                <w:t>INDEX OF EXHIBITS</w:t>
              </w:r>
            </w:hyperlink>
          </w:p>
        </w:tc>
        <w:tc>
          <w:tcPr>
            <w:tcW w:w="8940" w:type="dxa"/>
            <w:vAlign w:val="bottom"/>
            <w:gridSpan w:val="18"/>
          </w:tcPr>
          <w:p>
            <w:pPr>
              <w:spacing w:after="0"/>
              <w:rPr>
                <w:sz w:val="21"/>
                <w:szCs w:val="21"/>
                <w:color w:val="auto"/>
              </w:rPr>
            </w:pPr>
          </w:p>
        </w:tc>
        <w:tc>
          <w:tcPr>
            <w:tcW w:w="340" w:type="dxa"/>
            <w:vAlign w:val="bottom"/>
            <w:gridSpan w:val="2"/>
          </w:tcPr>
          <w:p>
            <w:pPr>
              <w:spacing w:after="0"/>
              <w:rPr>
                <w:sz w:val="21"/>
                <w:szCs w:val="21"/>
                <w:color w:val="auto"/>
              </w:rPr>
            </w:pPr>
          </w:p>
        </w:tc>
        <w:tc>
          <w:tcPr>
            <w:tcW w:w="220" w:type="dxa"/>
            <w:vAlign w:val="bottom"/>
            <w:gridSpan w:val="3"/>
          </w:tcPr>
          <w:p>
            <w:pPr>
              <w:jc w:val="right"/>
              <w:ind w:right="40"/>
              <w:spacing w:after="0"/>
              <w:rPr>
                <w:rFonts w:ascii="Arial" w:cs="Arial" w:eastAsia="Arial" w:hAnsi="Arial"/>
                <w:sz w:val="17"/>
                <w:szCs w:val="17"/>
                <w:color w:val="0000FF"/>
                <w:w w:val="84"/>
              </w:rPr>
            </w:pPr>
            <w:hyperlink w:anchor="page64">
              <w:r>
                <w:rPr>
                  <w:rFonts w:ascii="Arial" w:cs="Arial" w:eastAsia="Arial" w:hAnsi="Arial"/>
                  <w:sz w:val="17"/>
                  <w:szCs w:val="17"/>
                  <w:color w:val="0000FF"/>
                  <w:w w:val="84"/>
                </w:rPr>
                <w:t>65</w:t>
              </w:r>
            </w:hyperlink>
          </w:p>
        </w:tc>
        <w:tc>
          <w:tcPr>
            <w:tcW w:w="0" w:type="dxa"/>
            <w:vAlign w:val="bottom"/>
          </w:tcPr>
          <w:p>
            <w:pPr>
              <w:spacing w:after="0"/>
              <w:rPr>
                <w:sz w:val="1"/>
                <w:szCs w:val="1"/>
                <w:color w:val="auto"/>
              </w:rPr>
            </w:pPr>
          </w:p>
        </w:tc>
      </w:tr>
      <w:tr>
        <w:trPr>
          <w:trHeight w:val="830"/>
        </w:trPr>
        <w:tc>
          <w:tcPr>
            <w:tcW w:w="20" w:type="dxa"/>
            <w:vAlign w:val="bottom"/>
          </w:tcPr>
          <w:p>
            <w:pPr>
              <w:spacing w:after="0"/>
              <w:rPr>
                <w:sz w:val="24"/>
                <w:szCs w:val="24"/>
                <w:color w:val="auto"/>
              </w:rPr>
            </w:pPr>
          </w:p>
        </w:tc>
        <w:tc>
          <w:tcPr>
            <w:tcW w:w="1720" w:type="dxa"/>
            <w:vAlign w:val="bottom"/>
            <w:tcBorders>
              <w:top w:val="single" w:sz="8" w:color="0000FF"/>
            </w:tcBorders>
            <w:gridSpan w:val="6"/>
          </w:tcPr>
          <w:p>
            <w:pPr>
              <w:spacing w:after="0"/>
              <w:rPr>
                <w:sz w:val="24"/>
                <w:szCs w:val="24"/>
                <w:color w:val="auto"/>
              </w:rPr>
            </w:pPr>
          </w:p>
        </w:tc>
        <w:tc>
          <w:tcPr>
            <w:tcW w:w="4320" w:type="dxa"/>
            <w:vAlign w:val="bottom"/>
            <w:gridSpan w:val="13"/>
          </w:tcPr>
          <w:p>
            <w:pPr>
              <w:jc w:val="right"/>
              <w:ind w:right="300"/>
              <w:spacing w:after="0"/>
              <w:rPr>
                <w:sz w:val="20"/>
                <w:szCs w:val="20"/>
                <w:color w:val="auto"/>
              </w:rPr>
            </w:pPr>
            <w:r>
              <w:rPr>
                <w:rFonts w:ascii="Arial" w:cs="Arial" w:eastAsia="Arial" w:hAnsi="Arial"/>
                <w:sz w:val="17"/>
                <w:szCs w:val="17"/>
                <w:color w:val="auto"/>
              </w:rPr>
              <w:t>- 2 -</w:t>
            </w: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60" w:type="dxa"/>
            <w:vAlign w:val="bottom"/>
          </w:tcPr>
          <w:p>
            <w:pPr>
              <w:jc w:val="center"/>
              <w:ind w:left="3354"/>
              <w:spacing w:after="0"/>
              <w:rPr>
                <w:sz w:val="20"/>
                <w:szCs w:val="20"/>
                <w:color w:val="auto"/>
              </w:rPr>
            </w:pPr>
            <w:r>
              <w:rPr>
                <w:rFonts w:ascii="Arial" w:cs="Arial" w:eastAsia="Arial" w:hAnsi="Arial"/>
                <w:sz w:val="17"/>
                <w:szCs w:val="17"/>
                <w:b w:val="1"/>
                <w:bCs w:val="1"/>
                <w:color w:val="auto"/>
              </w:rPr>
              <w:t>PART I – FINANCIAL INFORMATION</w:t>
            </w:r>
          </w:p>
        </w:tc>
        <w:tc>
          <w:tcPr>
            <w:tcW w:w="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80" w:type="dxa"/>
            <w:vAlign w:val="bottom"/>
            <w:gridSpan w:val="2"/>
          </w:tcPr>
          <w:p>
            <w:pPr>
              <w:spacing w:after="0"/>
              <w:rPr>
                <w:sz w:val="20"/>
                <w:szCs w:val="20"/>
                <w:color w:val="auto"/>
              </w:rPr>
            </w:pPr>
            <w:r>
              <w:rPr>
                <w:rFonts w:ascii="Arial" w:cs="Arial" w:eastAsia="Arial" w:hAnsi="Arial"/>
                <w:sz w:val="17"/>
                <w:szCs w:val="17"/>
                <w:b w:val="1"/>
                <w:bCs w:val="1"/>
                <w:color w:val="auto"/>
              </w:rPr>
              <w:t>Item 1.</w:t>
            </w:r>
          </w:p>
        </w:tc>
        <w:tc>
          <w:tcPr>
            <w:tcW w:w="6660" w:type="dxa"/>
            <w:vAlign w:val="bottom"/>
          </w:tcPr>
          <w:p>
            <w:pPr>
              <w:ind w:left="360"/>
              <w:spacing w:after="0"/>
              <w:rPr>
                <w:sz w:val="20"/>
                <w:szCs w:val="20"/>
                <w:color w:val="auto"/>
              </w:rPr>
            </w:pPr>
            <w:r>
              <w:rPr>
                <w:rFonts w:ascii="Arial" w:cs="Arial" w:eastAsia="Arial" w:hAnsi="Arial"/>
                <w:sz w:val="17"/>
                <w:szCs w:val="17"/>
                <w:b w:val="1"/>
                <w:bCs w:val="1"/>
                <w:color w:val="auto"/>
              </w:rPr>
              <w:t>Financial Statements.</w:t>
            </w:r>
          </w:p>
        </w:tc>
        <w:tc>
          <w:tcPr>
            <w:tcW w:w="3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60" w:type="dxa"/>
            <w:vAlign w:val="bottom"/>
          </w:tcPr>
          <w:p>
            <w:pPr>
              <w:jc w:val="center"/>
              <w:ind w:left="3334"/>
              <w:spacing w:after="0"/>
              <w:rPr>
                <w:sz w:val="20"/>
                <w:szCs w:val="20"/>
                <w:color w:val="auto"/>
              </w:rPr>
            </w:pPr>
            <w:r>
              <w:rPr>
                <w:rFonts w:ascii="Arial" w:cs="Arial" w:eastAsia="Arial" w:hAnsi="Arial"/>
                <w:sz w:val="17"/>
                <w:szCs w:val="17"/>
                <w:b w:val="1"/>
                <w:bCs w:val="1"/>
                <w:color w:val="auto"/>
              </w:rPr>
              <w:t>CARRIAGE SERVICES, INC.</w:t>
            </w: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60" w:type="dxa"/>
            <w:vAlign w:val="bottom"/>
          </w:tcPr>
          <w:p>
            <w:pPr>
              <w:jc w:val="center"/>
              <w:ind w:left="3334"/>
              <w:spacing w:after="0"/>
              <w:rPr>
                <w:sz w:val="20"/>
                <w:szCs w:val="20"/>
                <w:color w:val="auto"/>
              </w:rPr>
            </w:pPr>
            <w:r>
              <w:rPr>
                <w:rFonts w:ascii="Arial" w:cs="Arial" w:eastAsia="Arial" w:hAnsi="Arial"/>
                <w:sz w:val="17"/>
                <w:szCs w:val="17"/>
                <w:b w:val="1"/>
                <w:bCs w:val="1"/>
                <w:color w:val="auto"/>
              </w:rPr>
              <w:t>CONSOLIDATED BALANCE SHEET</w:t>
            </w:r>
          </w:p>
        </w:tc>
        <w:tc>
          <w:tcPr>
            <w:tcW w:w="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20" w:type="dxa"/>
            <w:vAlign w:val="bottom"/>
            <w:gridSpan w:val="2"/>
          </w:tcPr>
          <w:p>
            <w:pPr>
              <w:jc w:val="center"/>
              <w:ind w:left="2994"/>
              <w:spacing w:after="0"/>
              <w:rPr>
                <w:sz w:val="20"/>
                <w:szCs w:val="20"/>
                <w:color w:val="auto"/>
              </w:rPr>
            </w:pPr>
            <w:r>
              <w:rPr>
                <w:rFonts w:ascii="Arial" w:cs="Arial" w:eastAsia="Arial" w:hAnsi="Arial"/>
                <w:sz w:val="16"/>
                <w:szCs w:val="16"/>
                <w:b w:val="1"/>
                <w:bCs w:val="1"/>
                <w:color w:val="auto"/>
                <w:w w:val="90"/>
              </w:rPr>
              <w:t>(unaudited and in thousands, except share data)</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40" w:type="dxa"/>
            <w:vAlign w:val="bottom"/>
            <w:gridSpan w:val="2"/>
          </w:tcPr>
          <w:p>
            <w:pPr>
              <w:ind w:left="240"/>
              <w:spacing w:after="0"/>
              <w:rPr>
                <w:sz w:val="20"/>
                <w:szCs w:val="20"/>
                <w:color w:val="auto"/>
              </w:rPr>
            </w:pPr>
            <w:r>
              <w:rPr>
                <w:rFonts w:ascii="Arial" w:cs="Arial" w:eastAsia="Arial" w:hAnsi="Arial"/>
                <w:sz w:val="15"/>
                <w:szCs w:val="15"/>
                <w:b w:val="1"/>
                <w:bCs w:val="1"/>
                <w:color w:val="auto"/>
              </w:rPr>
              <w:t>December 31, 2020</w:t>
            </w:r>
          </w:p>
        </w:tc>
        <w:tc>
          <w:tcPr>
            <w:tcW w:w="34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5"/>
                <w:szCs w:val="15"/>
                <w:b w:val="1"/>
                <w:bCs w:val="1"/>
                <w:color w:val="auto"/>
              </w:rPr>
              <w:t>September 30, 2021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6660" w:type="dxa"/>
            <w:vAlign w:val="bottom"/>
            <w:tcBorders>
              <w:top w:val="single" w:sz="8" w:color="CCEEFF"/>
            </w:tcBorders>
            <w:shd w:val="clear" w:color="auto" w:fill="CCEEFF"/>
          </w:tcPr>
          <w:p>
            <w:pPr>
              <w:ind w:left="2720"/>
              <w:spacing w:after="0"/>
              <w:rPr>
                <w:sz w:val="20"/>
                <w:szCs w:val="20"/>
                <w:color w:val="auto"/>
              </w:rPr>
            </w:pPr>
            <w:r>
              <w:rPr>
                <w:rFonts w:ascii="Arial" w:cs="Arial" w:eastAsia="Arial" w:hAnsi="Arial"/>
                <w:sz w:val="17"/>
                <w:szCs w:val="17"/>
                <w:b w:val="1"/>
                <w:bCs w:val="1"/>
                <w:color w:val="auto"/>
              </w:rPr>
              <w:t>ASSETS</w:t>
            </w:r>
          </w:p>
        </w:tc>
        <w:tc>
          <w:tcPr>
            <w:tcW w:w="36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20" w:type="dxa"/>
            <w:vAlign w:val="bottom"/>
            <w:gridSpan w:val="2"/>
          </w:tcPr>
          <w:p>
            <w:pPr>
              <w:ind w:left="20"/>
              <w:spacing w:after="0"/>
              <w:rPr>
                <w:sz w:val="20"/>
                <w:szCs w:val="20"/>
                <w:color w:val="auto"/>
              </w:rPr>
            </w:pPr>
            <w:r>
              <w:rPr>
                <w:rFonts w:ascii="Arial" w:cs="Arial" w:eastAsia="Arial" w:hAnsi="Arial"/>
                <w:sz w:val="17"/>
                <w:szCs w:val="17"/>
                <w:color w:val="auto"/>
              </w:rPr>
              <w:t>Current assets:</w:t>
            </w:r>
          </w:p>
        </w:tc>
        <w:tc>
          <w:tcPr>
            <w:tcW w:w="3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Cash and cash equivalents</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889</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20" w:type="dxa"/>
            <w:vAlign w:val="bottom"/>
            <w:gridSpan w:val="2"/>
          </w:tcPr>
          <w:p>
            <w:pPr>
              <w:ind w:left="200"/>
              <w:spacing w:after="0"/>
              <w:rPr>
                <w:sz w:val="20"/>
                <w:szCs w:val="20"/>
                <w:color w:val="auto"/>
              </w:rPr>
            </w:pPr>
            <w:r>
              <w:rPr>
                <w:rFonts w:ascii="Arial" w:cs="Arial" w:eastAsia="Arial" w:hAnsi="Arial"/>
                <w:sz w:val="17"/>
                <w:szCs w:val="17"/>
                <w:color w:val="auto"/>
              </w:rPr>
              <w:t>Accounts receivable, net</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25,103</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26,213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Inventories</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7,259</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2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Prepaid and other current assets</w:t>
            </w:r>
          </w:p>
        </w:tc>
        <w:tc>
          <w:tcPr>
            <w:tcW w:w="3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2,076</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60" w:type="dxa"/>
            <w:vAlign w:val="bottom"/>
            <w:shd w:val="clear" w:color="auto" w:fill="CCEEFF"/>
          </w:tcPr>
          <w:p>
            <w:pPr>
              <w:ind w:left="80"/>
              <w:spacing w:after="0"/>
              <w:rPr>
                <w:sz w:val="20"/>
                <w:szCs w:val="20"/>
                <w:color w:val="auto"/>
              </w:rPr>
            </w:pPr>
            <w:r>
              <w:rPr>
                <w:rFonts w:ascii="Arial" w:cs="Arial" w:eastAsia="Arial" w:hAnsi="Arial"/>
                <w:sz w:val="17"/>
                <w:szCs w:val="17"/>
                <w:color w:val="auto"/>
              </w:rPr>
              <w:t>Total current assets</w:t>
            </w:r>
          </w:p>
        </w:tc>
        <w:tc>
          <w:tcPr>
            <w:tcW w:w="3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35,327</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36,868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20" w:type="dxa"/>
            <w:vAlign w:val="bottom"/>
            <w:gridSpan w:val="2"/>
          </w:tcPr>
          <w:p>
            <w:pPr>
              <w:ind w:left="20"/>
              <w:spacing w:after="0"/>
              <w:rPr>
                <w:sz w:val="20"/>
                <w:szCs w:val="20"/>
                <w:color w:val="auto"/>
              </w:rPr>
            </w:pPr>
            <w:r>
              <w:rPr>
                <w:rFonts w:ascii="Arial" w:cs="Arial" w:eastAsia="Arial" w:hAnsi="Arial"/>
                <w:sz w:val="17"/>
                <w:szCs w:val="17"/>
                <w:color w:val="auto"/>
              </w:rPr>
              <w:t>Preneed cemetery trust investments</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86,604</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97,489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Preneed funeral trust investments</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101,235</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108,404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20" w:type="dxa"/>
            <w:vAlign w:val="bottom"/>
            <w:gridSpan w:val="2"/>
          </w:tcPr>
          <w:p>
            <w:pPr>
              <w:ind w:left="20"/>
              <w:spacing w:after="0"/>
              <w:rPr>
                <w:sz w:val="20"/>
                <w:szCs w:val="20"/>
                <w:color w:val="auto"/>
              </w:rPr>
            </w:pPr>
            <w:r>
              <w:rPr>
                <w:rFonts w:ascii="Arial" w:cs="Arial" w:eastAsia="Arial" w:hAnsi="Arial"/>
                <w:sz w:val="17"/>
                <w:szCs w:val="17"/>
                <w:color w:val="auto"/>
              </w:rPr>
              <w:t>Preneed cemetery receivables, net</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21,081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22,932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Receivables from preneed funeral trusts, net</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16,844</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18,665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20" w:type="dxa"/>
            <w:vAlign w:val="bottom"/>
            <w:gridSpan w:val="2"/>
          </w:tcPr>
          <w:p>
            <w:pPr>
              <w:ind w:left="20"/>
              <w:spacing w:after="0"/>
              <w:rPr>
                <w:sz w:val="20"/>
                <w:szCs w:val="20"/>
                <w:color w:val="auto"/>
              </w:rPr>
            </w:pPr>
            <w:r>
              <w:rPr>
                <w:rFonts w:ascii="Arial" w:cs="Arial" w:eastAsia="Arial" w:hAnsi="Arial"/>
                <w:sz w:val="17"/>
                <w:szCs w:val="17"/>
                <w:color w:val="auto"/>
              </w:rPr>
              <w:t>Property, plant and equipment, net</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269,051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267,756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Cemetery property, net</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101,134</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100,505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20" w:type="dxa"/>
            <w:vAlign w:val="bottom"/>
            <w:gridSpan w:val="2"/>
          </w:tcPr>
          <w:p>
            <w:pPr>
              <w:ind w:left="20"/>
              <w:spacing w:after="0"/>
              <w:rPr>
                <w:sz w:val="20"/>
                <w:szCs w:val="20"/>
                <w:color w:val="auto"/>
              </w:rPr>
            </w:pPr>
            <w:r>
              <w:rPr>
                <w:rFonts w:ascii="Arial" w:cs="Arial" w:eastAsia="Arial" w:hAnsi="Arial"/>
                <w:sz w:val="17"/>
                <w:szCs w:val="17"/>
                <w:color w:val="auto"/>
              </w:rPr>
              <w:t>Goodwill</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392,978</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391,972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Intangible and other non-current assets, net</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29,542</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29,437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20" w:type="dxa"/>
            <w:vAlign w:val="bottom"/>
            <w:gridSpan w:val="2"/>
          </w:tcPr>
          <w:p>
            <w:pPr>
              <w:ind w:left="20"/>
              <w:spacing w:after="0"/>
              <w:rPr>
                <w:sz w:val="20"/>
                <w:szCs w:val="20"/>
                <w:color w:val="auto"/>
              </w:rPr>
            </w:pPr>
            <w:r>
              <w:rPr>
                <w:rFonts w:ascii="Arial" w:cs="Arial" w:eastAsia="Arial" w:hAnsi="Arial"/>
                <w:sz w:val="17"/>
                <w:szCs w:val="17"/>
                <w:color w:val="auto"/>
              </w:rPr>
              <w:t>Operating lease right-of-use assets</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21,201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18,307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Cemetery perpetual care trust investments</w:t>
            </w:r>
          </w:p>
        </w:tc>
        <w:tc>
          <w:tcPr>
            <w:tcW w:w="3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70,828</w:t>
            </w:r>
          </w:p>
        </w:tc>
        <w:tc>
          <w:tcPr>
            <w:tcW w:w="2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71,640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60" w:type="dxa"/>
            <w:vAlign w:val="bottom"/>
          </w:tcPr>
          <w:p>
            <w:pPr>
              <w:ind w:left="80"/>
              <w:spacing w:after="0"/>
              <w:rPr>
                <w:sz w:val="20"/>
                <w:szCs w:val="20"/>
                <w:color w:val="auto"/>
              </w:rPr>
            </w:pPr>
            <w:r>
              <w:rPr>
                <w:rFonts w:ascii="Arial" w:cs="Arial" w:eastAsia="Arial" w:hAnsi="Arial"/>
                <w:sz w:val="17"/>
                <w:szCs w:val="17"/>
                <w:color w:val="auto"/>
              </w:rPr>
              <w:t>Total assets</w:t>
            </w: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1,145,825</w:t>
            </w:r>
          </w:p>
        </w:tc>
        <w:tc>
          <w:tcPr>
            <w:tcW w:w="22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1,163,975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6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660" w:type="dxa"/>
            <w:vAlign w:val="bottom"/>
            <w:shd w:val="clear" w:color="auto" w:fill="CCEEFF"/>
          </w:tcPr>
          <w:p>
            <w:pPr>
              <w:ind w:left="1180"/>
              <w:spacing w:after="0" w:line="186" w:lineRule="exact"/>
              <w:rPr>
                <w:sz w:val="20"/>
                <w:szCs w:val="20"/>
                <w:color w:val="auto"/>
              </w:rPr>
            </w:pPr>
            <w:r>
              <w:rPr>
                <w:rFonts w:ascii="Arial" w:cs="Arial" w:eastAsia="Arial" w:hAnsi="Arial"/>
                <w:sz w:val="17"/>
                <w:szCs w:val="17"/>
                <w:b w:val="1"/>
                <w:bCs w:val="1"/>
                <w:color w:val="auto"/>
              </w:rPr>
              <w:t>LIABILITIES AND STOCKHOLDERS’ EQUITY</w:t>
            </w:r>
          </w:p>
        </w:tc>
        <w:tc>
          <w:tcPr>
            <w:tcW w:w="3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20" w:type="dxa"/>
            <w:vAlign w:val="bottom"/>
            <w:gridSpan w:val="2"/>
          </w:tcPr>
          <w:p>
            <w:pPr>
              <w:ind w:left="20"/>
              <w:spacing w:after="0"/>
              <w:rPr>
                <w:sz w:val="20"/>
                <w:szCs w:val="20"/>
                <w:color w:val="auto"/>
              </w:rPr>
            </w:pPr>
            <w:r>
              <w:rPr>
                <w:rFonts w:ascii="Arial" w:cs="Arial" w:eastAsia="Arial" w:hAnsi="Arial"/>
                <w:sz w:val="17"/>
                <w:szCs w:val="17"/>
                <w:color w:val="auto"/>
              </w:rPr>
              <w:t>Current liabilities:</w:t>
            </w:r>
          </w:p>
        </w:tc>
        <w:tc>
          <w:tcPr>
            <w:tcW w:w="3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Current portion of debt and lease obligations</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3,432</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20" w:type="dxa"/>
            <w:vAlign w:val="bottom"/>
            <w:gridSpan w:val="2"/>
          </w:tcPr>
          <w:p>
            <w:pPr>
              <w:ind w:left="200"/>
              <w:spacing w:after="0"/>
              <w:rPr>
                <w:sz w:val="20"/>
                <w:szCs w:val="20"/>
                <w:color w:val="auto"/>
              </w:rPr>
            </w:pPr>
            <w:r>
              <w:rPr>
                <w:rFonts w:ascii="Arial" w:cs="Arial" w:eastAsia="Arial" w:hAnsi="Arial"/>
                <w:sz w:val="17"/>
                <w:szCs w:val="17"/>
                <w:color w:val="auto"/>
              </w:rPr>
              <w:t>Accounts payable</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11,259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14,510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Accrued and other liabilities</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31,138</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43,147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2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Convertible subordinated notes due 2021</w:t>
            </w:r>
          </w:p>
        </w:tc>
        <w:tc>
          <w:tcPr>
            <w:tcW w:w="3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2,538</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60" w:type="dxa"/>
            <w:vAlign w:val="bottom"/>
            <w:shd w:val="clear" w:color="auto" w:fill="CCEEFF"/>
          </w:tcPr>
          <w:p>
            <w:pPr>
              <w:ind w:left="80"/>
              <w:spacing w:after="0"/>
              <w:rPr>
                <w:sz w:val="20"/>
                <w:szCs w:val="20"/>
                <w:color w:val="auto"/>
              </w:rPr>
            </w:pPr>
            <w:r>
              <w:rPr>
                <w:rFonts w:ascii="Arial" w:cs="Arial" w:eastAsia="Arial" w:hAnsi="Arial"/>
                <w:sz w:val="17"/>
                <w:szCs w:val="17"/>
                <w:color w:val="auto"/>
              </w:rPr>
              <w:t>Total current liabilities</w:t>
            </w:r>
          </w:p>
        </w:tc>
        <w:tc>
          <w:tcPr>
            <w:tcW w:w="3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48,367</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60,698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20" w:type="dxa"/>
            <w:vAlign w:val="bottom"/>
            <w:gridSpan w:val="2"/>
          </w:tcPr>
          <w:p>
            <w:pPr>
              <w:ind w:left="20"/>
              <w:spacing w:after="0"/>
              <w:rPr>
                <w:sz w:val="20"/>
                <w:szCs w:val="20"/>
                <w:color w:val="auto"/>
              </w:rPr>
            </w:pPr>
            <w:r>
              <w:rPr>
                <w:rFonts w:ascii="Arial" w:cs="Arial" w:eastAsia="Arial" w:hAnsi="Arial"/>
                <w:sz w:val="17"/>
                <w:szCs w:val="17"/>
                <w:color w:val="auto"/>
              </w:rPr>
              <w:t>Acquisition debt, net of current portion</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4,482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4,359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Credit facility</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46,064</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85,418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20" w:type="dxa"/>
            <w:vAlign w:val="bottom"/>
            <w:gridSpan w:val="2"/>
          </w:tcPr>
          <w:p>
            <w:pPr>
              <w:ind w:left="20"/>
              <w:spacing w:after="0"/>
              <w:rPr>
                <w:sz w:val="20"/>
                <w:szCs w:val="20"/>
                <w:color w:val="auto"/>
              </w:rPr>
            </w:pPr>
            <w:r>
              <w:rPr>
                <w:rFonts w:ascii="Arial" w:cs="Arial" w:eastAsia="Arial" w:hAnsi="Arial"/>
                <w:sz w:val="17"/>
                <w:szCs w:val="17"/>
                <w:color w:val="auto"/>
              </w:rPr>
              <w:t>Senior notes</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395,968</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394,456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Obligations under finance leases, net of current portion</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5,531</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20" w:type="dxa"/>
            <w:vAlign w:val="bottom"/>
            <w:gridSpan w:val="2"/>
          </w:tcPr>
          <w:p>
            <w:pPr>
              <w:ind w:left="20"/>
              <w:spacing w:after="0"/>
              <w:rPr>
                <w:sz w:val="20"/>
                <w:szCs w:val="20"/>
                <w:color w:val="auto"/>
              </w:rPr>
            </w:pPr>
            <w:r>
              <w:rPr>
                <w:rFonts w:ascii="Arial" w:cs="Arial" w:eastAsia="Arial" w:hAnsi="Arial"/>
                <w:sz w:val="17"/>
                <w:szCs w:val="17"/>
                <w:color w:val="auto"/>
              </w:rPr>
              <w:t>Obligations under operating leases, net of current portion</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20,302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18,951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Deferred preneed cemetery revenue</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47,846</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49,480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20" w:type="dxa"/>
            <w:vAlign w:val="bottom"/>
            <w:gridSpan w:val="2"/>
          </w:tcPr>
          <w:p>
            <w:pPr>
              <w:ind w:left="20"/>
              <w:spacing w:after="0"/>
              <w:rPr>
                <w:sz w:val="20"/>
                <w:szCs w:val="20"/>
                <w:color w:val="auto"/>
              </w:rPr>
            </w:pPr>
            <w:r>
              <w:rPr>
                <w:rFonts w:ascii="Arial" w:cs="Arial" w:eastAsia="Arial" w:hAnsi="Arial"/>
                <w:sz w:val="17"/>
                <w:szCs w:val="17"/>
                <w:color w:val="auto"/>
              </w:rPr>
              <w:t>Deferred preneed funeral revenue</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27,992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29,945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Deferred tax liability</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46,477</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43,044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20" w:type="dxa"/>
            <w:vAlign w:val="bottom"/>
            <w:gridSpan w:val="2"/>
          </w:tcPr>
          <w:p>
            <w:pPr>
              <w:ind w:left="20"/>
              <w:spacing w:after="0"/>
              <w:rPr>
                <w:sz w:val="20"/>
                <w:szCs w:val="20"/>
                <w:color w:val="auto"/>
              </w:rPr>
            </w:pPr>
            <w:r>
              <w:rPr>
                <w:rFonts w:ascii="Arial" w:cs="Arial" w:eastAsia="Arial" w:hAnsi="Arial"/>
                <w:sz w:val="17"/>
                <w:szCs w:val="17"/>
                <w:color w:val="auto"/>
              </w:rPr>
              <w:t>Other long-term liabilities</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4,748</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3,045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Deferred preneed cemetery receipts held in trust</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86,604</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97,489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20" w:type="dxa"/>
            <w:vAlign w:val="bottom"/>
            <w:gridSpan w:val="2"/>
          </w:tcPr>
          <w:p>
            <w:pPr>
              <w:ind w:left="20"/>
              <w:spacing w:after="0"/>
              <w:rPr>
                <w:sz w:val="20"/>
                <w:szCs w:val="20"/>
                <w:color w:val="auto"/>
              </w:rPr>
            </w:pPr>
            <w:r>
              <w:rPr>
                <w:rFonts w:ascii="Arial" w:cs="Arial" w:eastAsia="Arial" w:hAnsi="Arial"/>
                <w:sz w:val="17"/>
                <w:szCs w:val="17"/>
                <w:color w:val="auto"/>
              </w:rPr>
              <w:t>Deferred preneed funeral receipts held in trust</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101,235</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108,404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Care trusts’ corpus</w:t>
            </w:r>
          </w:p>
        </w:tc>
        <w:tc>
          <w:tcPr>
            <w:tcW w:w="3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69,707</w:t>
            </w:r>
          </w:p>
        </w:tc>
        <w:tc>
          <w:tcPr>
            <w:tcW w:w="2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70,960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6660" w:type="dxa"/>
            <w:vAlign w:val="bottom"/>
            <w:tcBorders>
              <w:bottom w:val="single" w:sz="8" w:color="CCEEFF"/>
            </w:tcBorders>
          </w:tcPr>
          <w:p>
            <w:pPr>
              <w:ind w:left="80"/>
              <w:spacing w:after="0"/>
              <w:rPr>
                <w:sz w:val="20"/>
                <w:szCs w:val="20"/>
                <w:color w:val="auto"/>
              </w:rPr>
            </w:pPr>
            <w:r>
              <w:rPr>
                <w:rFonts w:ascii="Arial" w:cs="Arial" w:eastAsia="Arial" w:hAnsi="Arial"/>
                <w:sz w:val="17"/>
                <w:szCs w:val="17"/>
                <w:color w:val="auto"/>
              </w:rPr>
              <w:t>Total liabilities</w:t>
            </w:r>
          </w:p>
        </w:tc>
        <w:tc>
          <w:tcPr>
            <w:tcW w:w="3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905,323</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971,507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Commitments and contingencies:</w:t>
            </w:r>
          </w:p>
        </w:tc>
        <w:tc>
          <w:tcPr>
            <w:tcW w:w="3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20" w:type="dxa"/>
            <w:vAlign w:val="bottom"/>
            <w:gridSpan w:val="2"/>
          </w:tcPr>
          <w:p>
            <w:pPr>
              <w:ind w:left="20"/>
              <w:spacing w:after="0"/>
              <w:rPr>
                <w:sz w:val="20"/>
                <w:szCs w:val="20"/>
                <w:color w:val="auto"/>
              </w:rPr>
            </w:pPr>
            <w:r>
              <w:rPr>
                <w:rFonts w:ascii="Arial" w:cs="Arial" w:eastAsia="Arial" w:hAnsi="Arial"/>
                <w:sz w:val="17"/>
                <w:szCs w:val="17"/>
                <w:color w:val="auto"/>
              </w:rPr>
              <w:t>Stockholders’ equity:</w:t>
            </w:r>
          </w:p>
        </w:tc>
        <w:tc>
          <w:tcPr>
            <w:tcW w:w="3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20" w:type="dxa"/>
            <w:vAlign w:val="bottom"/>
            <w:gridSpan w:val="2"/>
            <w:shd w:val="clear" w:color="auto" w:fill="CCEEFF"/>
          </w:tcPr>
          <w:p>
            <w:pPr>
              <w:ind w:left="200"/>
              <w:spacing w:after="0" w:line="169" w:lineRule="exact"/>
              <w:rPr>
                <w:sz w:val="20"/>
                <w:szCs w:val="20"/>
                <w:color w:val="auto"/>
              </w:rPr>
            </w:pPr>
            <w:r>
              <w:rPr>
                <w:rFonts w:ascii="Arial" w:cs="Arial" w:eastAsia="Arial" w:hAnsi="Arial"/>
                <w:sz w:val="17"/>
                <w:szCs w:val="17"/>
                <w:color w:val="auto"/>
                <w:w w:val="97"/>
              </w:rPr>
              <w:t>Common stock, $0.01 par value; 80,000,000 shares authorized and 26,020,494 and 26,205,777</w:t>
            </w:r>
          </w:p>
        </w:tc>
        <w:tc>
          <w:tcPr>
            <w:tcW w:w="36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262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shares issued, respectively and 17,995,155 and 16,652,241 shares outstanding, respectively</w:t>
            </w:r>
          </w:p>
        </w:tc>
        <w:tc>
          <w:tcPr>
            <w:tcW w:w="36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20" w:type="dxa"/>
            <w:vAlign w:val="bottom"/>
            <w:gridSpan w:val="2"/>
          </w:tcPr>
          <w:p>
            <w:pPr>
              <w:ind w:left="200"/>
              <w:spacing w:after="0"/>
              <w:rPr>
                <w:sz w:val="20"/>
                <w:szCs w:val="20"/>
                <w:color w:val="auto"/>
              </w:rPr>
            </w:pPr>
            <w:r>
              <w:rPr>
                <w:rFonts w:ascii="Arial" w:cs="Arial" w:eastAsia="Arial" w:hAnsi="Arial"/>
                <w:sz w:val="17"/>
                <w:szCs w:val="17"/>
                <w:color w:val="auto"/>
              </w:rPr>
              <w:t>Additional paid-in capital</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239,989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237,681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Retained earnings</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102,303</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122,115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2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w w:val="95"/>
              </w:rPr>
              <w:t>Treasury stock, at cost; 8,025,339 and 9,553,536 at December 31, 2020 and September 30, 2021</w:t>
            </w:r>
          </w:p>
        </w:tc>
        <w:tc>
          <w:tcPr>
            <w:tcW w:w="3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(102,050)</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(167,590)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60" w:type="dxa"/>
            <w:vAlign w:val="bottom"/>
            <w:shd w:val="clear" w:color="auto" w:fill="CCEEFF"/>
          </w:tcPr>
          <w:p>
            <w:pPr>
              <w:ind w:left="80"/>
              <w:spacing w:after="0"/>
              <w:rPr>
                <w:sz w:val="20"/>
                <w:szCs w:val="20"/>
                <w:color w:val="auto"/>
              </w:rPr>
            </w:pPr>
            <w:r>
              <w:rPr>
                <w:rFonts w:ascii="Arial" w:cs="Arial" w:eastAsia="Arial" w:hAnsi="Arial"/>
                <w:sz w:val="17"/>
                <w:szCs w:val="17"/>
                <w:color w:val="auto"/>
              </w:rPr>
              <w:t>Total stockholders’ equity</w:t>
            </w:r>
          </w:p>
        </w:tc>
        <w:tc>
          <w:tcPr>
            <w:tcW w:w="3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240,502</w:t>
            </w:r>
          </w:p>
        </w:tc>
        <w:tc>
          <w:tcPr>
            <w:tcW w:w="2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192,468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60" w:type="dxa"/>
            <w:vAlign w:val="bottom"/>
          </w:tcPr>
          <w:p>
            <w:pPr>
              <w:ind w:left="500"/>
              <w:spacing w:after="0"/>
              <w:rPr>
                <w:sz w:val="20"/>
                <w:szCs w:val="20"/>
                <w:color w:val="auto"/>
              </w:rPr>
            </w:pPr>
            <w:r>
              <w:rPr>
                <w:rFonts w:ascii="Arial" w:cs="Arial" w:eastAsia="Arial" w:hAnsi="Arial"/>
                <w:sz w:val="17"/>
                <w:szCs w:val="17"/>
                <w:color w:val="auto"/>
              </w:rPr>
              <w:t>Total liabilities and stockholders’ equity</w:t>
            </w: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1,145,825</w:t>
            </w:r>
          </w:p>
        </w:tc>
        <w:tc>
          <w:tcPr>
            <w:tcW w:w="22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1,163,975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condensed notes are an integral part of these Consolidated Financial Statements.</w:t>
      </w:r>
    </w:p>
    <w:p>
      <w:pPr>
        <w:sectPr>
          <w:pgSz w:w="11900" w:h="16838" w:orient="portrait"/>
          <w:cols w:equalWidth="0" w:num="1">
            <w:col w:w="11240"/>
          </w:cols>
          <w:pgMar w:left="320" w:top="85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82550</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CARRIAGE SERVICES,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and in thousands, except per share data)</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gridSpan w:val="5"/>
          </w:tcPr>
          <w:p>
            <w:pPr>
              <w:ind w:left="40"/>
              <w:spacing w:after="0"/>
              <w:rPr>
                <w:sz w:val="20"/>
                <w:szCs w:val="20"/>
                <w:color w:val="auto"/>
              </w:rPr>
            </w:pPr>
            <w:r>
              <w:rPr>
                <w:rFonts w:ascii="Arial" w:cs="Arial" w:eastAsia="Arial" w:hAnsi="Arial"/>
                <w:sz w:val="15"/>
                <w:szCs w:val="15"/>
                <w:b w:val="1"/>
                <w:bCs w:val="1"/>
                <w:color w:val="auto"/>
              </w:rPr>
              <w:t>Three months ended September 30,</w:t>
            </w:r>
          </w:p>
        </w:tc>
        <w:tc>
          <w:tcPr>
            <w:tcW w:w="160" w:type="dxa"/>
            <w:vAlign w:val="bottom"/>
          </w:tcPr>
          <w:p>
            <w:pPr>
              <w:spacing w:after="0"/>
              <w:rPr>
                <w:sz w:val="17"/>
                <w:szCs w:val="17"/>
                <w:color w:val="auto"/>
              </w:rPr>
            </w:pPr>
          </w:p>
        </w:tc>
        <w:tc>
          <w:tcPr>
            <w:tcW w:w="2540" w:type="dxa"/>
            <w:vAlign w:val="bottom"/>
            <w:gridSpan w:val="4"/>
          </w:tcPr>
          <w:p>
            <w:pPr>
              <w:jc w:val="right"/>
              <w:ind w:right="134"/>
              <w:spacing w:after="0"/>
              <w:rPr>
                <w:sz w:val="20"/>
                <w:szCs w:val="20"/>
                <w:color w:val="auto"/>
              </w:rPr>
            </w:pPr>
            <w:r>
              <w:rPr>
                <w:rFonts w:ascii="Arial" w:cs="Arial" w:eastAsia="Arial" w:hAnsi="Arial"/>
                <w:sz w:val="15"/>
                <w:szCs w:val="15"/>
                <w:b w:val="1"/>
                <w:bCs w:val="1"/>
                <w:color w:val="auto"/>
                <w:w w:val="93"/>
              </w:rPr>
              <w:t>Nine months ended September 30,</w:t>
            </w:r>
          </w:p>
        </w:tc>
        <w:tc>
          <w:tcPr>
            <w:tcW w:w="0" w:type="dxa"/>
            <w:vAlign w:val="bottom"/>
          </w:tcPr>
          <w:p>
            <w:pPr>
              <w:spacing w:after="0"/>
              <w:rPr>
                <w:sz w:val="1"/>
                <w:szCs w:val="1"/>
                <w:color w:val="auto"/>
              </w:rPr>
            </w:pPr>
          </w:p>
        </w:tc>
      </w:tr>
      <w:tr>
        <w:trPr>
          <w:trHeight w:val="200"/>
        </w:trPr>
        <w:tc>
          <w:tcPr>
            <w:tcW w:w="56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18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1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16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202"/>
        </w:trPr>
        <w:tc>
          <w:tcPr>
            <w:tcW w:w="5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680" w:type="dxa"/>
            <w:vAlign w:val="bottom"/>
          </w:tcPr>
          <w:p>
            <w:pPr>
              <w:ind w:left="340"/>
              <w:spacing w:after="0"/>
              <w:rPr>
                <w:sz w:val="20"/>
                <w:szCs w:val="20"/>
                <w:color w:val="auto"/>
              </w:rPr>
            </w:pPr>
            <w:r>
              <w:rPr>
                <w:rFonts w:ascii="Arial" w:cs="Arial" w:eastAsia="Arial" w:hAnsi="Arial"/>
                <w:sz w:val="17"/>
                <w:szCs w:val="17"/>
                <w:color w:val="auto"/>
              </w:rPr>
              <w:t>Service revenue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41,218</w:t>
            </w:r>
          </w:p>
        </w:tc>
        <w:tc>
          <w:tcPr>
            <w:tcW w:w="18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46,210</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120,830</w:t>
            </w:r>
          </w:p>
        </w:tc>
        <w:tc>
          <w:tcPr>
            <w:tcW w:w="16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134,086</w:t>
            </w:r>
          </w:p>
        </w:tc>
        <w:tc>
          <w:tcPr>
            <w:tcW w:w="0" w:type="dxa"/>
            <w:vAlign w:val="bottom"/>
          </w:tcPr>
          <w:p>
            <w:pPr>
              <w:spacing w:after="0"/>
              <w:rPr>
                <w:sz w:val="1"/>
                <w:szCs w:val="1"/>
                <w:color w:val="auto"/>
              </w:rPr>
            </w:pPr>
          </w:p>
        </w:tc>
      </w:tr>
      <w:tr>
        <w:trPr>
          <w:trHeight w:val="220"/>
        </w:trPr>
        <w:tc>
          <w:tcPr>
            <w:tcW w:w="56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Property and merchandise revenue</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36,298</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42,043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100,211</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125,545</w:t>
            </w:r>
          </w:p>
        </w:tc>
        <w:tc>
          <w:tcPr>
            <w:tcW w:w="0" w:type="dxa"/>
            <w:vAlign w:val="bottom"/>
          </w:tcPr>
          <w:p>
            <w:pPr>
              <w:spacing w:after="0"/>
              <w:rPr>
                <w:sz w:val="1"/>
                <w:szCs w:val="1"/>
                <w:color w:val="auto"/>
              </w:rPr>
            </w:pPr>
          </w:p>
        </w:tc>
      </w:tr>
      <w:tr>
        <w:trPr>
          <w:trHeight w:val="219"/>
        </w:trPr>
        <w:tc>
          <w:tcPr>
            <w:tcW w:w="568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Other revenue</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6,877</w:t>
            </w:r>
          </w:p>
        </w:tc>
        <w:tc>
          <w:tcPr>
            <w:tcW w:w="1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6,788</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18,319</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20,324</w:t>
            </w:r>
          </w:p>
        </w:tc>
        <w:tc>
          <w:tcPr>
            <w:tcW w:w="0" w:type="dxa"/>
            <w:vAlign w:val="bottom"/>
          </w:tcPr>
          <w:p>
            <w:pPr>
              <w:spacing w:after="0"/>
              <w:rPr>
                <w:sz w:val="1"/>
                <w:szCs w:val="1"/>
                <w:color w:val="auto"/>
              </w:rPr>
            </w:pPr>
          </w:p>
        </w:tc>
      </w:tr>
      <w:tr>
        <w:trPr>
          <w:trHeight w:val="213"/>
        </w:trPr>
        <w:tc>
          <w:tcPr>
            <w:tcW w:w="5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84,393</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95,041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239,360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279,955</w:t>
            </w:r>
          </w:p>
        </w:tc>
        <w:tc>
          <w:tcPr>
            <w:tcW w:w="0" w:type="dxa"/>
            <w:vAlign w:val="bottom"/>
          </w:tcPr>
          <w:p>
            <w:pPr>
              <w:spacing w:after="0"/>
              <w:rPr>
                <w:sz w:val="1"/>
                <w:szCs w:val="1"/>
                <w:color w:val="auto"/>
              </w:rPr>
            </w:pPr>
          </w:p>
        </w:tc>
      </w:tr>
      <w:tr>
        <w:trPr>
          <w:trHeight w:val="219"/>
        </w:trPr>
        <w:tc>
          <w:tcPr>
            <w:tcW w:w="5680" w:type="dxa"/>
            <w:vAlign w:val="bottom"/>
          </w:tcPr>
          <w:p>
            <w:pPr>
              <w:ind w:left="20"/>
              <w:spacing w:after="0"/>
              <w:rPr>
                <w:sz w:val="20"/>
                <w:szCs w:val="20"/>
                <w:color w:val="auto"/>
              </w:rPr>
            </w:pPr>
            <w:r>
              <w:rPr>
                <w:rFonts w:ascii="Arial" w:cs="Arial" w:eastAsia="Arial" w:hAnsi="Arial"/>
                <w:sz w:val="17"/>
                <w:szCs w:val="17"/>
                <w:color w:val="auto"/>
              </w:rPr>
              <w:t>Field costs and expenses: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6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Cost of service</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19,945</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20,523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59,624</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61,073</w:t>
            </w:r>
          </w:p>
        </w:tc>
        <w:tc>
          <w:tcPr>
            <w:tcW w:w="0" w:type="dxa"/>
            <w:vAlign w:val="bottom"/>
          </w:tcPr>
          <w:p>
            <w:pPr>
              <w:spacing w:after="0"/>
              <w:rPr>
                <w:sz w:val="1"/>
                <w:szCs w:val="1"/>
                <w:color w:val="auto"/>
              </w:rPr>
            </w:pPr>
          </w:p>
        </w:tc>
      </w:tr>
      <w:tr>
        <w:trPr>
          <w:trHeight w:val="219"/>
        </w:trPr>
        <w:tc>
          <w:tcPr>
            <w:tcW w:w="5680" w:type="dxa"/>
            <w:vAlign w:val="bottom"/>
          </w:tcPr>
          <w:p>
            <w:pPr>
              <w:ind w:left="340"/>
              <w:spacing w:after="0"/>
              <w:rPr>
                <w:sz w:val="20"/>
                <w:szCs w:val="20"/>
                <w:color w:val="auto"/>
              </w:rPr>
            </w:pPr>
            <w:r>
              <w:rPr>
                <w:rFonts w:ascii="Arial" w:cs="Arial" w:eastAsia="Arial" w:hAnsi="Arial"/>
                <w:sz w:val="17"/>
                <w:szCs w:val="17"/>
                <w:color w:val="auto"/>
              </w:rPr>
              <w:t>Cost of merchandise</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25,886</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28,632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75,561</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84,672</w:t>
            </w:r>
          </w:p>
        </w:tc>
        <w:tc>
          <w:tcPr>
            <w:tcW w:w="0" w:type="dxa"/>
            <w:vAlign w:val="bottom"/>
          </w:tcPr>
          <w:p>
            <w:pPr>
              <w:spacing w:after="0"/>
              <w:rPr>
                <w:sz w:val="1"/>
                <w:szCs w:val="1"/>
                <w:color w:val="auto"/>
              </w:rPr>
            </w:pPr>
          </w:p>
        </w:tc>
      </w:tr>
      <w:tr>
        <w:trPr>
          <w:trHeight w:val="220"/>
        </w:trPr>
        <w:tc>
          <w:tcPr>
            <w:tcW w:w="56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Cemetery property amortization</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1,471</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3,445</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5,213</w:t>
            </w:r>
          </w:p>
        </w:tc>
        <w:tc>
          <w:tcPr>
            <w:tcW w:w="0" w:type="dxa"/>
            <w:vAlign w:val="bottom"/>
          </w:tcPr>
          <w:p>
            <w:pPr>
              <w:spacing w:after="0"/>
              <w:rPr>
                <w:sz w:val="1"/>
                <w:szCs w:val="1"/>
                <w:color w:val="auto"/>
              </w:rPr>
            </w:pPr>
          </w:p>
        </w:tc>
      </w:tr>
      <w:tr>
        <w:trPr>
          <w:trHeight w:val="219"/>
        </w:trPr>
        <w:tc>
          <w:tcPr>
            <w:tcW w:w="5680" w:type="dxa"/>
            <w:vAlign w:val="bottom"/>
          </w:tcPr>
          <w:p>
            <w:pPr>
              <w:ind w:left="340"/>
              <w:spacing w:after="0"/>
              <w:rPr>
                <w:sz w:val="20"/>
                <w:szCs w:val="20"/>
                <w:color w:val="auto"/>
              </w:rPr>
            </w:pPr>
            <w:r>
              <w:rPr>
                <w:rFonts w:ascii="Arial" w:cs="Arial" w:eastAsia="Arial" w:hAnsi="Arial"/>
                <w:sz w:val="17"/>
                <w:szCs w:val="17"/>
                <w:color w:val="auto"/>
              </w:rPr>
              <w:t>Field depreciation expense</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3,233</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3,154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9,770</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9,432</w:t>
            </w:r>
          </w:p>
        </w:tc>
        <w:tc>
          <w:tcPr>
            <w:tcW w:w="0" w:type="dxa"/>
            <w:vAlign w:val="bottom"/>
          </w:tcPr>
          <w:p>
            <w:pPr>
              <w:spacing w:after="0"/>
              <w:rPr>
                <w:sz w:val="1"/>
                <w:szCs w:val="1"/>
                <w:color w:val="auto"/>
              </w:rPr>
            </w:pPr>
          </w:p>
        </w:tc>
      </w:tr>
      <w:tr>
        <w:trPr>
          <w:trHeight w:val="220"/>
        </w:trPr>
        <w:tc>
          <w:tcPr>
            <w:tcW w:w="56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Regional and unallocated funeral and cemetery costs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4,731</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6,812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11,204</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18,655</w:t>
            </w:r>
          </w:p>
        </w:tc>
        <w:tc>
          <w:tcPr>
            <w:tcW w:w="0" w:type="dxa"/>
            <w:vAlign w:val="bottom"/>
          </w:tcPr>
          <w:p>
            <w:pPr>
              <w:spacing w:after="0"/>
              <w:rPr>
                <w:sz w:val="1"/>
                <w:szCs w:val="1"/>
                <w:color w:val="auto"/>
              </w:rPr>
            </w:pPr>
          </w:p>
        </w:tc>
      </w:tr>
      <w:tr>
        <w:trPr>
          <w:trHeight w:val="219"/>
        </w:trPr>
        <w:tc>
          <w:tcPr>
            <w:tcW w:w="568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Other expenses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1,253</w:t>
            </w:r>
          </w:p>
        </w:tc>
        <w:tc>
          <w:tcPr>
            <w:tcW w:w="1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1,235</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3,551</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3,758</w:t>
            </w:r>
          </w:p>
        </w:tc>
        <w:tc>
          <w:tcPr>
            <w:tcW w:w="0" w:type="dxa"/>
            <w:vAlign w:val="bottom"/>
          </w:tcPr>
          <w:p>
            <w:pPr>
              <w:spacing w:after="0"/>
              <w:rPr>
                <w:sz w:val="1"/>
                <w:szCs w:val="1"/>
                <w:color w:val="auto"/>
              </w:rPr>
            </w:pPr>
          </w:p>
        </w:tc>
      </w:tr>
      <w:tr>
        <w:trPr>
          <w:trHeight w:val="213"/>
        </w:trPr>
        <w:tc>
          <w:tcPr>
            <w:tcW w:w="5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56,519</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61,877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163,155</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182,803</w:t>
            </w:r>
          </w:p>
        </w:tc>
        <w:tc>
          <w:tcPr>
            <w:tcW w:w="0" w:type="dxa"/>
            <w:vAlign w:val="bottom"/>
          </w:tcPr>
          <w:p>
            <w:pPr>
              <w:spacing w:after="0"/>
              <w:rPr>
                <w:sz w:val="1"/>
                <w:szCs w:val="1"/>
                <w:color w:val="auto"/>
              </w:rPr>
            </w:pPr>
          </w:p>
        </w:tc>
      </w:tr>
      <w:tr>
        <w:trPr>
          <w:trHeight w:val="219"/>
        </w:trPr>
        <w:tc>
          <w:tcPr>
            <w:tcW w:w="568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27,874</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33,164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76,205</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97,152</w:t>
            </w:r>
          </w:p>
        </w:tc>
        <w:tc>
          <w:tcPr>
            <w:tcW w:w="0" w:type="dxa"/>
            <w:vAlign w:val="bottom"/>
          </w:tcPr>
          <w:p>
            <w:pPr>
              <w:spacing w:after="0"/>
              <w:rPr>
                <w:sz w:val="1"/>
                <w:szCs w:val="1"/>
                <w:color w:val="auto"/>
              </w:rPr>
            </w:pPr>
          </w:p>
        </w:tc>
      </w:tr>
      <w:tr>
        <w:trPr>
          <w:trHeight w:val="220"/>
        </w:trPr>
        <w:tc>
          <w:tcPr>
            <w:tcW w:w="5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Corporate costs and expenses: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680" w:type="dxa"/>
            <w:vAlign w:val="bottom"/>
          </w:tcPr>
          <w:p>
            <w:pPr>
              <w:ind w:left="340"/>
              <w:spacing w:after="0"/>
              <w:rPr>
                <w:sz w:val="20"/>
                <w:szCs w:val="20"/>
                <w:color w:val="auto"/>
              </w:rPr>
            </w:pPr>
            <w:r>
              <w:rPr>
                <w:rFonts w:ascii="Arial" w:cs="Arial" w:eastAsia="Arial" w:hAnsi="Arial"/>
                <w:sz w:val="17"/>
                <w:szCs w:val="17"/>
                <w:color w:val="auto"/>
              </w:rPr>
              <w:t>General, administrative and other</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6,134</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8,766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18,620</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24,499</w:t>
            </w:r>
          </w:p>
        </w:tc>
        <w:tc>
          <w:tcPr>
            <w:tcW w:w="0" w:type="dxa"/>
            <w:vAlign w:val="bottom"/>
          </w:tcPr>
          <w:p>
            <w:pPr>
              <w:spacing w:after="0"/>
              <w:rPr>
                <w:sz w:val="1"/>
                <w:szCs w:val="1"/>
                <w:color w:val="auto"/>
              </w:rPr>
            </w:pPr>
          </w:p>
        </w:tc>
      </w:tr>
      <w:tr>
        <w:trPr>
          <w:trHeight w:val="220"/>
        </w:trPr>
        <w:tc>
          <w:tcPr>
            <w:tcW w:w="56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Home office depreciation and amortization</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1,065</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841</w:t>
            </w:r>
          </w:p>
        </w:tc>
        <w:tc>
          <w:tcPr>
            <w:tcW w:w="0" w:type="dxa"/>
            <w:vAlign w:val="bottom"/>
          </w:tcPr>
          <w:p>
            <w:pPr>
              <w:spacing w:after="0"/>
              <w:rPr>
                <w:sz w:val="1"/>
                <w:szCs w:val="1"/>
                <w:color w:val="auto"/>
              </w:rPr>
            </w:pPr>
          </w:p>
        </w:tc>
      </w:tr>
      <w:tr>
        <w:trPr>
          <w:trHeight w:val="219"/>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loss on divestitures, disposals and impairments charges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4,917</w:t>
            </w:r>
          </w:p>
        </w:tc>
        <w:tc>
          <w:tcPr>
            <w:tcW w:w="1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858</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19,610</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1,377</w:t>
            </w:r>
          </w:p>
        </w:tc>
        <w:tc>
          <w:tcPr>
            <w:tcW w:w="0" w:type="dxa"/>
            <w:vAlign w:val="bottom"/>
          </w:tcPr>
          <w:p>
            <w:pPr>
              <w:spacing w:after="0"/>
              <w:rPr>
                <w:sz w:val="1"/>
                <w:szCs w:val="1"/>
                <w:color w:val="auto"/>
              </w:rPr>
            </w:pPr>
          </w:p>
        </w:tc>
      </w:tr>
      <w:tr>
        <w:trPr>
          <w:trHeight w:val="213"/>
        </w:trPr>
        <w:tc>
          <w:tcPr>
            <w:tcW w:w="5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income</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16,494</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23,265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36,910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70,435</w:t>
            </w:r>
          </w:p>
        </w:tc>
        <w:tc>
          <w:tcPr>
            <w:tcW w:w="0" w:type="dxa"/>
            <w:vAlign w:val="bottom"/>
          </w:tcPr>
          <w:p>
            <w:pPr>
              <w:spacing w:after="0"/>
              <w:rPr>
                <w:sz w:val="1"/>
                <w:szCs w:val="1"/>
                <w:color w:val="auto"/>
              </w:rPr>
            </w:pPr>
          </w:p>
        </w:tc>
      </w:tr>
      <w:tr>
        <w:trPr>
          <w:trHeight w:val="207"/>
        </w:trPr>
        <w:tc>
          <w:tcPr>
            <w:tcW w:w="5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(8,007)</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(5,076)</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(24,787)</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(20,138)</w:t>
            </w:r>
          </w:p>
        </w:tc>
        <w:tc>
          <w:tcPr>
            <w:tcW w:w="0" w:type="dxa"/>
            <w:vAlign w:val="bottom"/>
          </w:tcPr>
          <w:p>
            <w:pPr>
              <w:spacing w:after="0"/>
              <w:rPr>
                <w:sz w:val="1"/>
                <w:szCs w:val="1"/>
                <w:color w:val="auto"/>
              </w:rPr>
            </w:pPr>
          </w:p>
        </w:tc>
      </w:tr>
      <w:tr>
        <w:trPr>
          <w:trHeight w:val="219"/>
        </w:trPr>
        <w:tc>
          <w:tcPr>
            <w:tcW w:w="5680" w:type="dxa"/>
            <w:vAlign w:val="bottom"/>
          </w:tcPr>
          <w:p>
            <w:pPr>
              <w:ind w:left="20"/>
              <w:spacing w:after="0"/>
              <w:rPr>
                <w:sz w:val="20"/>
                <w:szCs w:val="20"/>
                <w:color w:val="auto"/>
              </w:rPr>
            </w:pPr>
            <w:r>
              <w:rPr>
                <w:rFonts w:ascii="Arial" w:cs="Arial" w:eastAsia="Arial" w:hAnsi="Arial"/>
                <w:sz w:val="17"/>
                <w:szCs w:val="17"/>
                <w:color w:val="auto"/>
              </w:rPr>
              <w:t>Accretion of discount on convertible subordinated notes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(69)</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(200)</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20"/>
        </w:trPr>
        <w:tc>
          <w:tcPr>
            <w:tcW w:w="5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on extinguishment of debt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(23,807)</w:t>
            </w:r>
          </w:p>
        </w:tc>
        <w:tc>
          <w:tcPr>
            <w:tcW w:w="0" w:type="dxa"/>
            <w:vAlign w:val="bottom"/>
          </w:tcPr>
          <w:p>
            <w:pPr>
              <w:spacing w:after="0"/>
              <w:rPr>
                <w:sz w:val="1"/>
                <w:szCs w:val="1"/>
                <w:color w:val="auto"/>
              </w:rPr>
            </w:pPr>
          </w:p>
        </w:tc>
      </w:tr>
      <w:tr>
        <w:trPr>
          <w:trHeight w:val="219"/>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net</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1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213"/>
        </w:trPr>
        <w:tc>
          <w:tcPr>
            <w:tcW w:w="5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8,384</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18,168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11,883</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26,383</w:t>
            </w:r>
          </w:p>
        </w:tc>
        <w:tc>
          <w:tcPr>
            <w:tcW w:w="0" w:type="dxa"/>
            <w:vAlign w:val="bottom"/>
          </w:tcPr>
          <w:p>
            <w:pPr>
              <w:spacing w:after="0"/>
              <w:rPr>
                <w:sz w:val="1"/>
                <w:szCs w:val="1"/>
                <w:color w:val="auto"/>
              </w:rPr>
            </w:pPr>
          </w:p>
        </w:tc>
      </w:tr>
      <w:tr>
        <w:trPr>
          <w:trHeight w:val="219"/>
        </w:trPr>
        <w:tc>
          <w:tcPr>
            <w:tcW w:w="5680" w:type="dxa"/>
            <w:vAlign w:val="bottom"/>
          </w:tcPr>
          <w:p>
            <w:pPr>
              <w:ind w:left="20"/>
              <w:spacing w:after="0"/>
              <w:rPr>
                <w:sz w:val="20"/>
                <w:szCs w:val="20"/>
                <w:color w:val="auto"/>
              </w:rPr>
            </w:pPr>
            <w:r>
              <w:rPr>
                <w:rFonts w:ascii="Arial" w:cs="Arial" w:eastAsia="Arial" w:hAnsi="Arial"/>
                <w:sz w:val="17"/>
                <w:szCs w:val="17"/>
                <w:color w:val="auto"/>
              </w:rPr>
              <w:t>Expense for income taxes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(2,851)</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(5,125)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(4,014)</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(7,466)</w:t>
            </w:r>
          </w:p>
        </w:tc>
        <w:tc>
          <w:tcPr>
            <w:tcW w:w="0" w:type="dxa"/>
            <w:vAlign w:val="bottom"/>
          </w:tcPr>
          <w:p>
            <w:pPr>
              <w:spacing w:after="0"/>
              <w:rPr>
                <w:sz w:val="1"/>
                <w:szCs w:val="1"/>
                <w:color w:val="auto"/>
              </w:rPr>
            </w:pPr>
          </w:p>
        </w:tc>
      </w:tr>
      <w:tr>
        <w:trPr>
          <w:trHeight w:val="220"/>
        </w:trPr>
        <w:tc>
          <w:tcPr>
            <w:tcW w:w="5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adjustment related to discrete items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895</w:t>
            </w:r>
          </w:p>
        </w:tc>
        <w:tc>
          <w:tcPr>
            <w:tcW w:w="0" w:type="dxa"/>
            <w:vAlign w:val="bottom"/>
          </w:tcPr>
          <w:p>
            <w:pPr>
              <w:spacing w:after="0"/>
              <w:rPr>
                <w:sz w:val="1"/>
                <w:szCs w:val="1"/>
                <w:color w:val="auto"/>
              </w:rPr>
            </w:pPr>
          </w:p>
        </w:tc>
      </w:tr>
      <w:tr>
        <w:trPr>
          <w:trHeight w:val="212"/>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expense for income taxes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(2,859)</w:t>
            </w:r>
          </w:p>
        </w:tc>
        <w:tc>
          <w:tcPr>
            <w:tcW w:w="1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(5,122)</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(4,158)</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(6,571)</w:t>
            </w:r>
          </w:p>
        </w:tc>
        <w:tc>
          <w:tcPr>
            <w:tcW w:w="0" w:type="dxa"/>
            <w:vAlign w:val="bottom"/>
          </w:tcPr>
          <w:p>
            <w:pPr>
              <w:spacing w:after="0"/>
              <w:rPr>
                <w:sz w:val="1"/>
                <w:szCs w:val="1"/>
                <w:color w:val="auto"/>
              </w:rPr>
            </w:pPr>
          </w:p>
        </w:tc>
      </w:tr>
      <w:tr>
        <w:trPr>
          <w:trHeight w:val="238"/>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5,525</w:t>
            </w:r>
          </w:p>
        </w:tc>
        <w:tc>
          <w:tcPr>
            <w:tcW w:w="1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13,046</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7,725</w:t>
            </w:r>
          </w:p>
        </w:tc>
        <w:tc>
          <w:tcPr>
            <w:tcW w:w="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19,812</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 earnings per common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0.31</w:t>
            </w:r>
          </w:p>
        </w:tc>
        <w:tc>
          <w:tcPr>
            <w:tcW w:w="1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0.74</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0.43</w:t>
            </w:r>
          </w:p>
        </w:tc>
        <w:tc>
          <w:tcPr>
            <w:tcW w:w="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680" w:type="dxa"/>
            <w:vAlign w:val="bottom"/>
          </w:tcPr>
          <w:p>
            <w:pPr>
              <w:ind w:left="20"/>
              <w:spacing w:after="0" w:line="191" w:lineRule="exact"/>
              <w:rPr>
                <w:sz w:val="20"/>
                <w:szCs w:val="20"/>
                <w:color w:val="auto"/>
              </w:rPr>
            </w:pPr>
            <w:r>
              <w:rPr>
                <w:rFonts w:ascii="Arial" w:cs="Arial" w:eastAsia="Arial" w:hAnsi="Arial"/>
                <w:sz w:val="17"/>
                <w:szCs w:val="17"/>
                <w:color w:val="auto"/>
              </w:rPr>
              <w:t>Diluted earnings per common share:</w:t>
            </w:r>
          </w:p>
        </w:tc>
        <w:tc>
          <w:tcPr>
            <w:tcW w:w="14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0.31</w:t>
            </w:r>
          </w:p>
        </w:tc>
        <w:tc>
          <w:tcPr>
            <w:tcW w:w="180" w:type="dxa"/>
            <w:vAlign w:val="bottom"/>
          </w:tcPr>
          <w:p>
            <w:pPr>
              <w:spacing w:after="0"/>
              <w:rPr>
                <w:sz w:val="16"/>
                <w:szCs w:val="16"/>
                <w:color w:val="auto"/>
              </w:rPr>
            </w:pPr>
          </w:p>
        </w:tc>
        <w:tc>
          <w:tcPr>
            <w:tcW w:w="400" w:type="dxa"/>
            <w:vAlign w:val="bottom"/>
            <w:tcBorders>
              <w:bottom w:val="single" w:sz="8" w:color="auto"/>
            </w:tcBorders>
          </w:tcPr>
          <w:p>
            <w:pPr>
              <w:jc w:val="right"/>
              <w:ind w:right="214"/>
              <w:spacing w:after="0" w:line="191" w:lineRule="exact"/>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0.71</w:t>
            </w:r>
          </w:p>
        </w:tc>
        <w:tc>
          <w:tcPr>
            <w:tcW w:w="160" w:type="dxa"/>
            <w:vAlign w:val="bottom"/>
          </w:tcPr>
          <w:p>
            <w:pPr>
              <w:spacing w:after="0"/>
              <w:rPr>
                <w:sz w:val="16"/>
                <w:szCs w:val="16"/>
                <w:color w:val="auto"/>
              </w:rPr>
            </w:pPr>
          </w:p>
        </w:tc>
        <w:tc>
          <w:tcPr>
            <w:tcW w:w="16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0.43</w:t>
            </w:r>
          </w:p>
        </w:tc>
        <w:tc>
          <w:tcPr>
            <w:tcW w:w="160" w:type="dxa"/>
            <w:vAlign w:val="bottom"/>
          </w:tcPr>
          <w:p>
            <w:pPr>
              <w:spacing w:after="0"/>
              <w:rPr>
                <w:sz w:val="16"/>
                <w:szCs w:val="16"/>
                <w:color w:val="auto"/>
              </w:rPr>
            </w:pPr>
          </w:p>
        </w:tc>
        <w:tc>
          <w:tcPr>
            <w:tcW w:w="380" w:type="dxa"/>
            <w:vAlign w:val="bottom"/>
            <w:tcBorders>
              <w:bottom w:val="single" w:sz="8" w:color="auto"/>
            </w:tcBorders>
          </w:tcPr>
          <w:p>
            <w:pPr>
              <w:jc w:val="right"/>
              <w:ind w:right="194"/>
              <w:spacing w:after="0" w:line="191" w:lineRule="exact"/>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680" w:type="dxa"/>
            <w:vAlign w:val="bottom"/>
          </w:tcPr>
          <w:p>
            <w:pPr>
              <w:ind w:left="20"/>
              <w:spacing w:after="0"/>
              <w:rPr>
                <w:sz w:val="20"/>
                <w:szCs w:val="20"/>
                <w:color w:val="auto"/>
              </w:rPr>
            </w:pPr>
            <w:r>
              <w:rPr>
                <w:rFonts w:ascii="Arial" w:cs="Arial" w:eastAsia="Arial" w:hAnsi="Arial"/>
                <w:sz w:val="17"/>
                <w:szCs w:val="17"/>
                <w:color w:val="auto"/>
              </w:rPr>
              <w:t>Dividends declared per common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0.088</w:t>
            </w:r>
          </w:p>
        </w:tc>
        <w:tc>
          <w:tcPr>
            <w:tcW w:w="180" w:type="dxa"/>
            <w:vAlign w:val="bottom"/>
          </w:tcPr>
          <w:p>
            <w:pPr>
              <w:spacing w:after="0"/>
              <w:rPr>
                <w:sz w:val="19"/>
                <w:szCs w:val="19"/>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0.100</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0.238</w:t>
            </w: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0.300</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80" w:type="dxa"/>
            <w:vAlign w:val="bottom"/>
          </w:tcPr>
          <w:p>
            <w:pPr>
              <w:ind w:left="20"/>
              <w:spacing w:after="0" w:line="168" w:lineRule="exact"/>
              <w:rPr>
                <w:sz w:val="20"/>
                <w:szCs w:val="20"/>
                <w:color w:val="auto"/>
              </w:rPr>
            </w:pPr>
            <w:r>
              <w:rPr>
                <w:rFonts w:ascii="Arial" w:cs="Arial" w:eastAsia="Arial" w:hAnsi="Arial"/>
                <w:sz w:val="17"/>
                <w:szCs w:val="17"/>
                <w:color w:val="auto"/>
              </w:rPr>
              <w:t>Weighted average number of common and common equivalent shares</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5680" w:type="dxa"/>
            <w:vAlign w:val="bottom"/>
          </w:tcPr>
          <w:p>
            <w:pPr>
              <w:ind w:left="20"/>
              <w:spacing w:after="0"/>
              <w:rPr>
                <w:sz w:val="20"/>
                <w:szCs w:val="20"/>
                <w:color w:val="auto"/>
              </w:rPr>
            </w:pPr>
            <w:r>
              <w:rPr>
                <w:rFonts w:ascii="Arial" w:cs="Arial" w:eastAsia="Arial" w:hAnsi="Arial"/>
                <w:sz w:val="17"/>
                <w:szCs w:val="17"/>
                <w:color w:val="auto"/>
              </w:rPr>
              <w:t>outstanding:</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Basic</w:t>
            </w:r>
          </w:p>
        </w:tc>
        <w:tc>
          <w:tcPr>
            <w:tcW w:w="1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17,895</w:t>
            </w:r>
          </w:p>
        </w:tc>
        <w:tc>
          <w:tcPr>
            <w:tcW w:w="1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17,499</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17,853</w:t>
            </w:r>
          </w:p>
        </w:tc>
        <w:tc>
          <w:tcPr>
            <w:tcW w:w="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17,809</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7"/>
                <w:szCs w:val="17"/>
                <w:color w:val="auto"/>
              </w:rPr>
              <w:t>Diluted</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68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17,932</w:t>
            </w:r>
          </w:p>
        </w:tc>
        <w:tc>
          <w:tcPr>
            <w:tcW w:w="1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18,246</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17,893</w:t>
            </w: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18,365</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condensed notes are an integral part of these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7"/>
          <w:szCs w:val="17"/>
          <w:b w:val="1"/>
          <w:bCs w:val="1"/>
          <w:color w:val="auto"/>
        </w:rPr>
        <w:t>CARRIAGE SERVICES, INC.</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and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383"/>
              <w:spacing w:after="0"/>
              <w:rPr>
                <w:sz w:val="20"/>
                <w:szCs w:val="20"/>
                <w:color w:val="auto"/>
              </w:rPr>
            </w:pPr>
            <w:r>
              <w:rPr>
                <w:rFonts w:ascii="Arial" w:cs="Arial" w:eastAsia="Arial" w:hAnsi="Arial"/>
                <w:sz w:val="15"/>
                <w:szCs w:val="15"/>
                <w:b w:val="1"/>
                <w:bCs w:val="1"/>
                <w:color w:val="auto"/>
                <w:w w:val="97"/>
              </w:rPr>
              <w:t>Nine months ended September 30,</w:t>
            </w:r>
          </w:p>
        </w:tc>
      </w:tr>
      <w:tr>
        <w:trPr>
          <w:trHeight w:val="200"/>
        </w:trPr>
        <w:tc>
          <w:tcPr>
            <w:tcW w:w="80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r>
      <w:tr>
        <w:trPr>
          <w:trHeight w:val="189"/>
        </w:trPr>
        <w:tc>
          <w:tcPr>
            <w:tcW w:w="8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flows from operating activities:</w:t>
            </w: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04"/>
        </w:trPr>
        <w:tc>
          <w:tcPr>
            <w:tcW w:w="8080" w:type="dxa"/>
            <w:vAlign w:val="bottom"/>
          </w:tcPr>
          <w:p>
            <w:pPr>
              <w:ind w:left="220"/>
              <w:spacing w:after="0"/>
              <w:rPr>
                <w:sz w:val="20"/>
                <w:szCs w:val="20"/>
                <w:color w:val="auto"/>
              </w:rPr>
            </w:pPr>
            <w:r>
              <w:rPr>
                <w:rFonts w:ascii="Arial" w:cs="Arial" w:eastAsia="Arial" w:hAnsi="Arial"/>
                <w:sz w:val="15"/>
                <w:szCs w:val="15"/>
                <w:color w:val="auto"/>
              </w:rPr>
              <w:t>Net income</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2"/>
              <w:spacing w:after="0"/>
              <w:rPr>
                <w:sz w:val="20"/>
                <w:szCs w:val="20"/>
                <w:color w:val="auto"/>
              </w:rPr>
            </w:pPr>
            <w:r>
              <w:rPr>
                <w:rFonts w:ascii="Arial" w:cs="Arial" w:eastAsia="Arial" w:hAnsi="Arial"/>
                <w:sz w:val="15"/>
                <w:szCs w:val="15"/>
                <w:color w:val="auto"/>
              </w:rPr>
              <w:t>7,725</w:t>
            </w:r>
          </w:p>
        </w:tc>
        <w:tc>
          <w:tcPr>
            <w:tcW w:w="220" w:type="dxa"/>
            <w:vAlign w:val="bottom"/>
          </w:tcPr>
          <w:p>
            <w:pPr>
              <w:spacing w:after="0"/>
              <w:rPr>
                <w:sz w:val="17"/>
                <w:szCs w:val="17"/>
                <w:color w:val="auto"/>
              </w:rPr>
            </w:pPr>
          </w:p>
        </w:tc>
        <w:tc>
          <w:tcPr>
            <w:tcW w:w="460" w:type="dxa"/>
            <w:vAlign w:val="bottom"/>
          </w:tcPr>
          <w:p>
            <w:pPr>
              <w:jc w:val="right"/>
              <w:ind w:right="30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19,812</w:t>
            </w:r>
          </w:p>
        </w:tc>
      </w:tr>
      <w:tr>
        <w:trPr>
          <w:trHeight w:val="209"/>
        </w:trPr>
        <w:tc>
          <w:tcPr>
            <w:tcW w:w="80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4"/>
        </w:trPr>
        <w:tc>
          <w:tcPr>
            <w:tcW w:w="8080" w:type="dxa"/>
            <w:vAlign w:val="bottom"/>
          </w:tcPr>
          <w:p>
            <w:pPr>
              <w:ind w:left="440"/>
              <w:spacing w:after="0"/>
              <w:rPr>
                <w:sz w:val="20"/>
                <w:szCs w:val="20"/>
                <w:color w:val="auto"/>
              </w:rPr>
            </w:pPr>
            <w:r>
              <w:rPr>
                <w:rFonts w:ascii="Arial" w:cs="Arial" w:eastAsia="Arial" w:hAnsi="Arial"/>
                <w:sz w:val="15"/>
                <w:szCs w:val="15"/>
                <w:color w:val="auto"/>
              </w:rPr>
              <w:t>Depreciation and amortization</w:t>
            </w:r>
          </w:p>
        </w:tc>
        <w:tc>
          <w:tcPr>
            <w:tcW w:w="2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5"/>
                <w:szCs w:val="15"/>
                <w:color w:val="auto"/>
              </w:rPr>
              <w:t>14,280</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15,486</w:t>
            </w:r>
          </w:p>
        </w:tc>
      </w:tr>
      <w:tr>
        <w:trPr>
          <w:trHeight w:val="209"/>
        </w:trPr>
        <w:tc>
          <w:tcPr>
            <w:tcW w:w="80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Provision for credit losses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rPr>
              <w:t>1,837</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1,426</w:t>
            </w:r>
          </w:p>
        </w:tc>
      </w:tr>
      <w:tr>
        <w:trPr>
          <w:trHeight w:val="204"/>
        </w:trPr>
        <w:tc>
          <w:tcPr>
            <w:tcW w:w="8080" w:type="dxa"/>
            <w:vAlign w:val="bottom"/>
          </w:tcPr>
          <w:p>
            <w:pPr>
              <w:ind w:left="440"/>
              <w:spacing w:after="0"/>
              <w:rPr>
                <w:sz w:val="20"/>
                <w:szCs w:val="20"/>
                <w:color w:val="auto"/>
              </w:rPr>
            </w:pPr>
            <w:r>
              <w:rPr>
                <w:rFonts w:ascii="Arial" w:cs="Arial" w:eastAsia="Arial" w:hAnsi="Arial"/>
                <w:sz w:val="15"/>
                <w:szCs w:val="15"/>
                <w:color w:val="auto"/>
              </w:rPr>
              <w:t>Stock-based compensation expense</w:t>
            </w:r>
          </w:p>
        </w:tc>
        <w:tc>
          <w:tcPr>
            <w:tcW w:w="2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5"/>
                <w:szCs w:val="15"/>
                <w:color w:val="auto"/>
              </w:rPr>
              <w:t>2,473</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3,832</w:t>
            </w:r>
          </w:p>
        </w:tc>
      </w:tr>
      <w:tr>
        <w:trPr>
          <w:trHeight w:val="209"/>
        </w:trPr>
        <w:tc>
          <w:tcPr>
            <w:tcW w:w="80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Deferred income tax expense (benefit)</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rPr>
              <w:t>4,750</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(3,433)</w:t>
            </w:r>
          </w:p>
        </w:tc>
      </w:tr>
      <w:tr>
        <w:trPr>
          <w:trHeight w:val="204"/>
        </w:trPr>
        <w:tc>
          <w:tcPr>
            <w:tcW w:w="8080" w:type="dxa"/>
            <w:vAlign w:val="bottom"/>
          </w:tcPr>
          <w:p>
            <w:pPr>
              <w:ind w:left="440"/>
              <w:spacing w:after="0"/>
              <w:rPr>
                <w:sz w:val="20"/>
                <w:szCs w:val="20"/>
                <w:color w:val="auto"/>
              </w:rPr>
            </w:pPr>
            <w:r>
              <w:rPr>
                <w:rFonts w:ascii="Arial" w:cs="Arial" w:eastAsia="Arial" w:hAnsi="Arial"/>
                <w:sz w:val="15"/>
                <w:szCs w:val="15"/>
                <w:color w:val="auto"/>
              </w:rPr>
              <w:t>Amortization of intangibles</w:t>
            </w:r>
          </w:p>
        </w:tc>
        <w:tc>
          <w:tcPr>
            <w:tcW w:w="2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5"/>
                <w:szCs w:val="15"/>
                <w:color w:val="auto"/>
              </w:rPr>
              <w:t>981</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968</w:t>
            </w:r>
          </w:p>
        </w:tc>
      </w:tr>
      <w:tr>
        <w:trPr>
          <w:trHeight w:val="209"/>
        </w:trPr>
        <w:tc>
          <w:tcPr>
            <w:tcW w:w="80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Amortization of debt issuance costs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rPr>
              <w:t>592</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459</w:t>
            </w:r>
          </w:p>
        </w:tc>
      </w:tr>
      <w:tr>
        <w:trPr>
          <w:trHeight w:val="204"/>
        </w:trPr>
        <w:tc>
          <w:tcPr>
            <w:tcW w:w="8080" w:type="dxa"/>
            <w:vAlign w:val="bottom"/>
          </w:tcPr>
          <w:p>
            <w:pPr>
              <w:ind w:left="440"/>
              <w:spacing w:after="0"/>
              <w:rPr>
                <w:sz w:val="20"/>
                <w:szCs w:val="20"/>
                <w:color w:val="auto"/>
              </w:rPr>
            </w:pPr>
            <w:r>
              <w:rPr>
                <w:rFonts w:ascii="Arial" w:cs="Arial" w:eastAsia="Arial" w:hAnsi="Arial"/>
                <w:sz w:val="15"/>
                <w:szCs w:val="15"/>
                <w:color w:val="auto"/>
              </w:rPr>
              <w:t>Amortization and accretion of debt</w:t>
            </w:r>
          </w:p>
        </w:tc>
        <w:tc>
          <w:tcPr>
            <w:tcW w:w="2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5"/>
                <w:szCs w:val="15"/>
                <w:color w:val="auto"/>
              </w:rPr>
              <w:t>428</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319</w:t>
            </w:r>
          </w:p>
        </w:tc>
      </w:tr>
      <w:tr>
        <w:trPr>
          <w:trHeight w:val="209"/>
        </w:trPr>
        <w:tc>
          <w:tcPr>
            <w:tcW w:w="80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Loss on extinguishment of debt</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rPr>
              <w:t>6</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23,807</w:t>
            </w:r>
          </w:p>
        </w:tc>
      </w:tr>
      <w:tr>
        <w:trPr>
          <w:trHeight w:val="204"/>
        </w:trPr>
        <w:tc>
          <w:tcPr>
            <w:tcW w:w="8080" w:type="dxa"/>
            <w:vAlign w:val="bottom"/>
          </w:tcPr>
          <w:p>
            <w:pPr>
              <w:ind w:left="440"/>
              <w:spacing w:after="0"/>
              <w:rPr>
                <w:sz w:val="20"/>
                <w:szCs w:val="20"/>
                <w:color w:val="auto"/>
              </w:rPr>
            </w:pPr>
            <w:r>
              <w:rPr>
                <w:rFonts w:ascii="Arial" w:cs="Arial" w:eastAsia="Arial" w:hAnsi="Arial"/>
                <w:sz w:val="15"/>
                <w:szCs w:val="15"/>
                <w:color w:val="auto"/>
              </w:rPr>
              <w:t>Net loss on divestitures, disposals and impairment charges</w:t>
            </w:r>
          </w:p>
        </w:tc>
        <w:tc>
          <w:tcPr>
            <w:tcW w:w="2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5"/>
                <w:szCs w:val="15"/>
                <w:color w:val="auto"/>
              </w:rPr>
              <w:t>19,855</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1,558</w:t>
            </w:r>
          </w:p>
        </w:tc>
      </w:tr>
      <w:tr>
        <w:trPr>
          <w:trHeight w:val="209"/>
        </w:trPr>
        <w:tc>
          <w:tcPr>
            <w:tcW w:w="80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Gain on insurance reimbursements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r>
      <w:tr>
        <w:trPr>
          <w:trHeight w:val="204"/>
        </w:trPr>
        <w:tc>
          <w:tcPr>
            <w:tcW w:w="8080" w:type="dxa"/>
            <w:vAlign w:val="bottom"/>
          </w:tcPr>
          <w:p>
            <w:pPr>
              <w:ind w:left="440"/>
              <w:spacing w:after="0"/>
              <w:rPr>
                <w:sz w:val="20"/>
                <w:szCs w:val="20"/>
                <w:color w:val="auto"/>
              </w:rPr>
            </w:pPr>
            <w:r>
              <w:rPr>
                <w:rFonts w:ascii="Arial" w:cs="Arial" w:eastAsia="Arial" w:hAnsi="Arial"/>
                <w:sz w:val="15"/>
                <w:szCs w:val="15"/>
                <w:color w:val="auto"/>
              </w:rPr>
              <w:t>Other</w:t>
            </w:r>
          </w:p>
        </w:tc>
        <w:tc>
          <w:tcPr>
            <w:tcW w:w="2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5"/>
                <w:szCs w:val="15"/>
                <w:color w:val="auto"/>
              </w:rPr>
              <w:t>19</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w:t>
            </w:r>
          </w:p>
        </w:tc>
      </w:tr>
      <w:tr>
        <w:trPr>
          <w:trHeight w:val="93"/>
        </w:trPr>
        <w:tc>
          <w:tcPr>
            <w:tcW w:w="80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r>
      <w:tr>
        <w:trPr>
          <w:trHeight w:val="204"/>
        </w:trPr>
        <w:tc>
          <w:tcPr>
            <w:tcW w:w="8080" w:type="dxa"/>
            <w:vAlign w:val="bottom"/>
          </w:tcPr>
          <w:p>
            <w:pPr>
              <w:ind w:left="20"/>
              <w:spacing w:after="0"/>
              <w:rPr>
                <w:sz w:val="20"/>
                <w:szCs w:val="20"/>
                <w:color w:val="auto"/>
              </w:rPr>
            </w:pPr>
            <w:r>
              <w:rPr>
                <w:rFonts w:ascii="Arial" w:cs="Arial" w:eastAsia="Arial" w:hAnsi="Arial"/>
                <w:sz w:val="15"/>
                <w:szCs w:val="15"/>
                <w:color w:val="auto"/>
              </w:rPr>
              <w:t>Changes in operating assets and liabilities that provided (used) cash:</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9"/>
        </w:trPr>
        <w:tc>
          <w:tcPr>
            <w:tcW w:w="80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Accounts and preneed receivables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(436)</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(4,387)</w:t>
            </w:r>
          </w:p>
        </w:tc>
      </w:tr>
      <w:tr>
        <w:trPr>
          <w:trHeight w:val="204"/>
        </w:trPr>
        <w:tc>
          <w:tcPr>
            <w:tcW w:w="8080" w:type="dxa"/>
            <w:vAlign w:val="bottom"/>
          </w:tcPr>
          <w:p>
            <w:pPr>
              <w:ind w:left="440"/>
              <w:spacing w:after="0"/>
              <w:rPr>
                <w:sz w:val="20"/>
                <w:szCs w:val="20"/>
                <w:color w:val="auto"/>
              </w:rPr>
            </w:pPr>
            <w:r>
              <w:rPr>
                <w:rFonts w:ascii="Arial" w:cs="Arial" w:eastAsia="Arial" w:hAnsi="Arial"/>
                <w:sz w:val="15"/>
                <w:szCs w:val="15"/>
                <w:color w:val="auto"/>
              </w:rPr>
              <w:t>Inventories, prepaid and other current assets</w:t>
            </w:r>
          </w:p>
        </w:tc>
        <w:tc>
          <w:tcPr>
            <w:tcW w:w="2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5"/>
                <w:szCs w:val="15"/>
                <w:color w:val="auto"/>
              </w:rPr>
              <w:t>3,241</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(266)</w:t>
            </w:r>
          </w:p>
        </w:tc>
      </w:tr>
      <w:tr>
        <w:trPr>
          <w:trHeight w:val="209"/>
        </w:trPr>
        <w:tc>
          <w:tcPr>
            <w:tcW w:w="80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Intangible and other non-current assets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(776)</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(887)</w:t>
            </w:r>
          </w:p>
        </w:tc>
      </w:tr>
      <w:tr>
        <w:trPr>
          <w:trHeight w:val="204"/>
        </w:trPr>
        <w:tc>
          <w:tcPr>
            <w:tcW w:w="8080" w:type="dxa"/>
            <w:vAlign w:val="bottom"/>
          </w:tcPr>
          <w:p>
            <w:pPr>
              <w:ind w:left="440"/>
              <w:spacing w:after="0"/>
              <w:rPr>
                <w:sz w:val="20"/>
                <w:szCs w:val="20"/>
                <w:color w:val="auto"/>
              </w:rPr>
            </w:pPr>
            <w:r>
              <w:rPr>
                <w:rFonts w:ascii="Arial" w:cs="Arial" w:eastAsia="Arial" w:hAnsi="Arial"/>
                <w:sz w:val="15"/>
                <w:szCs w:val="15"/>
                <w:color w:val="auto"/>
              </w:rPr>
              <w:t>Preneed funeral and cemetery trust investments</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(2,781)</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(23,355)</w:t>
            </w:r>
          </w:p>
        </w:tc>
      </w:tr>
      <w:tr>
        <w:trPr>
          <w:trHeight w:val="209"/>
        </w:trPr>
        <w:tc>
          <w:tcPr>
            <w:tcW w:w="80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Accounts payable</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rPr>
              <w:t>1,155</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(845)</w:t>
            </w:r>
          </w:p>
        </w:tc>
      </w:tr>
      <w:tr>
        <w:trPr>
          <w:trHeight w:val="204"/>
        </w:trPr>
        <w:tc>
          <w:tcPr>
            <w:tcW w:w="8080" w:type="dxa"/>
            <w:vAlign w:val="bottom"/>
          </w:tcPr>
          <w:p>
            <w:pPr>
              <w:ind w:left="440"/>
              <w:spacing w:after="0"/>
              <w:rPr>
                <w:sz w:val="20"/>
                <w:szCs w:val="20"/>
                <w:color w:val="auto"/>
              </w:rPr>
            </w:pPr>
            <w:r>
              <w:rPr>
                <w:rFonts w:ascii="Arial" w:cs="Arial" w:eastAsia="Arial" w:hAnsi="Arial"/>
                <w:sz w:val="15"/>
                <w:szCs w:val="15"/>
                <w:color w:val="auto"/>
              </w:rPr>
              <w:t>Accrued and other liabilities</w:t>
            </w:r>
          </w:p>
        </w:tc>
        <w:tc>
          <w:tcPr>
            <w:tcW w:w="2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5"/>
                <w:szCs w:val="15"/>
                <w:color w:val="auto"/>
              </w:rPr>
              <w:t>9,770</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9,643</w:t>
            </w:r>
          </w:p>
        </w:tc>
      </w:tr>
      <w:tr>
        <w:trPr>
          <w:trHeight w:val="209"/>
        </w:trPr>
        <w:tc>
          <w:tcPr>
            <w:tcW w:w="80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Deferred preneed funeral and cemetery revenue</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rPr>
              <w:t>1,319</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3,587</w:t>
            </w:r>
          </w:p>
        </w:tc>
      </w:tr>
      <w:tr>
        <w:trPr>
          <w:trHeight w:val="204"/>
        </w:trPr>
        <w:tc>
          <w:tcPr>
            <w:tcW w:w="8080" w:type="dxa"/>
            <w:vAlign w:val="bottom"/>
            <w:tcBorders>
              <w:bottom w:val="single" w:sz="8" w:color="CCEEFF"/>
            </w:tcBorders>
          </w:tcPr>
          <w:p>
            <w:pPr>
              <w:ind w:left="440"/>
              <w:spacing w:after="0"/>
              <w:rPr>
                <w:sz w:val="20"/>
                <w:szCs w:val="20"/>
                <w:color w:val="auto"/>
              </w:rPr>
            </w:pPr>
            <w:r>
              <w:rPr>
                <w:rFonts w:ascii="Arial" w:cs="Arial" w:eastAsia="Arial" w:hAnsi="Arial"/>
                <w:sz w:val="15"/>
                <w:szCs w:val="15"/>
                <w:color w:val="auto"/>
              </w:rPr>
              <w:t>Deferred preneed funeral and cemetery receipts held in trust</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5"/>
                <w:szCs w:val="15"/>
                <w:color w:val="auto"/>
              </w:rPr>
              <w:t>3,438</w:t>
            </w:r>
          </w:p>
        </w:tc>
        <w:tc>
          <w:tcPr>
            <w:tcW w:w="2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21,975</w:t>
            </w:r>
          </w:p>
        </w:tc>
      </w:tr>
      <w:tr>
        <w:trPr>
          <w:trHeight w:val="202"/>
        </w:trPr>
        <w:tc>
          <w:tcPr>
            <w:tcW w:w="8080" w:type="dxa"/>
            <w:vAlign w:val="bottom"/>
            <w:shd w:val="clear" w:color="auto" w:fill="CCEEFF"/>
          </w:tcPr>
          <w:p>
            <w:pPr>
              <w:ind w:left="760"/>
              <w:spacing w:after="0"/>
              <w:rPr>
                <w:sz w:val="20"/>
                <w:szCs w:val="20"/>
                <w:color w:val="auto"/>
              </w:rPr>
            </w:pPr>
            <w:r>
              <w:rPr>
                <w:rFonts w:ascii="Arial" w:cs="Arial" w:eastAsia="Arial" w:hAnsi="Arial"/>
                <w:sz w:val="15"/>
                <w:szCs w:val="15"/>
                <w:color w:val="auto"/>
              </w:rPr>
              <w:t>Net cash provided by operating activities</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rPr>
              <w:t>67,822</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69,699</w:t>
            </w:r>
          </w:p>
        </w:tc>
      </w:tr>
      <w:tr>
        <w:trPr>
          <w:trHeight w:val="90"/>
        </w:trPr>
        <w:tc>
          <w:tcPr>
            <w:tcW w:w="80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0" w:type="dxa"/>
            <w:vAlign w:val="bottom"/>
          </w:tcPr>
          <w:p>
            <w:pPr>
              <w:spacing w:after="0"/>
              <w:rPr>
                <w:sz w:val="7"/>
                <w:szCs w:val="7"/>
                <w:color w:val="auto"/>
              </w:rPr>
            </w:pPr>
          </w:p>
        </w:tc>
      </w:tr>
      <w:tr>
        <w:trPr>
          <w:trHeight w:val="207"/>
        </w:trPr>
        <w:tc>
          <w:tcPr>
            <w:tcW w:w="8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flows from investing activities:</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4"/>
        </w:trPr>
        <w:tc>
          <w:tcPr>
            <w:tcW w:w="8080" w:type="dxa"/>
            <w:vAlign w:val="bottom"/>
          </w:tcPr>
          <w:p>
            <w:pPr>
              <w:ind w:left="440"/>
              <w:spacing w:after="0"/>
              <w:rPr>
                <w:sz w:val="20"/>
                <w:szCs w:val="20"/>
                <w:color w:val="auto"/>
              </w:rPr>
            </w:pPr>
            <w:r>
              <w:rPr>
                <w:rFonts w:ascii="Arial" w:cs="Arial" w:eastAsia="Arial" w:hAnsi="Arial"/>
                <w:sz w:val="15"/>
                <w:szCs w:val="15"/>
                <w:color w:val="auto"/>
              </w:rPr>
              <w:t>Acquisition of businesses and real estate</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(28,011)</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(3,285)</w:t>
            </w:r>
          </w:p>
        </w:tc>
      </w:tr>
      <w:tr>
        <w:trPr>
          <w:trHeight w:val="209"/>
        </w:trPr>
        <w:tc>
          <w:tcPr>
            <w:tcW w:w="80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Proceeds from divestitures and sale of other assets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rPr>
              <w:t>7,416</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4,375</w:t>
            </w:r>
          </w:p>
        </w:tc>
      </w:tr>
      <w:tr>
        <w:trPr>
          <w:trHeight w:val="219"/>
        </w:trPr>
        <w:tc>
          <w:tcPr>
            <w:tcW w:w="8080" w:type="dxa"/>
            <w:vAlign w:val="bottom"/>
          </w:tcPr>
          <w:p>
            <w:pPr>
              <w:ind w:left="440"/>
              <w:spacing w:after="0"/>
              <w:rPr>
                <w:sz w:val="20"/>
                <w:szCs w:val="20"/>
                <w:color w:val="auto"/>
              </w:rPr>
            </w:pPr>
            <w:r>
              <w:rPr>
                <w:rFonts w:ascii="Arial" w:cs="Arial" w:eastAsia="Arial" w:hAnsi="Arial"/>
                <w:sz w:val="15"/>
                <w:szCs w:val="15"/>
                <w:color w:val="auto"/>
              </w:rPr>
              <w:t>Proceeds from insurance reimbursements</w:t>
            </w:r>
          </w:p>
        </w:tc>
        <w:tc>
          <w:tcPr>
            <w:tcW w:w="260" w:type="dxa"/>
            <w:vAlign w:val="bottom"/>
          </w:tcPr>
          <w:p>
            <w:pPr>
              <w:spacing w:after="0"/>
              <w:rPr>
                <w:sz w:val="19"/>
                <w:szCs w:val="19"/>
                <w:color w:val="auto"/>
              </w:rPr>
            </w:pPr>
          </w:p>
        </w:tc>
        <w:tc>
          <w:tcPr>
            <w:tcW w:w="1200" w:type="dxa"/>
            <w:vAlign w:val="bottom"/>
          </w:tcPr>
          <w:p>
            <w:pPr>
              <w:jc w:val="right"/>
              <w:ind w:right="2"/>
              <w:spacing w:after="0"/>
              <w:rPr>
                <w:sz w:val="20"/>
                <w:szCs w:val="20"/>
                <w:color w:val="auto"/>
              </w:rPr>
            </w:pPr>
            <w:r>
              <w:rPr>
                <w:rFonts w:ascii="Arial" w:cs="Arial" w:eastAsia="Arial" w:hAnsi="Arial"/>
                <w:sz w:val="17"/>
                <w:szCs w:val="17"/>
                <w:color w:val="auto"/>
              </w:rPr>
              <w:t>97</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2,946</w:t>
            </w:r>
          </w:p>
        </w:tc>
      </w:tr>
      <w:tr>
        <w:trPr>
          <w:trHeight w:val="207"/>
        </w:trPr>
        <w:tc>
          <w:tcPr>
            <w:tcW w:w="80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Capital expenditures</w:t>
            </w: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(10,034)</w:t>
            </w:r>
          </w:p>
        </w:tc>
        <w:tc>
          <w:tcPr>
            <w:tcW w:w="2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(15,252)</w:t>
            </w:r>
          </w:p>
        </w:tc>
      </w:tr>
      <w:tr>
        <w:trPr>
          <w:trHeight w:val="197"/>
        </w:trPr>
        <w:tc>
          <w:tcPr>
            <w:tcW w:w="8080" w:type="dxa"/>
            <w:vAlign w:val="bottom"/>
          </w:tcPr>
          <w:p>
            <w:pPr>
              <w:ind w:left="760"/>
              <w:spacing w:after="0"/>
              <w:rPr>
                <w:sz w:val="20"/>
                <w:szCs w:val="20"/>
                <w:color w:val="auto"/>
              </w:rPr>
            </w:pPr>
            <w:r>
              <w:rPr>
                <w:rFonts w:ascii="Arial" w:cs="Arial" w:eastAsia="Arial" w:hAnsi="Arial"/>
                <w:sz w:val="15"/>
                <w:szCs w:val="15"/>
                <w:color w:val="auto"/>
              </w:rPr>
              <w:t>Net cash used in investing activities</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(30,532)</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(11,216)</w:t>
            </w:r>
          </w:p>
        </w:tc>
      </w:tr>
      <w:tr>
        <w:trPr>
          <w:trHeight w:val="93"/>
        </w:trPr>
        <w:tc>
          <w:tcPr>
            <w:tcW w:w="80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r>
      <w:tr>
        <w:trPr>
          <w:trHeight w:val="204"/>
        </w:trPr>
        <w:tc>
          <w:tcPr>
            <w:tcW w:w="8080" w:type="dxa"/>
            <w:vAlign w:val="bottom"/>
          </w:tcPr>
          <w:p>
            <w:pPr>
              <w:ind w:left="20"/>
              <w:spacing w:after="0"/>
              <w:rPr>
                <w:sz w:val="20"/>
                <w:szCs w:val="20"/>
                <w:color w:val="auto"/>
              </w:rPr>
            </w:pPr>
            <w:r>
              <w:rPr>
                <w:rFonts w:ascii="Arial" w:cs="Arial" w:eastAsia="Arial" w:hAnsi="Arial"/>
                <w:sz w:val="15"/>
                <w:szCs w:val="15"/>
                <w:color w:val="auto"/>
              </w:rPr>
              <w:t>Cash flows from financing activities:</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9"/>
        </w:trPr>
        <w:tc>
          <w:tcPr>
            <w:tcW w:w="80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Borrowings from the credit facility</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rPr>
              <w:t>89,300</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154,968</w:t>
            </w:r>
          </w:p>
        </w:tc>
      </w:tr>
      <w:tr>
        <w:trPr>
          <w:trHeight w:val="204"/>
        </w:trPr>
        <w:tc>
          <w:tcPr>
            <w:tcW w:w="8080" w:type="dxa"/>
            <w:vAlign w:val="bottom"/>
          </w:tcPr>
          <w:p>
            <w:pPr>
              <w:ind w:left="440"/>
              <w:spacing w:after="0"/>
              <w:rPr>
                <w:sz w:val="20"/>
                <w:szCs w:val="20"/>
                <w:color w:val="auto"/>
              </w:rPr>
            </w:pPr>
            <w:r>
              <w:rPr>
                <w:rFonts w:ascii="Arial" w:cs="Arial" w:eastAsia="Arial" w:hAnsi="Arial"/>
                <w:sz w:val="15"/>
                <w:szCs w:val="15"/>
                <w:color w:val="auto"/>
              </w:rPr>
              <w:t>Payments against the credit facility</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(117,100)</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(115,268)</w:t>
            </w:r>
          </w:p>
        </w:tc>
      </w:tr>
      <w:tr>
        <w:trPr>
          <w:trHeight w:val="209"/>
        </w:trPr>
        <w:tc>
          <w:tcPr>
            <w:tcW w:w="80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Payment of call premium for the redemption of the senior notes due 2026</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(19,876)</w:t>
            </w:r>
          </w:p>
        </w:tc>
      </w:tr>
      <w:tr>
        <w:trPr>
          <w:trHeight w:val="204"/>
        </w:trPr>
        <w:tc>
          <w:tcPr>
            <w:tcW w:w="8080" w:type="dxa"/>
            <w:vAlign w:val="bottom"/>
          </w:tcPr>
          <w:p>
            <w:pPr>
              <w:ind w:left="440"/>
              <w:spacing w:after="0"/>
              <w:rPr>
                <w:sz w:val="20"/>
                <w:szCs w:val="20"/>
                <w:color w:val="auto"/>
              </w:rPr>
            </w:pPr>
            <w:r>
              <w:rPr>
                <w:rFonts w:ascii="Arial" w:cs="Arial" w:eastAsia="Arial" w:hAnsi="Arial"/>
                <w:sz w:val="15"/>
                <w:szCs w:val="15"/>
                <w:color w:val="auto"/>
              </w:rPr>
              <w:t>Payments of debt issuance and transaction costs</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(78)</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(6,554)</w:t>
            </w:r>
          </w:p>
        </w:tc>
      </w:tr>
      <w:tr>
        <w:trPr>
          <w:trHeight w:val="209"/>
        </w:trPr>
        <w:tc>
          <w:tcPr>
            <w:tcW w:w="80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Conversions and maturity of the convertible subordinated notes due 2021</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(4,563)</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(3,980)</w:t>
            </w:r>
          </w:p>
        </w:tc>
      </w:tr>
      <w:tr>
        <w:trPr>
          <w:trHeight w:val="204"/>
        </w:trPr>
        <w:tc>
          <w:tcPr>
            <w:tcW w:w="8080" w:type="dxa"/>
            <w:vAlign w:val="bottom"/>
          </w:tcPr>
          <w:p>
            <w:pPr>
              <w:ind w:left="440"/>
              <w:spacing w:after="0"/>
              <w:rPr>
                <w:sz w:val="20"/>
                <w:szCs w:val="20"/>
                <w:color w:val="auto"/>
              </w:rPr>
            </w:pPr>
            <w:r>
              <w:rPr>
                <w:rFonts w:ascii="Arial" w:cs="Arial" w:eastAsia="Arial" w:hAnsi="Arial"/>
                <w:sz w:val="15"/>
                <w:szCs w:val="15"/>
                <w:color w:val="auto"/>
              </w:rPr>
              <w:t>Payments on acquisition debt and obligations under finance leases</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(1,060)</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(658)</w:t>
            </w:r>
          </w:p>
        </w:tc>
      </w:tr>
      <w:tr>
        <w:trPr>
          <w:trHeight w:val="209"/>
        </w:trPr>
        <w:tc>
          <w:tcPr>
            <w:tcW w:w="80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Payments on contingent consideration recorded at acquisition date</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(461)</w:t>
            </w:r>
          </w:p>
        </w:tc>
      </w:tr>
      <w:tr>
        <w:trPr>
          <w:trHeight w:val="204"/>
        </w:trPr>
        <w:tc>
          <w:tcPr>
            <w:tcW w:w="8080" w:type="dxa"/>
            <w:vAlign w:val="bottom"/>
          </w:tcPr>
          <w:p>
            <w:pPr>
              <w:ind w:left="440"/>
              <w:spacing w:after="0"/>
              <w:rPr>
                <w:sz w:val="20"/>
                <w:szCs w:val="20"/>
                <w:color w:val="auto"/>
              </w:rPr>
            </w:pPr>
            <w:r>
              <w:rPr>
                <w:rFonts w:ascii="Arial" w:cs="Arial" w:eastAsia="Arial" w:hAnsi="Arial"/>
                <w:sz w:val="15"/>
                <w:szCs w:val="15"/>
                <w:color w:val="auto"/>
              </w:rPr>
              <w:t>Proceeds from the exercise of stock options and employee stock purchase plan</w:t>
            </w:r>
          </w:p>
        </w:tc>
        <w:tc>
          <w:tcPr>
            <w:tcW w:w="2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5"/>
                <w:szCs w:val="15"/>
                <w:color w:val="auto"/>
              </w:rPr>
              <w:t>921</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2,107</w:t>
            </w:r>
          </w:p>
        </w:tc>
      </w:tr>
      <w:tr>
        <w:trPr>
          <w:trHeight w:val="209"/>
        </w:trPr>
        <w:tc>
          <w:tcPr>
            <w:tcW w:w="80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Taxes paid on restricted stock vestings and exercise of stock options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(281)</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(1,433)</w:t>
            </w:r>
          </w:p>
        </w:tc>
      </w:tr>
      <w:tr>
        <w:trPr>
          <w:trHeight w:val="204"/>
        </w:trPr>
        <w:tc>
          <w:tcPr>
            <w:tcW w:w="8080" w:type="dxa"/>
            <w:vAlign w:val="bottom"/>
          </w:tcPr>
          <w:p>
            <w:pPr>
              <w:ind w:left="440"/>
              <w:spacing w:after="0"/>
              <w:rPr>
                <w:sz w:val="20"/>
                <w:szCs w:val="20"/>
                <w:color w:val="auto"/>
              </w:rPr>
            </w:pPr>
            <w:r>
              <w:rPr>
                <w:rFonts w:ascii="Arial" w:cs="Arial" w:eastAsia="Arial" w:hAnsi="Arial"/>
                <w:sz w:val="15"/>
                <w:szCs w:val="15"/>
                <w:color w:val="auto"/>
              </w:rPr>
              <w:t>Dividends paid on common stock</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(4,251)</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(5,390)</w:t>
            </w:r>
          </w:p>
        </w:tc>
      </w:tr>
      <w:tr>
        <w:trPr>
          <w:trHeight w:val="209"/>
        </w:trPr>
        <w:tc>
          <w:tcPr>
            <w:tcW w:w="80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Purchase of treasury stock</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(61,739)</w:t>
            </w:r>
          </w:p>
        </w:tc>
      </w:tr>
      <w:tr>
        <w:trPr>
          <w:trHeight w:val="197"/>
        </w:trPr>
        <w:tc>
          <w:tcPr>
            <w:tcW w:w="8080" w:type="dxa"/>
            <w:vAlign w:val="bottom"/>
          </w:tcPr>
          <w:p>
            <w:pPr>
              <w:ind w:left="760"/>
              <w:spacing w:after="0"/>
              <w:rPr>
                <w:sz w:val="20"/>
                <w:szCs w:val="20"/>
                <w:color w:val="auto"/>
              </w:rPr>
            </w:pPr>
            <w:r>
              <w:rPr>
                <w:rFonts w:ascii="Arial" w:cs="Arial" w:eastAsia="Arial" w:hAnsi="Arial"/>
                <w:sz w:val="15"/>
                <w:szCs w:val="15"/>
                <w:color w:val="auto"/>
              </w:rPr>
              <w:t>Net cash used in financing activities</w:t>
            </w: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(37,281)</w:t>
            </w:r>
          </w:p>
        </w:tc>
        <w:tc>
          <w:tcPr>
            <w:tcW w:w="2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(58,284)</w:t>
            </w:r>
          </w:p>
        </w:tc>
      </w:tr>
      <w:tr>
        <w:trPr>
          <w:trHeight w:val="93"/>
        </w:trPr>
        <w:tc>
          <w:tcPr>
            <w:tcW w:w="80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r>
      <w:tr>
        <w:trPr>
          <w:trHeight w:val="204"/>
        </w:trPr>
        <w:tc>
          <w:tcPr>
            <w:tcW w:w="8080" w:type="dxa"/>
            <w:vAlign w:val="bottom"/>
          </w:tcPr>
          <w:p>
            <w:pPr>
              <w:ind w:left="20"/>
              <w:spacing w:after="0"/>
              <w:rPr>
                <w:sz w:val="20"/>
                <w:szCs w:val="20"/>
                <w:color w:val="auto"/>
              </w:rPr>
            </w:pPr>
            <w:r>
              <w:rPr>
                <w:rFonts w:ascii="Arial" w:cs="Arial" w:eastAsia="Arial" w:hAnsi="Arial"/>
                <w:sz w:val="15"/>
                <w:szCs w:val="15"/>
                <w:color w:val="auto"/>
              </w:rPr>
              <w:t>Net increase in cash and cash equivalents</w:t>
            </w:r>
          </w:p>
        </w:tc>
        <w:tc>
          <w:tcPr>
            <w:tcW w:w="2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5"/>
                <w:szCs w:val="15"/>
                <w:color w:val="auto"/>
              </w:rPr>
              <w:t>9</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199</w:t>
            </w:r>
          </w:p>
        </w:tc>
      </w:tr>
      <w:tr>
        <w:trPr>
          <w:trHeight w:val="209"/>
        </w:trPr>
        <w:tc>
          <w:tcPr>
            <w:tcW w:w="8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and cash equivalents at beginning of period</w:t>
            </w: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rPr>
              <w:t>716</w:t>
            </w:r>
          </w:p>
        </w:tc>
        <w:tc>
          <w:tcPr>
            <w:tcW w:w="2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889</w:t>
            </w:r>
          </w:p>
        </w:tc>
      </w:tr>
      <w:tr>
        <w:trPr>
          <w:trHeight w:val="197"/>
        </w:trPr>
        <w:tc>
          <w:tcPr>
            <w:tcW w:w="8080" w:type="dxa"/>
            <w:vAlign w:val="bottom"/>
          </w:tcPr>
          <w:p>
            <w:pPr>
              <w:ind w:left="20"/>
              <w:spacing w:after="0"/>
              <w:rPr>
                <w:sz w:val="20"/>
                <w:szCs w:val="20"/>
                <w:color w:val="auto"/>
              </w:rPr>
            </w:pPr>
            <w:r>
              <w:rPr>
                <w:rFonts w:ascii="Arial" w:cs="Arial" w:eastAsia="Arial" w:hAnsi="Arial"/>
                <w:sz w:val="15"/>
                <w:szCs w:val="15"/>
                <w:color w:val="auto"/>
              </w:rPr>
              <w:t>Cash and cash equivalents at end of period</w:t>
            </w: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5"/>
                <w:szCs w:val="15"/>
                <w:color w:val="auto"/>
              </w:rPr>
              <w:t>725</w:t>
            </w:r>
          </w:p>
        </w:tc>
        <w:tc>
          <w:tcPr>
            <w:tcW w:w="220" w:type="dxa"/>
            <w:vAlign w:val="bottom"/>
          </w:tcPr>
          <w:p>
            <w:pPr>
              <w:spacing w:after="0"/>
              <w:rPr>
                <w:sz w:val="17"/>
                <w:szCs w:val="17"/>
                <w:color w:val="auto"/>
              </w:rPr>
            </w:pPr>
          </w:p>
        </w:tc>
        <w:tc>
          <w:tcPr>
            <w:tcW w:w="46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1,088</w:t>
            </w:r>
          </w:p>
        </w:tc>
      </w:tr>
      <w:tr>
        <w:trPr>
          <w:trHeight w:val="22"/>
        </w:trPr>
        <w:tc>
          <w:tcPr>
            <w:tcW w:w="8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accompanying condensed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67945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40" w:top="85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CARRIAGE SERVICES,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CHANGES IN STOCKHOLDERS’ EQUITY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and in thousands)</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41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gridSpan w:val="9"/>
          </w:tcPr>
          <w:p>
            <w:pPr>
              <w:jc w:val="right"/>
              <w:spacing w:after="0"/>
              <w:rPr>
                <w:sz w:val="20"/>
                <w:szCs w:val="20"/>
                <w:color w:val="auto"/>
              </w:rPr>
            </w:pPr>
            <w:r>
              <w:rPr>
                <w:rFonts w:ascii="Arial" w:cs="Arial" w:eastAsia="Arial" w:hAnsi="Arial"/>
                <w:sz w:val="17"/>
                <w:szCs w:val="17"/>
                <w:b w:val="1"/>
                <w:bCs w:val="1"/>
                <w:color w:val="auto"/>
              </w:rPr>
              <w:t>Three months ended September 30, 2020</w:t>
            </w: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4120" w:type="dxa"/>
            <w:vAlign w:val="bottom"/>
          </w:tcPr>
          <w:p>
            <w:pPr>
              <w:spacing w:after="0"/>
              <w:rPr>
                <w:sz w:val="10"/>
                <w:szCs w:val="10"/>
                <w:color w:val="auto"/>
              </w:rPr>
            </w:pP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81"/>
              </w:rPr>
              <w:t>Shares</w:t>
            </w:r>
          </w:p>
        </w:tc>
        <w:tc>
          <w:tcPr>
            <w:tcW w:w="200" w:type="dxa"/>
            <w:vAlign w:val="bottom"/>
          </w:tcPr>
          <w:p>
            <w:pPr>
              <w:spacing w:after="0"/>
              <w:rPr>
                <w:sz w:val="10"/>
                <w:szCs w:val="10"/>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4"/>
                <w:szCs w:val="14"/>
                <w:color w:val="auto"/>
                <w:w w:val="91"/>
              </w:rPr>
              <w:t>Common</w:t>
            </w:r>
          </w:p>
        </w:tc>
        <w:tc>
          <w:tcPr>
            <w:tcW w:w="180" w:type="dxa"/>
            <w:vAlign w:val="bottom"/>
          </w:tcPr>
          <w:p>
            <w:pPr>
              <w:spacing w:after="0"/>
              <w:rPr>
                <w:sz w:val="10"/>
                <w:szCs w:val="10"/>
                <w:color w:val="auto"/>
              </w:rPr>
            </w:pPr>
          </w:p>
        </w:tc>
        <w:tc>
          <w:tcPr>
            <w:tcW w:w="1020" w:type="dxa"/>
            <w:vAlign w:val="bottom"/>
            <w:gridSpan w:val="2"/>
          </w:tcPr>
          <w:p>
            <w:pPr>
              <w:jc w:val="center"/>
              <w:ind w:right="300"/>
              <w:spacing w:after="0" w:line="123" w:lineRule="exact"/>
              <w:rPr>
                <w:sz w:val="20"/>
                <w:szCs w:val="20"/>
                <w:color w:val="auto"/>
              </w:rPr>
            </w:pPr>
            <w:r>
              <w:rPr>
                <w:rFonts w:ascii="Arial" w:cs="Arial" w:eastAsia="Arial" w:hAnsi="Arial"/>
                <w:sz w:val="14"/>
                <w:szCs w:val="14"/>
                <w:color w:val="auto"/>
                <w:w w:val="97"/>
              </w:rPr>
              <w:t>Additional</w:t>
            </w:r>
          </w:p>
        </w:tc>
        <w:tc>
          <w:tcPr>
            <w:tcW w:w="200" w:type="dxa"/>
            <w:vAlign w:val="bottom"/>
          </w:tcPr>
          <w:p>
            <w:pPr>
              <w:spacing w:after="0"/>
              <w:rPr>
                <w:sz w:val="10"/>
                <w:szCs w:val="10"/>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color w:val="auto"/>
              </w:rPr>
              <w:t>Retained</w:t>
            </w:r>
          </w:p>
        </w:tc>
        <w:tc>
          <w:tcPr>
            <w:tcW w:w="260" w:type="dxa"/>
            <w:vAlign w:val="bottom"/>
          </w:tcPr>
          <w:p>
            <w:pPr>
              <w:spacing w:after="0"/>
              <w:rPr>
                <w:sz w:val="10"/>
                <w:szCs w:val="10"/>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color w:val="auto"/>
              </w:rPr>
              <w:t>Treasury</w:t>
            </w: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1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300"/>
              <w:spacing w:after="0" w:line="129" w:lineRule="exact"/>
              <w:rPr>
                <w:sz w:val="20"/>
                <w:szCs w:val="20"/>
                <w:color w:val="auto"/>
              </w:rPr>
            </w:pPr>
            <w:r>
              <w:rPr>
                <w:rFonts w:ascii="Arial" w:cs="Arial" w:eastAsia="Arial" w:hAnsi="Arial"/>
                <w:sz w:val="14"/>
                <w:szCs w:val="14"/>
                <w:color w:val="auto"/>
                <w:w w:val="91"/>
              </w:rPr>
              <w:t>Paid-in</w:t>
            </w:r>
          </w:p>
        </w:tc>
        <w:tc>
          <w:tcPr>
            <w:tcW w:w="2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restart"/>
          </w:tcPr>
          <w:p>
            <w:pPr>
              <w:jc w:val="right"/>
              <w:ind w:right="336"/>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8"/>
        </w:trPr>
        <w:tc>
          <w:tcPr>
            <w:tcW w:w="4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Outstanding</w:t>
            </w:r>
          </w:p>
        </w:tc>
        <w:tc>
          <w:tcPr>
            <w:tcW w:w="200" w:type="dxa"/>
            <w:vAlign w:val="bottom"/>
          </w:tcPr>
          <w:p>
            <w:pPr>
              <w:spacing w:after="0"/>
              <w:rPr>
                <w:sz w:val="15"/>
                <w:szCs w:val="15"/>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color w:val="auto"/>
                <w:w w:val="91"/>
              </w:rPr>
              <w:t>Stock</w:t>
            </w:r>
          </w:p>
        </w:tc>
        <w:tc>
          <w:tcPr>
            <w:tcW w:w="18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Capital</w:t>
            </w:r>
          </w:p>
        </w:tc>
        <w:tc>
          <w:tcPr>
            <w:tcW w:w="20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color w:val="auto"/>
              </w:rPr>
              <w:t>Earnings</w:t>
            </w:r>
          </w:p>
        </w:tc>
        <w:tc>
          <w:tcPr>
            <w:tcW w:w="260" w:type="dxa"/>
            <w:vAlign w:val="bottom"/>
          </w:tcPr>
          <w:p>
            <w:pPr>
              <w:spacing w:after="0"/>
              <w:rPr>
                <w:sz w:val="15"/>
                <w:szCs w:val="15"/>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color w:val="auto"/>
              </w:rPr>
              <w:t>Stock</w:t>
            </w:r>
          </w:p>
        </w:tc>
        <w:tc>
          <w:tcPr>
            <w:tcW w:w="2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 June 30, 2020</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17,934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241,868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88,413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w w:val="93"/>
              </w:rPr>
              <w:t>(102,050)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228,491</w:t>
            </w:r>
          </w:p>
        </w:tc>
        <w:tc>
          <w:tcPr>
            <w:tcW w:w="0" w:type="dxa"/>
            <w:vAlign w:val="bottom"/>
          </w:tcPr>
          <w:p>
            <w:pPr>
              <w:spacing w:after="0"/>
              <w:rPr>
                <w:sz w:val="1"/>
                <w:szCs w:val="1"/>
                <w:color w:val="auto"/>
              </w:rPr>
            </w:pPr>
          </w:p>
        </w:tc>
      </w:tr>
      <w:tr>
        <w:trPr>
          <w:trHeight w:val="219"/>
        </w:trPr>
        <w:tc>
          <w:tcPr>
            <w:tcW w:w="4120" w:type="dxa"/>
            <w:vAlign w:val="bottom"/>
          </w:tcPr>
          <w:p>
            <w:pPr>
              <w:ind w:left="200"/>
              <w:spacing w:after="0"/>
              <w:rPr>
                <w:sz w:val="20"/>
                <w:szCs w:val="20"/>
                <w:color w:val="auto"/>
              </w:rPr>
            </w:pPr>
            <w:r>
              <w:rPr>
                <w:rFonts w:ascii="Arial" w:cs="Arial" w:eastAsia="Arial" w:hAnsi="Arial"/>
                <w:sz w:val="17"/>
                <w:szCs w:val="17"/>
                <w:color w:val="auto"/>
              </w:rPr>
              <w:t>Net income</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5,525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5,525</w:t>
            </w:r>
          </w:p>
        </w:tc>
        <w:tc>
          <w:tcPr>
            <w:tcW w:w="0" w:type="dxa"/>
            <w:vAlign w:val="bottom"/>
          </w:tcPr>
          <w:p>
            <w:pPr>
              <w:spacing w:after="0"/>
              <w:rPr>
                <w:sz w:val="1"/>
                <w:szCs w:val="1"/>
                <w:color w:val="auto"/>
              </w:rPr>
            </w:pPr>
          </w:p>
        </w:tc>
      </w:tr>
      <w:tr>
        <w:trPr>
          <w:trHeight w:val="169"/>
        </w:trPr>
        <w:tc>
          <w:tcPr>
            <w:tcW w:w="4120" w:type="dxa"/>
            <w:vAlign w:val="bottom"/>
            <w:shd w:val="clear" w:color="auto" w:fill="CCEEFF"/>
          </w:tcPr>
          <w:p>
            <w:pPr>
              <w:ind w:left="200"/>
              <w:spacing w:after="0" w:line="169" w:lineRule="exact"/>
              <w:rPr>
                <w:sz w:val="20"/>
                <w:szCs w:val="20"/>
                <w:color w:val="auto"/>
              </w:rPr>
            </w:pPr>
            <w:r>
              <w:rPr>
                <w:rFonts w:ascii="Arial" w:cs="Arial" w:eastAsia="Arial" w:hAnsi="Arial"/>
                <w:sz w:val="17"/>
                <w:szCs w:val="17"/>
                <w:color w:val="auto"/>
              </w:rPr>
              <w:t>Issuance of common stock from employee stock</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297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297</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purchase plan</w:t>
            </w: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4120" w:type="dxa"/>
            <w:vAlign w:val="bottom"/>
          </w:tcPr>
          <w:p>
            <w:pPr>
              <w:ind w:left="200"/>
              <w:spacing w:after="0" w:line="168" w:lineRule="exact"/>
              <w:rPr>
                <w:sz w:val="20"/>
                <w:szCs w:val="20"/>
                <w:color w:val="auto"/>
              </w:rPr>
            </w:pPr>
            <w:r>
              <w:rPr>
                <w:rFonts w:ascii="Arial" w:cs="Arial" w:eastAsia="Arial" w:hAnsi="Arial"/>
                <w:sz w:val="17"/>
                <w:szCs w:val="17"/>
                <w:color w:val="auto"/>
              </w:rPr>
              <w:t>Issuance of common stock to directors and board</w:t>
            </w: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198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4"/>
                <w:szCs w:val="14"/>
                <w:color w:val="auto"/>
              </w:rPr>
            </w:pPr>
          </w:p>
        </w:tc>
        <w:tc>
          <w:tcPr>
            <w:tcW w:w="940" w:type="dxa"/>
            <w:vAlign w:val="bottom"/>
            <w:gridSpan w:val="2"/>
            <w:vMerge w:val="restart"/>
          </w:tcPr>
          <w:p>
            <w:pPr>
              <w:ind w:left="6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198</w:t>
            </w:r>
          </w:p>
        </w:tc>
        <w:tc>
          <w:tcPr>
            <w:tcW w:w="0" w:type="dxa"/>
            <w:vAlign w:val="bottom"/>
          </w:tcPr>
          <w:p>
            <w:pPr>
              <w:spacing w:after="0"/>
              <w:rPr>
                <w:sz w:val="1"/>
                <w:szCs w:val="1"/>
                <w:color w:val="auto"/>
              </w:rPr>
            </w:pPr>
          </w:p>
        </w:tc>
      </w:tr>
      <w:tr>
        <w:trPr>
          <w:trHeight w:val="218"/>
        </w:trPr>
        <w:tc>
          <w:tcPr>
            <w:tcW w:w="4120" w:type="dxa"/>
            <w:vAlign w:val="bottom"/>
          </w:tcPr>
          <w:p>
            <w:pPr>
              <w:ind w:left="200"/>
              <w:spacing w:after="0"/>
              <w:rPr>
                <w:sz w:val="20"/>
                <w:szCs w:val="20"/>
                <w:color w:val="auto"/>
              </w:rPr>
            </w:pPr>
            <w:r>
              <w:rPr>
                <w:rFonts w:ascii="Arial" w:cs="Arial" w:eastAsia="Arial" w:hAnsi="Arial"/>
                <w:sz w:val="17"/>
                <w:szCs w:val="17"/>
                <w:color w:val="auto"/>
              </w:rPr>
              <w:t>advisor</w:t>
            </w: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Exercise of stock options</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19"/>
        </w:trPr>
        <w:tc>
          <w:tcPr>
            <w:tcW w:w="4120" w:type="dxa"/>
            <w:vAlign w:val="bottom"/>
          </w:tcPr>
          <w:p>
            <w:pPr>
              <w:ind w:left="200"/>
              <w:spacing w:after="0"/>
              <w:rPr>
                <w:sz w:val="20"/>
                <w:szCs w:val="20"/>
                <w:color w:val="auto"/>
              </w:rPr>
            </w:pPr>
            <w:r>
              <w:rPr>
                <w:rFonts w:ascii="Arial" w:cs="Arial" w:eastAsia="Arial" w:hAnsi="Arial"/>
                <w:sz w:val="17"/>
                <w:szCs w:val="17"/>
                <w:color w:val="auto"/>
                <w:w w:val="94"/>
              </w:rPr>
              <w:t>Cancellation and surrender of restricted common stock</w:t>
            </w:r>
          </w:p>
        </w:tc>
        <w:tc>
          <w:tcPr>
            <w:tcW w:w="11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Stock-based compensation expense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729</w:t>
            </w:r>
          </w:p>
        </w:tc>
        <w:tc>
          <w:tcPr>
            <w:tcW w:w="0" w:type="dxa"/>
            <w:vAlign w:val="bottom"/>
          </w:tcPr>
          <w:p>
            <w:pPr>
              <w:spacing w:after="0"/>
              <w:rPr>
                <w:sz w:val="1"/>
                <w:szCs w:val="1"/>
                <w:color w:val="auto"/>
              </w:rPr>
            </w:pPr>
          </w:p>
        </w:tc>
      </w:tr>
      <w:tr>
        <w:trPr>
          <w:trHeight w:val="219"/>
        </w:trPr>
        <w:tc>
          <w:tcPr>
            <w:tcW w:w="4120" w:type="dxa"/>
            <w:vAlign w:val="bottom"/>
          </w:tcPr>
          <w:p>
            <w:pPr>
              <w:ind w:left="200"/>
              <w:spacing w:after="0"/>
              <w:rPr>
                <w:sz w:val="20"/>
                <w:szCs w:val="20"/>
                <w:color w:val="auto"/>
              </w:rPr>
            </w:pPr>
            <w:r>
              <w:rPr>
                <w:rFonts w:ascii="Arial" w:cs="Arial" w:eastAsia="Arial" w:hAnsi="Arial"/>
                <w:sz w:val="17"/>
                <w:szCs w:val="17"/>
                <w:color w:val="auto"/>
              </w:rPr>
              <w:t>Dividends on common stock</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(1,569)</w:t>
            </w: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Convertible notes exchange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(828)</w:t>
            </w:r>
          </w:p>
        </w:tc>
        <w:tc>
          <w:tcPr>
            <w:tcW w:w="0" w:type="dxa"/>
            <w:vAlign w:val="bottom"/>
          </w:tcPr>
          <w:p>
            <w:pPr>
              <w:spacing w:after="0"/>
              <w:rPr>
                <w:sz w:val="1"/>
                <w:szCs w:val="1"/>
                <w:color w:val="auto"/>
              </w:rPr>
            </w:pPr>
          </w:p>
        </w:tc>
      </w:tr>
      <w:tr>
        <w:trPr>
          <w:trHeight w:val="212"/>
        </w:trPr>
        <w:tc>
          <w:tcPr>
            <w:tcW w:w="4120" w:type="dxa"/>
            <w:vAlign w:val="bottom"/>
          </w:tcPr>
          <w:p>
            <w:pPr>
              <w:ind w:left="20"/>
              <w:spacing w:after="0"/>
              <w:rPr>
                <w:sz w:val="20"/>
                <w:szCs w:val="20"/>
                <w:color w:val="auto"/>
              </w:rPr>
            </w:pPr>
            <w:r>
              <w:rPr>
                <w:rFonts w:ascii="Arial" w:cs="Arial" w:eastAsia="Arial" w:hAnsi="Arial"/>
                <w:sz w:val="17"/>
                <w:szCs w:val="17"/>
                <w:b w:val="1"/>
                <w:bCs w:val="1"/>
                <w:color w:val="auto"/>
              </w:rPr>
              <w:t>Balance – September 30, 2020</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17,970</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240,648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93,938</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7"/>
                <w:szCs w:val="17"/>
                <w:color w:val="auto"/>
                <w:w w:val="93"/>
              </w:rPr>
              <w:t>(102,050)</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232,796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1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gridSpan w:val="9"/>
          </w:tcPr>
          <w:p>
            <w:pPr>
              <w:jc w:val="right"/>
              <w:spacing w:after="0"/>
              <w:rPr>
                <w:sz w:val="20"/>
                <w:szCs w:val="20"/>
                <w:color w:val="auto"/>
              </w:rPr>
            </w:pPr>
            <w:r>
              <w:rPr>
                <w:rFonts w:ascii="Arial" w:cs="Arial" w:eastAsia="Arial" w:hAnsi="Arial"/>
                <w:sz w:val="17"/>
                <w:szCs w:val="17"/>
                <w:b w:val="1"/>
                <w:bCs w:val="1"/>
                <w:color w:val="auto"/>
              </w:rPr>
              <w:t>Three months ended September 30, 2021</w:t>
            </w: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4120" w:type="dxa"/>
            <w:vAlign w:val="bottom"/>
          </w:tcPr>
          <w:p>
            <w:pPr>
              <w:spacing w:after="0"/>
              <w:rPr>
                <w:sz w:val="10"/>
                <w:szCs w:val="10"/>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85"/>
              </w:rPr>
              <w:t>Shares</w:t>
            </w:r>
          </w:p>
        </w:tc>
        <w:tc>
          <w:tcPr>
            <w:tcW w:w="200" w:type="dxa"/>
            <w:vAlign w:val="bottom"/>
          </w:tcPr>
          <w:p>
            <w:pPr>
              <w:spacing w:after="0"/>
              <w:rPr>
                <w:sz w:val="10"/>
                <w:szCs w:val="10"/>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w w:val="87"/>
              </w:rPr>
              <w:t>Common</w:t>
            </w:r>
          </w:p>
        </w:tc>
        <w:tc>
          <w:tcPr>
            <w:tcW w:w="180" w:type="dxa"/>
            <w:vAlign w:val="bottom"/>
          </w:tcPr>
          <w:p>
            <w:pPr>
              <w:spacing w:after="0"/>
              <w:rPr>
                <w:sz w:val="10"/>
                <w:szCs w:val="10"/>
                <w:color w:val="auto"/>
              </w:rPr>
            </w:pPr>
          </w:p>
        </w:tc>
        <w:tc>
          <w:tcPr>
            <w:tcW w:w="1020" w:type="dxa"/>
            <w:vAlign w:val="bottom"/>
            <w:gridSpan w:val="2"/>
          </w:tcPr>
          <w:p>
            <w:pPr>
              <w:jc w:val="center"/>
              <w:ind w:right="280"/>
              <w:spacing w:after="0" w:line="123" w:lineRule="exact"/>
              <w:rPr>
                <w:sz w:val="20"/>
                <w:szCs w:val="20"/>
                <w:color w:val="auto"/>
              </w:rPr>
            </w:pPr>
            <w:r>
              <w:rPr>
                <w:rFonts w:ascii="Arial" w:cs="Arial" w:eastAsia="Arial" w:hAnsi="Arial"/>
                <w:sz w:val="14"/>
                <w:szCs w:val="14"/>
                <w:color w:val="auto"/>
                <w:w w:val="94"/>
              </w:rPr>
              <w:t>Additional</w:t>
            </w:r>
          </w:p>
        </w:tc>
        <w:tc>
          <w:tcPr>
            <w:tcW w:w="200" w:type="dxa"/>
            <w:vAlign w:val="bottom"/>
          </w:tcPr>
          <w:p>
            <w:pPr>
              <w:spacing w:after="0"/>
              <w:rPr>
                <w:sz w:val="10"/>
                <w:szCs w:val="10"/>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color w:val="auto"/>
              </w:rPr>
              <w:t>Retained</w:t>
            </w:r>
          </w:p>
        </w:tc>
        <w:tc>
          <w:tcPr>
            <w:tcW w:w="280" w:type="dxa"/>
            <w:vAlign w:val="bottom"/>
          </w:tcPr>
          <w:p>
            <w:pPr>
              <w:spacing w:after="0"/>
              <w:rPr>
                <w:sz w:val="10"/>
                <w:szCs w:val="10"/>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color w:val="auto"/>
              </w:rPr>
              <w:t>Treasury</w:t>
            </w: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1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280"/>
              <w:spacing w:after="0" w:line="129" w:lineRule="exact"/>
              <w:rPr>
                <w:sz w:val="20"/>
                <w:szCs w:val="20"/>
                <w:color w:val="auto"/>
              </w:rPr>
            </w:pPr>
            <w:r>
              <w:rPr>
                <w:rFonts w:ascii="Arial" w:cs="Arial" w:eastAsia="Arial" w:hAnsi="Arial"/>
                <w:sz w:val="14"/>
                <w:szCs w:val="14"/>
                <w:color w:val="auto"/>
                <w:w w:val="87"/>
              </w:rPr>
              <w:t>Paid-in</w:t>
            </w:r>
          </w:p>
        </w:tc>
        <w:tc>
          <w:tcPr>
            <w:tcW w:w="2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restart"/>
          </w:tcPr>
          <w:p>
            <w:pPr>
              <w:jc w:val="right"/>
              <w:ind w:right="316"/>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8"/>
        </w:trPr>
        <w:tc>
          <w:tcPr>
            <w:tcW w:w="4120" w:type="dxa"/>
            <w:vAlign w:val="bottom"/>
          </w:tcPr>
          <w:p>
            <w:pPr>
              <w:spacing w:after="0"/>
              <w:rPr>
                <w:sz w:val="15"/>
                <w:szCs w:val="15"/>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Outstanding</w:t>
            </w:r>
          </w:p>
        </w:tc>
        <w:tc>
          <w:tcPr>
            <w:tcW w:w="20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color w:val="auto"/>
                <w:w w:val="85"/>
              </w:rPr>
              <w:t>Stock</w:t>
            </w:r>
          </w:p>
        </w:tc>
        <w:tc>
          <w:tcPr>
            <w:tcW w:w="18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color w:val="auto"/>
                <w:w w:val="87"/>
              </w:rPr>
              <w:t>Capital</w:t>
            </w:r>
          </w:p>
        </w:tc>
        <w:tc>
          <w:tcPr>
            <w:tcW w:w="20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color w:val="auto"/>
              </w:rPr>
              <w:t>Earnings</w:t>
            </w:r>
          </w:p>
        </w:tc>
        <w:tc>
          <w:tcPr>
            <w:tcW w:w="280" w:type="dxa"/>
            <w:vAlign w:val="bottom"/>
          </w:tcPr>
          <w:p>
            <w:pPr>
              <w:spacing w:after="0"/>
              <w:rPr>
                <w:sz w:val="15"/>
                <w:szCs w:val="15"/>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Stock</w:t>
            </w:r>
          </w:p>
        </w:tc>
        <w:tc>
          <w:tcPr>
            <w:tcW w:w="2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 June 30, 2021</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17,826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237,891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109,069</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(114,351)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232,871</w:t>
            </w:r>
          </w:p>
        </w:tc>
        <w:tc>
          <w:tcPr>
            <w:tcW w:w="0" w:type="dxa"/>
            <w:vAlign w:val="bottom"/>
          </w:tcPr>
          <w:p>
            <w:pPr>
              <w:spacing w:after="0"/>
              <w:rPr>
                <w:sz w:val="1"/>
                <w:szCs w:val="1"/>
                <w:color w:val="auto"/>
              </w:rPr>
            </w:pPr>
          </w:p>
        </w:tc>
      </w:tr>
      <w:tr>
        <w:trPr>
          <w:trHeight w:val="219"/>
        </w:trPr>
        <w:tc>
          <w:tcPr>
            <w:tcW w:w="4120" w:type="dxa"/>
            <w:vAlign w:val="bottom"/>
          </w:tcPr>
          <w:p>
            <w:pPr>
              <w:ind w:left="220"/>
              <w:spacing w:after="0"/>
              <w:rPr>
                <w:sz w:val="20"/>
                <w:szCs w:val="20"/>
                <w:color w:val="auto"/>
              </w:rPr>
            </w:pPr>
            <w:r>
              <w:rPr>
                <w:rFonts w:ascii="Arial" w:cs="Arial" w:eastAsia="Arial" w:hAnsi="Arial"/>
                <w:sz w:val="17"/>
                <w:szCs w:val="17"/>
                <w:color w:val="auto"/>
              </w:rPr>
              <w:t>Net income</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13,046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13,046</w:t>
            </w:r>
          </w:p>
        </w:tc>
        <w:tc>
          <w:tcPr>
            <w:tcW w:w="0" w:type="dxa"/>
            <w:vAlign w:val="bottom"/>
          </w:tcPr>
          <w:p>
            <w:pPr>
              <w:spacing w:after="0"/>
              <w:rPr>
                <w:sz w:val="1"/>
                <w:szCs w:val="1"/>
                <w:color w:val="auto"/>
              </w:rPr>
            </w:pPr>
          </w:p>
        </w:tc>
      </w:tr>
      <w:tr>
        <w:trPr>
          <w:trHeight w:val="169"/>
        </w:trPr>
        <w:tc>
          <w:tcPr>
            <w:tcW w:w="4120" w:type="dxa"/>
            <w:vAlign w:val="bottom"/>
            <w:shd w:val="clear" w:color="auto" w:fill="CCEEFF"/>
          </w:tcPr>
          <w:p>
            <w:pPr>
              <w:ind w:left="220"/>
              <w:spacing w:after="0" w:line="169" w:lineRule="exact"/>
              <w:rPr>
                <w:sz w:val="20"/>
                <w:szCs w:val="20"/>
                <w:color w:val="auto"/>
              </w:rPr>
            </w:pPr>
            <w:r>
              <w:rPr>
                <w:rFonts w:ascii="Arial" w:cs="Arial" w:eastAsia="Arial" w:hAnsi="Arial"/>
                <w:sz w:val="17"/>
                <w:szCs w:val="17"/>
                <w:color w:val="auto"/>
              </w:rPr>
              <w:t>Issuance of common stock from employee stock</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388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388</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purchase plan</w:t>
            </w: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4120" w:type="dxa"/>
            <w:vAlign w:val="bottom"/>
          </w:tcPr>
          <w:p>
            <w:pPr>
              <w:ind w:left="220"/>
              <w:spacing w:after="0" w:line="168" w:lineRule="exact"/>
              <w:rPr>
                <w:sz w:val="20"/>
                <w:szCs w:val="20"/>
                <w:color w:val="auto"/>
              </w:rPr>
            </w:pPr>
            <w:r>
              <w:rPr>
                <w:rFonts w:ascii="Arial" w:cs="Arial" w:eastAsia="Arial" w:hAnsi="Arial"/>
                <w:sz w:val="17"/>
                <w:szCs w:val="17"/>
                <w:color w:val="auto"/>
              </w:rPr>
              <w:t>Issuance of common stock to directors and board</w:t>
            </w: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147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4"/>
                <w:szCs w:val="14"/>
                <w:color w:val="auto"/>
              </w:rPr>
            </w:pPr>
          </w:p>
        </w:tc>
        <w:tc>
          <w:tcPr>
            <w:tcW w:w="920" w:type="dxa"/>
            <w:vAlign w:val="bottom"/>
            <w:gridSpan w:val="2"/>
            <w:vMerge w:val="restart"/>
          </w:tcPr>
          <w:p>
            <w:pPr>
              <w:ind w:left="5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147</w:t>
            </w:r>
          </w:p>
        </w:tc>
        <w:tc>
          <w:tcPr>
            <w:tcW w:w="0" w:type="dxa"/>
            <w:vAlign w:val="bottom"/>
          </w:tcPr>
          <w:p>
            <w:pPr>
              <w:spacing w:after="0"/>
              <w:rPr>
                <w:sz w:val="1"/>
                <w:szCs w:val="1"/>
                <w:color w:val="auto"/>
              </w:rPr>
            </w:pPr>
          </w:p>
        </w:tc>
      </w:tr>
      <w:tr>
        <w:trPr>
          <w:trHeight w:val="218"/>
        </w:trPr>
        <w:tc>
          <w:tcPr>
            <w:tcW w:w="4120" w:type="dxa"/>
            <w:vAlign w:val="bottom"/>
          </w:tcPr>
          <w:p>
            <w:pPr>
              <w:ind w:left="220"/>
              <w:spacing w:after="0"/>
              <w:rPr>
                <w:sz w:val="20"/>
                <w:szCs w:val="20"/>
                <w:color w:val="auto"/>
              </w:rPr>
            </w:pPr>
            <w:r>
              <w:rPr>
                <w:rFonts w:ascii="Arial" w:cs="Arial" w:eastAsia="Arial" w:hAnsi="Arial"/>
                <w:sz w:val="17"/>
                <w:szCs w:val="17"/>
                <w:color w:val="auto"/>
              </w:rPr>
              <w:t>advisor</w:t>
            </w: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Exercise of stock options</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219"/>
        </w:trPr>
        <w:tc>
          <w:tcPr>
            <w:tcW w:w="4120" w:type="dxa"/>
            <w:vAlign w:val="bottom"/>
          </w:tcPr>
          <w:p>
            <w:pPr>
              <w:ind w:left="220"/>
              <w:spacing w:after="0"/>
              <w:rPr>
                <w:sz w:val="20"/>
                <w:szCs w:val="20"/>
                <w:color w:val="auto"/>
              </w:rPr>
            </w:pPr>
            <w:r>
              <w:rPr>
                <w:rFonts w:ascii="Arial" w:cs="Arial" w:eastAsia="Arial" w:hAnsi="Arial"/>
                <w:sz w:val="17"/>
                <w:szCs w:val="17"/>
                <w:color w:val="auto"/>
                <w:w w:val="94"/>
              </w:rPr>
              <w:t>Cancellation and surrender of restricted common stock</w:t>
            </w:r>
          </w:p>
        </w:tc>
        <w:tc>
          <w:tcPr>
            <w:tcW w:w="11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Stock-based compensation expense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1,148</w:t>
            </w:r>
          </w:p>
        </w:tc>
        <w:tc>
          <w:tcPr>
            <w:tcW w:w="0" w:type="dxa"/>
            <w:vAlign w:val="bottom"/>
          </w:tcPr>
          <w:p>
            <w:pPr>
              <w:spacing w:after="0"/>
              <w:rPr>
                <w:sz w:val="1"/>
                <w:szCs w:val="1"/>
                <w:color w:val="auto"/>
              </w:rPr>
            </w:pPr>
          </w:p>
        </w:tc>
      </w:tr>
      <w:tr>
        <w:trPr>
          <w:trHeight w:val="219"/>
        </w:trPr>
        <w:tc>
          <w:tcPr>
            <w:tcW w:w="4120" w:type="dxa"/>
            <w:vAlign w:val="bottom"/>
          </w:tcPr>
          <w:p>
            <w:pPr>
              <w:ind w:left="220"/>
              <w:spacing w:after="0"/>
              <w:rPr>
                <w:sz w:val="20"/>
                <w:szCs w:val="20"/>
                <w:color w:val="auto"/>
              </w:rPr>
            </w:pPr>
            <w:r>
              <w:rPr>
                <w:rFonts w:ascii="Arial" w:cs="Arial" w:eastAsia="Arial" w:hAnsi="Arial"/>
                <w:sz w:val="17"/>
                <w:szCs w:val="17"/>
                <w:color w:val="auto"/>
              </w:rPr>
              <w:t>Dividends on common stock</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(1,783)</w:t>
            </w: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Treasury stock acquired</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(53,239)</w:t>
            </w:r>
          </w:p>
        </w:tc>
        <w:tc>
          <w:tcPr>
            <w:tcW w:w="0" w:type="dxa"/>
            <w:vAlign w:val="bottom"/>
          </w:tcPr>
          <w:p>
            <w:pPr>
              <w:spacing w:after="0"/>
              <w:rPr>
                <w:sz w:val="1"/>
                <w:szCs w:val="1"/>
                <w:color w:val="auto"/>
              </w:rPr>
            </w:pPr>
          </w:p>
        </w:tc>
      </w:tr>
      <w:tr>
        <w:trPr>
          <w:trHeight w:val="212"/>
        </w:trPr>
        <w:tc>
          <w:tcPr>
            <w:tcW w:w="4120" w:type="dxa"/>
            <w:vAlign w:val="bottom"/>
          </w:tcPr>
          <w:p>
            <w:pPr>
              <w:ind w:left="20"/>
              <w:spacing w:after="0"/>
              <w:rPr>
                <w:sz w:val="20"/>
                <w:szCs w:val="20"/>
                <w:color w:val="auto"/>
              </w:rPr>
            </w:pPr>
            <w:r>
              <w:rPr>
                <w:rFonts w:ascii="Arial" w:cs="Arial" w:eastAsia="Arial" w:hAnsi="Arial"/>
                <w:sz w:val="17"/>
                <w:szCs w:val="17"/>
                <w:b w:val="1"/>
                <w:bCs w:val="1"/>
                <w:color w:val="auto"/>
              </w:rPr>
              <w:t>Balance – September 30, 2021</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16,652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237,681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122,115</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(167,590)</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192,468</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condensed notes are an integral part of these Consolidated Financial Statements.</w:t>
      </w:r>
    </w:p>
    <w:p>
      <w:pPr>
        <w:sectPr>
          <w:pgSz w:w="11900" w:h="16838" w:orient="portrait"/>
          <w:cols w:equalWidth="0" w:num="1">
            <w:col w:w="11240"/>
          </w:cols>
          <w:pgMar w:left="320" w:top="8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82550</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CARRIAGE SERVICES,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CHANGES IN STOCKHOLDERS’ EQUITY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and in thousands)</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41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640" w:type="dxa"/>
            <w:vAlign w:val="bottom"/>
            <w:tcBorders>
              <w:bottom w:val="single" w:sz="8" w:color="auto"/>
            </w:tcBorders>
            <w:gridSpan w:val="9"/>
          </w:tcPr>
          <w:p>
            <w:pPr>
              <w:jc w:val="right"/>
              <w:spacing w:after="0"/>
              <w:rPr>
                <w:sz w:val="20"/>
                <w:szCs w:val="20"/>
                <w:color w:val="auto"/>
              </w:rPr>
            </w:pPr>
            <w:r>
              <w:rPr>
                <w:rFonts w:ascii="Arial" w:cs="Arial" w:eastAsia="Arial" w:hAnsi="Arial"/>
                <w:sz w:val="17"/>
                <w:szCs w:val="17"/>
                <w:b w:val="1"/>
                <w:bCs w:val="1"/>
                <w:color w:val="auto"/>
              </w:rPr>
              <w:t>Nine months ended September 30, 2020</w:t>
            </w: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4120" w:type="dxa"/>
            <w:vAlign w:val="bottom"/>
          </w:tcPr>
          <w:p>
            <w:pPr>
              <w:spacing w:after="0"/>
              <w:rPr>
                <w:sz w:val="10"/>
                <w:szCs w:val="10"/>
                <w:color w:val="auto"/>
              </w:rPr>
            </w:pP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81"/>
              </w:rPr>
              <w:t>Shares</w:t>
            </w:r>
          </w:p>
        </w:tc>
        <w:tc>
          <w:tcPr>
            <w:tcW w:w="200" w:type="dxa"/>
            <w:vAlign w:val="bottom"/>
          </w:tcPr>
          <w:p>
            <w:pPr>
              <w:spacing w:after="0"/>
              <w:rPr>
                <w:sz w:val="10"/>
                <w:szCs w:val="10"/>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4"/>
                <w:szCs w:val="14"/>
                <w:color w:val="auto"/>
                <w:w w:val="91"/>
              </w:rPr>
              <w:t>Common</w:t>
            </w:r>
          </w:p>
        </w:tc>
        <w:tc>
          <w:tcPr>
            <w:tcW w:w="180" w:type="dxa"/>
            <w:vAlign w:val="bottom"/>
          </w:tcPr>
          <w:p>
            <w:pPr>
              <w:spacing w:after="0"/>
              <w:rPr>
                <w:sz w:val="10"/>
                <w:szCs w:val="10"/>
                <w:color w:val="auto"/>
              </w:rPr>
            </w:pPr>
          </w:p>
        </w:tc>
        <w:tc>
          <w:tcPr>
            <w:tcW w:w="1020" w:type="dxa"/>
            <w:vAlign w:val="bottom"/>
            <w:gridSpan w:val="2"/>
          </w:tcPr>
          <w:p>
            <w:pPr>
              <w:jc w:val="center"/>
              <w:ind w:right="300"/>
              <w:spacing w:after="0" w:line="123" w:lineRule="exact"/>
              <w:rPr>
                <w:sz w:val="20"/>
                <w:szCs w:val="20"/>
                <w:color w:val="auto"/>
              </w:rPr>
            </w:pPr>
            <w:r>
              <w:rPr>
                <w:rFonts w:ascii="Arial" w:cs="Arial" w:eastAsia="Arial" w:hAnsi="Arial"/>
                <w:sz w:val="14"/>
                <w:szCs w:val="14"/>
                <w:color w:val="auto"/>
                <w:w w:val="97"/>
              </w:rPr>
              <w:t>Additional</w:t>
            </w:r>
          </w:p>
        </w:tc>
        <w:tc>
          <w:tcPr>
            <w:tcW w:w="200" w:type="dxa"/>
            <w:vAlign w:val="bottom"/>
          </w:tcPr>
          <w:p>
            <w:pPr>
              <w:spacing w:after="0"/>
              <w:rPr>
                <w:sz w:val="10"/>
                <w:szCs w:val="10"/>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color w:val="auto"/>
              </w:rPr>
              <w:t>Retained</w:t>
            </w:r>
          </w:p>
        </w:tc>
        <w:tc>
          <w:tcPr>
            <w:tcW w:w="240" w:type="dxa"/>
            <w:vAlign w:val="bottom"/>
          </w:tcPr>
          <w:p>
            <w:pPr>
              <w:spacing w:after="0"/>
              <w:rPr>
                <w:sz w:val="10"/>
                <w:szCs w:val="10"/>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color w:val="auto"/>
              </w:rPr>
              <w:t>Treasury</w:t>
            </w: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1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300"/>
              <w:spacing w:after="0" w:line="129" w:lineRule="exact"/>
              <w:rPr>
                <w:sz w:val="20"/>
                <w:szCs w:val="20"/>
                <w:color w:val="auto"/>
              </w:rPr>
            </w:pPr>
            <w:r>
              <w:rPr>
                <w:rFonts w:ascii="Arial" w:cs="Arial" w:eastAsia="Arial" w:hAnsi="Arial"/>
                <w:sz w:val="14"/>
                <w:szCs w:val="14"/>
                <w:color w:val="auto"/>
                <w:w w:val="91"/>
              </w:rPr>
              <w:t>Paid-in</w:t>
            </w:r>
          </w:p>
        </w:tc>
        <w:tc>
          <w:tcPr>
            <w:tcW w:w="2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restart"/>
          </w:tcPr>
          <w:p>
            <w:pPr>
              <w:jc w:val="right"/>
              <w:ind w:right="335"/>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8"/>
        </w:trPr>
        <w:tc>
          <w:tcPr>
            <w:tcW w:w="4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Outstanding</w:t>
            </w:r>
          </w:p>
        </w:tc>
        <w:tc>
          <w:tcPr>
            <w:tcW w:w="200" w:type="dxa"/>
            <w:vAlign w:val="bottom"/>
          </w:tcPr>
          <w:p>
            <w:pPr>
              <w:spacing w:after="0"/>
              <w:rPr>
                <w:sz w:val="15"/>
                <w:szCs w:val="15"/>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color w:val="auto"/>
                <w:w w:val="91"/>
              </w:rPr>
              <w:t>Stock</w:t>
            </w:r>
          </w:p>
        </w:tc>
        <w:tc>
          <w:tcPr>
            <w:tcW w:w="18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Capital</w:t>
            </w:r>
          </w:p>
        </w:tc>
        <w:tc>
          <w:tcPr>
            <w:tcW w:w="20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color w:val="auto"/>
              </w:rPr>
              <w:t>Earnings</w:t>
            </w:r>
          </w:p>
        </w:tc>
        <w:tc>
          <w:tcPr>
            <w:tcW w:w="240" w:type="dxa"/>
            <w:vAlign w:val="bottom"/>
          </w:tcPr>
          <w:p>
            <w:pPr>
              <w:spacing w:after="0"/>
              <w:rPr>
                <w:sz w:val="15"/>
                <w:szCs w:val="15"/>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color w:val="auto"/>
              </w:rPr>
              <w:t>Stock</w:t>
            </w:r>
          </w:p>
        </w:tc>
        <w:tc>
          <w:tcPr>
            <w:tcW w:w="2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 December 31, 2019</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17,855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242,147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86,213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w w:val="93"/>
              </w:rPr>
              <w:t>(102,050)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226,569</w:t>
            </w:r>
          </w:p>
        </w:tc>
        <w:tc>
          <w:tcPr>
            <w:tcW w:w="0" w:type="dxa"/>
            <w:vAlign w:val="bottom"/>
          </w:tcPr>
          <w:p>
            <w:pPr>
              <w:spacing w:after="0"/>
              <w:rPr>
                <w:sz w:val="1"/>
                <w:szCs w:val="1"/>
                <w:color w:val="auto"/>
              </w:rPr>
            </w:pPr>
          </w:p>
        </w:tc>
      </w:tr>
      <w:tr>
        <w:trPr>
          <w:trHeight w:val="219"/>
        </w:trPr>
        <w:tc>
          <w:tcPr>
            <w:tcW w:w="4120" w:type="dxa"/>
            <w:vAlign w:val="bottom"/>
          </w:tcPr>
          <w:p>
            <w:pPr>
              <w:ind w:left="200"/>
              <w:spacing w:after="0"/>
              <w:rPr>
                <w:sz w:val="20"/>
                <w:szCs w:val="20"/>
                <w:color w:val="auto"/>
              </w:rPr>
            </w:pPr>
            <w:r>
              <w:rPr>
                <w:rFonts w:ascii="Arial" w:cs="Arial" w:eastAsia="Arial" w:hAnsi="Arial"/>
                <w:sz w:val="17"/>
                <w:szCs w:val="17"/>
                <w:color w:val="auto"/>
              </w:rPr>
              <w:t>Net income</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7,725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ind w:left="6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7,725</w:t>
            </w:r>
          </w:p>
        </w:tc>
        <w:tc>
          <w:tcPr>
            <w:tcW w:w="0" w:type="dxa"/>
            <w:vAlign w:val="bottom"/>
          </w:tcPr>
          <w:p>
            <w:pPr>
              <w:spacing w:after="0"/>
              <w:rPr>
                <w:sz w:val="1"/>
                <w:szCs w:val="1"/>
                <w:color w:val="auto"/>
              </w:rPr>
            </w:pPr>
          </w:p>
        </w:tc>
      </w:tr>
      <w:tr>
        <w:trPr>
          <w:trHeight w:val="169"/>
        </w:trPr>
        <w:tc>
          <w:tcPr>
            <w:tcW w:w="4120" w:type="dxa"/>
            <w:vAlign w:val="bottom"/>
            <w:shd w:val="clear" w:color="auto" w:fill="CCEEFF"/>
          </w:tcPr>
          <w:p>
            <w:pPr>
              <w:ind w:left="200"/>
              <w:spacing w:after="0" w:line="169" w:lineRule="exact"/>
              <w:rPr>
                <w:sz w:val="20"/>
                <w:szCs w:val="20"/>
                <w:color w:val="auto"/>
              </w:rPr>
            </w:pPr>
            <w:r>
              <w:rPr>
                <w:rFonts w:ascii="Arial" w:cs="Arial" w:eastAsia="Arial" w:hAnsi="Arial"/>
                <w:sz w:val="17"/>
                <w:szCs w:val="17"/>
                <w:color w:val="auto"/>
              </w:rPr>
              <w:t>Issuance of common stock from employee stock</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920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921</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purchase plan</w:t>
            </w: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4120" w:type="dxa"/>
            <w:vAlign w:val="bottom"/>
          </w:tcPr>
          <w:p>
            <w:pPr>
              <w:ind w:left="200"/>
              <w:spacing w:after="0" w:line="168" w:lineRule="exact"/>
              <w:rPr>
                <w:sz w:val="20"/>
                <w:szCs w:val="20"/>
                <w:color w:val="auto"/>
              </w:rPr>
            </w:pPr>
            <w:r>
              <w:rPr>
                <w:rFonts w:ascii="Arial" w:cs="Arial" w:eastAsia="Arial" w:hAnsi="Arial"/>
                <w:sz w:val="17"/>
                <w:szCs w:val="17"/>
                <w:color w:val="auto"/>
              </w:rPr>
              <w:t>Issuance of common stock to directors and board</w:t>
            </w: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492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4"/>
                <w:szCs w:val="14"/>
                <w:color w:val="auto"/>
              </w:rPr>
            </w:pPr>
          </w:p>
        </w:tc>
        <w:tc>
          <w:tcPr>
            <w:tcW w:w="960" w:type="dxa"/>
            <w:vAlign w:val="bottom"/>
            <w:gridSpan w:val="2"/>
            <w:vMerge w:val="restart"/>
          </w:tcPr>
          <w:p>
            <w:pPr>
              <w:ind w:left="6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492</w:t>
            </w:r>
          </w:p>
        </w:tc>
        <w:tc>
          <w:tcPr>
            <w:tcW w:w="0" w:type="dxa"/>
            <w:vAlign w:val="bottom"/>
          </w:tcPr>
          <w:p>
            <w:pPr>
              <w:spacing w:after="0"/>
              <w:rPr>
                <w:sz w:val="1"/>
                <w:szCs w:val="1"/>
                <w:color w:val="auto"/>
              </w:rPr>
            </w:pPr>
          </w:p>
        </w:tc>
      </w:tr>
      <w:tr>
        <w:trPr>
          <w:trHeight w:val="218"/>
        </w:trPr>
        <w:tc>
          <w:tcPr>
            <w:tcW w:w="4120" w:type="dxa"/>
            <w:vAlign w:val="bottom"/>
          </w:tcPr>
          <w:p>
            <w:pPr>
              <w:ind w:left="200"/>
              <w:spacing w:after="0"/>
              <w:rPr>
                <w:sz w:val="20"/>
                <w:szCs w:val="20"/>
                <w:color w:val="auto"/>
              </w:rPr>
            </w:pPr>
            <w:r>
              <w:rPr>
                <w:rFonts w:ascii="Arial" w:cs="Arial" w:eastAsia="Arial" w:hAnsi="Arial"/>
                <w:sz w:val="17"/>
                <w:szCs w:val="17"/>
                <w:color w:val="auto"/>
              </w:rPr>
              <w:t>advisor</w:t>
            </w: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Issuance of restricted common stock</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4120" w:type="dxa"/>
            <w:vAlign w:val="bottom"/>
          </w:tcPr>
          <w:p>
            <w:pPr>
              <w:ind w:left="200"/>
              <w:spacing w:after="0"/>
              <w:rPr>
                <w:sz w:val="20"/>
                <w:szCs w:val="20"/>
                <w:color w:val="auto"/>
              </w:rPr>
            </w:pPr>
            <w:r>
              <w:rPr>
                <w:rFonts w:ascii="Arial" w:cs="Arial" w:eastAsia="Arial" w:hAnsi="Arial"/>
                <w:sz w:val="17"/>
                <w:szCs w:val="17"/>
                <w:color w:val="auto"/>
              </w:rPr>
              <w:t>Exercise of stock options</w:t>
            </w:r>
          </w:p>
        </w:tc>
        <w:tc>
          <w:tcPr>
            <w:tcW w:w="110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60" w:type="dxa"/>
            <w:vAlign w:val="bottom"/>
            <w:gridSpan w:val="2"/>
          </w:tcPr>
          <w:p>
            <w:pPr>
              <w:ind w:left="6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4"/>
              </w:rPr>
              <w:t>Cancellation and surrender of restricted common stock</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219"/>
        </w:trPr>
        <w:tc>
          <w:tcPr>
            <w:tcW w:w="4120" w:type="dxa"/>
            <w:vAlign w:val="bottom"/>
          </w:tcPr>
          <w:p>
            <w:pPr>
              <w:ind w:left="200"/>
              <w:spacing w:after="0"/>
              <w:rPr>
                <w:sz w:val="20"/>
                <w:szCs w:val="20"/>
                <w:color w:val="auto"/>
              </w:rPr>
            </w:pPr>
            <w:r>
              <w:rPr>
                <w:rFonts w:ascii="Arial" w:cs="Arial" w:eastAsia="Arial" w:hAnsi="Arial"/>
                <w:sz w:val="17"/>
                <w:szCs w:val="17"/>
                <w:color w:val="auto"/>
              </w:rPr>
              <w:t>Stock-based compensation expense</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60" w:type="dxa"/>
            <w:vAlign w:val="bottom"/>
            <w:gridSpan w:val="2"/>
          </w:tcPr>
          <w:p>
            <w:pPr>
              <w:ind w:left="6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1,981</w:t>
            </w: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Dividends on common stock</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(4,251)</w:t>
            </w:r>
          </w:p>
        </w:tc>
        <w:tc>
          <w:tcPr>
            <w:tcW w:w="0" w:type="dxa"/>
            <w:vAlign w:val="bottom"/>
          </w:tcPr>
          <w:p>
            <w:pPr>
              <w:spacing w:after="0"/>
              <w:rPr>
                <w:sz w:val="1"/>
                <w:szCs w:val="1"/>
                <w:color w:val="auto"/>
              </w:rPr>
            </w:pPr>
          </w:p>
        </w:tc>
      </w:tr>
      <w:tr>
        <w:trPr>
          <w:trHeight w:val="219"/>
        </w:trPr>
        <w:tc>
          <w:tcPr>
            <w:tcW w:w="4120" w:type="dxa"/>
            <w:vAlign w:val="bottom"/>
          </w:tcPr>
          <w:p>
            <w:pPr>
              <w:ind w:left="200"/>
              <w:spacing w:after="0"/>
              <w:rPr>
                <w:sz w:val="20"/>
                <w:szCs w:val="20"/>
                <w:color w:val="auto"/>
              </w:rPr>
            </w:pPr>
            <w:r>
              <w:rPr>
                <w:rFonts w:ascii="Arial" w:cs="Arial" w:eastAsia="Arial" w:hAnsi="Arial"/>
                <w:sz w:val="17"/>
                <w:szCs w:val="17"/>
                <w:color w:val="auto"/>
              </w:rPr>
              <w:t>Convertible notes exchange</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60" w:type="dxa"/>
            <w:vAlign w:val="bottom"/>
            <w:gridSpan w:val="2"/>
          </w:tcPr>
          <w:p>
            <w:pPr>
              <w:ind w:left="6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(828)</w:t>
            </w: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w:t>
            </w:r>
          </w:p>
        </w:tc>
        <w:tc>
          <w:tcPr>
            <w:tcW w:w="0" w:type="dxa"/>
            <w:vAlign w:val="bottom"/>
          </w:tcPr>
          <w:p>
            <w:pPr>
              <w:spacing w:after="0"/>
              <w:rPr>
                <w:sz w:val="1"/>
                <w:szCs w:val="1"/>
                <w:color w:val="auto"/>
              </w:rPr>
            </w:pPr>
          </w:p>
        </w:tc>
      </w:tr>
      <w:tr>
        <w:trPr>
          <w:trHeight w:val="212"/>
        </w:trPr>
        <w:tc>
          <w:tcPr>
            <w:tcW w:w="4120" w:type="dxa"/>
            <w:vAlign w:val="bottom"/>
          </w:tcPr>
          <w:p>
            <w:pPr>
              <w:ind w:left="20"/>
              <w:spacing w:after="0"/>
              <w:rPr>
                <w:sz w:val="20"/>
                <w:szCs w:val="20"/>
                <w:color w:val="auto"/>
              </w:rPr>
            </w:pPr>
            <w:r>
              <w:rPr>
                <w:rFonts w:ascii="Arial" w:cs="Arial" w:eastAsia="Arial" w:hAnsi="Arial"/>
                <w:sz w:val="17"/>
                <w:szCs w:val="17"/>
                <w:b w:val="1"/>
                <w:bCs w:val="1"/>
                <w:color w:val="auto"/>
              </w:rPr>
              <w:t>Balance – September 30, 2020</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17,970</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240,648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93,938</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7"/>
                <w:szCs w:val="17"/>
                <w:color w:val="auto"/>
                <w:w w:val="93"/>
              </w:rPr>
              <w:t>(102,050)</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232,796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1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gridSpan w:val="9"/>
          </w:tcPr>
          <w:p>
            <w:pPr>
              <w:jc w:val="right"/>
              <w:spacing w:after="0"/>
              <w:rPr>
                <w:sz w:val="20"/>
                <w:szCs w:val="20"/>
                <w:color w:val="auto"/>
              </w:rPr>
            </w:pPr>
            <w:r>
              <w:rPr>
                <w:rFonts w:ascii="Arial" w:cs="Arial" w:eastAsia="Arial" w:hAnsi="Arial"/>
                <w:sz w:val="17"/>
                <w:szCs w:val="17"/>
                <w:b w:val="1"/>
                <w:bCs w:val="1"/>
                <w:color w:val="auto"/>
              </w:rPr>
              <w:t>Nine months ended September 30, 2021</w:t>
            </w: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4120" w:type="dxa"/>
            <w:vAlign w:val="bottom"/>
          </w:tcPr>
          <w:p>
            <w:pPr>
              <w:spacing w:after="0"/>
              <w:rPr>
                <w:sz w:val="10"/>
                <w:szCs w:val="10"/>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85"/>
              </w:rPr>
              <w:t>Shares</w:t>
            </w:r>
          </w:p>
        </w:tc>
        <w:tc>
          <w:tcPr>
            <w:tcW w:w="200" w:type="dxa"/>
            <w:vAlign w:val="bottom"/>
          </w:tcPr>
          <w:p>
            <w:pPr>
              <w:spacing w:after="0"/>
              <w:rPr>
                <w:sz w:val="10"/>
                <w:szCs w:val="10"/>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w w:val="87"/>
              </w:rPr>
              <w:t>Common</w:t>
            </w:r>
          </w:p>
        </w:tc>
        <w:tc>
          <w:tcPr>
            <w:tcW w:w="180" w:type="dxa"/>
            <w:vAlign w:val="bottom"/>
          </w:tcPr>
          <w:p>
            <w:pPr>
              <w:spacing w:after="0"/>
              <w:rPr>
                <w:sz w:val="10"/>
                <w:szCs w:val="10"/>
                <w:color w:val="auto"/>
              </w:rPr>
            </w:pPr>
          </w:p>
        </w:tc>
        <w:tc>
          <w:tcPr>
            <w:tcW w:w="1020" w:type="dxa"/>
            <w:vAlign w:val="bottom"/>
            <w:gridSpan w:val="2"/>
          </w:tcPr>
          <w:p>
            <w:pPr>
              <w:jc w:val="center"/>
              <w:ind w:right="280"/>
              <w:spacing w:after="0" w:line="123" w:lineRule="exact"/>
              <w:rPr>
                <w:sz w:val="20"/>
                <w:szCs w:val="20"/>
                <w:color w:val="auto"/>
              </w:rPr>
            </w:pPr>
            <w:r>
              <w:rPr>
                <w:rFonts w:ascii="Arial" w:cs="Arial" w:eastAsia="Arial" w:hAnsi="Arial"/>
                <w:sz w:val="14"/>
                <w:szCs w:val="14"/>
                <w:color w:val="auto"/>
                <w:w w:val="94"/>
              </w:rPr>
              <w:t>Additional</w:t>
            </w:r>
          </w:p>
        </w:tc>
        <w:tc>
          <w:tcPr>
            <w:tcW w:w="200" w:type="dxa"/>
            <w:vAlign w:val="bottom"/>
          </w:tcPr>
          <w:p>
            <w:pPr>
              <w:spacing w:after="0"/>
              <w:rPr>
                <w:sz w:val="10"/>
                <w:szCs w:val="10"/>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color w:val="auto"/>
              </w:rPr>
              <w:t>Retained</w:t>
            </w:r>
          </w:p>
        </w:tc>
        <w:tc>
          <w:tcPr>
            <w:tcW w:w="260" w:type="dxa"/>
            <w:vAlign w:val="bottom"/>
          </w:tcPr>
          <w:p>
            <w:pPr>
              <w:spacing w:after="0"/>
              <w:rPr>
                <w:sz w:val="10"/>
                <w:szCs w:val="10"/>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color w:val="auto"/>
              </w:rPr>
              <w:t>Treasury</w:t>
            </w: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1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280"/>
              <w:spacing w:after="0" w:line="129" w:lineRule="exact"/>
              <w:rPr>
                <w:sz w:val="20"/>
                <w:szCs w:val="20"/>
                <w:color w:val="auto"/>
              </w:rPr>
            </w:pPr>
            <w:r>
              <w:rPr>
                <w:rFonts w:ascii="Arial" w:cs="Arial" w:eastAsia="Arial" w:hAnsi="Arial"/>
                <w:sz w:val="14"/>
                <w:szCs w:val="14"/>
                <w:color w:val="auto"/>
                <w:w w:val="87"/>
              </w:rPr>
              <w:t>Paid-in</w:t>
            </w:r>
          </w:p>
        </w:tc>
        <w:tc>
          <w:tcPr>
            <w:tcW w:w="2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vMerge w:val="restart"/>
          </w:tcPr>
          <w:p>
            <w:pPr>
              <w:jc w:val="right"/>
              <w:ind w:right="315"/>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8"/>
        </w:trPr>
        <w:tc>
          <w:tcPr>
            <w:tcW w:w="4120" w:type="dxa"/>
            <w:vAlign w:val="bottom"/>
          </w:tcPr>
          <w:p>
            <w:pPr>
              <w:spacing w:after="0"/>
              <w:rPr>
                <w:sz w:val="15"/>
                <w:szCs w:val="15"/>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Outstanding</w:t>
            </w:r>
          </w:p>
        </w:tc>
        <w:tc>
          <w:tcPr>
            <w:tcW w:w="20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color w:val="auto"/>
                <w:w w:val="85"/>
              </w:rPr>
              <w:t>Stock</w:t>
            </w:r>
          </w:p>
        </w:tc>
        <w:tc>
          <w:tcPr>
            <w:tcW w:w="18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color w:val="auto"/>
                <w:w w:val="87"/>
              </w:rPr>
              <w:t>Capital</w:t>
            </w:r>
          </w:p>
        </w:tc>
        <w:tc>
          <w:tcPr>
            <w:tcW w:w="20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color w:val="auto"/>
              </w:rPr>
              <w:t>Earnings</w:t>
            </w:r>
          </w:p>
        </w:tc>
        <w:tc>
          <w:tcPr>
            <w:tcW w:w="260" w:type="dxa"/>
            <w:vAlign w:val="bottom"/>
          </w:tcPr>
          <w:p>
            <w:pPr>
              <w:spacing w:after="0"/>
              <w:rPr>
                <w:sz w:val="15"/>
                <w:szCs w:val="15"/>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Stock</w:t>
            </w:r>
          </w:p>
        </w:tc>
        <w:tc>
          <w:tcPr>
            <w:tcW w:w="2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 December 31, 2020</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17,995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239,989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102,303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(102,050)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240,502</w:t>
            </w:r>
          </w:p>
        </w:tc>
        <w:tc>
          <w:tcPr>
            <w:tcW w:w="0" w:type="dxa"/>
            <w:vAlign w:val="bottom"/>
          </w:tcPr>
          <w:p>
            <w:pPr>
              <w:spacing w:after="0"/>
              <w:rPr>
                <w:sz w:val="1"/>
                <w:szCs w:val="1"/>
                <w:color w:val="auto"/>
              </w:rPr>
            </w:pPr>
          </w:p>
        </w:tc>
      </w:tr>
      <w:tr>
        <w:trPr>
          <w:trHeight w:val="219"/>
        </w:trPr>
        <w:tc>
          <w:tcPr>
            <w:tcW w:w="4120" w:type="dxa"/>
            <w:vAlign w:val="bottom"/>
          </w:tcPr>
          <w:p>
            <w:pPr>
              <w:ind w:left="220"/>
              <w:spacing w:after="0"/>
              <w:rPr>
                <w:sz w:val="20"/>
                <w:szCs w:val="20"/>
                <w:color w:val="auto"/>
              </w:rPr>
            </w:pPr>
            <w:r>
              <w:rPr>
                <w:rFonts w:ascii="Arial" w:cs="Arial" w:eastAsia="Arial" w:hAnsi="Arial"/>
                <w:sz w:val="17"/>
                <w:szCs w:val="17"/>
                <w:color w:val="auto"/>
              </w:rPr>
              <w:t>Net income</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19,812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19,812</w:t>
            </w:r>
          </w:p>
        </w:tc>
        <w:tc>
          <w:tcPr>
            <w:tcW w:w="0" w:type="dxa"/>
            <w:vAlign w:val="bottom"/>
          </w:tcPr>
          <w:p>
            <w:pPr>
              <w:spacing w:after="0"/>
              <w:rPr>
                <w:sz w:val="1"/>
                <w:szCs w:val="1"/>
                <w:color w:val="auto"/>
              </w:rPr>
            </w:pPr>
          </w:p>
        </w:tc>
      </w:tr>
      <w:tr>
        <w:trPr>
          <w:trHeight w:val="169"/>
        </w:trPr>
        <w:tc>
          <w:tcPr>
            <w:tcW w:w="4120" w:type="dxa"/>
            <w:vAlign w:val="bottom"/>
            <w:shd w:val="clear" w:color="auto" w:fill="CCEEFF"/>
          </w:tcPr>
          <w:p>
            <w:pPr>
              <w:ind w:left="220"/>
              <w:spacing w:after="0" w:line="169" w:lineRule="exact"/>
              <w:rPr>
                <w:sz w:val="20"/>
                <w:szCs w:val="20"/>
                <w:color w:val="auto"/>
              </w:rPr>
            </w:pPr>
            <w:r>
              <w:rPr>
                <w:rFonts w:ascii="Arial" w:cs="Arial" w:eastAsia="Arial" w:hAnsi="Arial"/>
                <w:sz w:val="17"/>
                <w:szCs w:val="17"/>
                <w:color w:val="auto"/>
              </w:rPr>
              <w:t>Issuance of common stock from employee stock</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1,227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1,228</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purchase plan</w:t>
            </w: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4120" w:type="dxa"/>
            <w:vAlign w:val="bottom"/>
          </w:tcPr>
          <w:p>
            <w:pPr>
              <w:ind w:left="220"/>
              <w:spacing w:after="0" w:line="168" w:lineRule="exact"/>
              <w:rPr>
                <w:sz w:val="20"/>
                <w:szCs w:val="20"/>
                <w:color w:val="auto"/>
              </w:rPr>
            </w:pPr>
            <w:r>
              <w:rPr>
                <w:rFonts w:ascii="Arial" w:cs="Arial" w:eastAsia="Arial" w:hAnsi="Arial"/>
                <w:sz w:val="17"/>
                <w:szCs w:val="17"/>
                <w:color w:val="auto"/>
              </w:rPr>
              <w:t>Issuance of common stock to directors and board</w:t>
            </w: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495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4"/>
                <w:szCs w:val="14"/>
                <w:color w:val="auto"/>
              </w:rPr>
            </w:pPr>
          </w:p>
        </w:tc>
        <w:tc>
          <w:tcPr>
            <w:tcW w:w="940" w:type="dxa"/>
            <w:vAlign w:val="bottom"/>
            <w:gridSpan w:val="2"/>
            <w:vMerge w:val="restart"/>
          </w:tcPr>
          <w:p>
            <w:pPr>
              <w:ind w:left="6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495</w:t>
            </w:r>
          </w:p>
        </w:tc>
        <w:tc>
          <w:tcPr>
            <w:tcW w:w="0" w:type="dxa"/>
            <w:vAlign w:val="bottom"/>
          </w:tcPr>
          <w:p>
            <w:pPr>
              <w:spacing w:after="0"/>
              <w:rPr>
                <w:sz w:val="1"/>
                <w:szCs w:val="1"/>
                <w:color w:val="auto"/>
              </w:rPr>
            </w:pPr>
          </w:p>
        </w:tc>
      </w:tr>
      <w:tr>
        <w:trPr>
          <w:trHeight w:val="218"/>
        </w:trPr>
        <w:tc>
          <w:tcPr>
            <w:tcW w:w="4120" w:type="dxa"/>
            <w:vAlign w:val="bottom"/>
          </w:tcPr>
          <w:p>
            <w:pPr>
              <w:ind w:left="220"/>
              <w:spacing w:after="0"/>
              <w:rPr>
                <w:sz w:val="20"/>
                <w:szCs w:val="20"/>
                <w:color w:val="auto"/>
              </w:rPr>
            </w:pPr>
            <w:r>
              <w:rPr>
                <w:rFonts w:ascii="Arial" w:cs="Arial" w:eastAsia="Arial" w:hAnsi="Arial"/>
                <w:sz w:val="17"/>
                <w:szCs w:val="17"/>
                <w:color w:val="auto"/>
              </w:rPr>
              <w:t>advisor</w:t>
            </w: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Issuance of restricted common stock</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4120" w:type="dxa"/>
            <w:vAlign w:val="bottom"/>
          </w:tcPr>
          <w:p>
            <w:pPr>
              <w:ind w:left="220"/>
              <w:spacing w:after="0"/>
              <w:rPr>
                <w:sz w:val="20"/>
                <w:szCs w:val="20"/>
                <w:color w:val="auto"/>
              </w:rPr>
            </w:pPr>
            <w:r>
              <w:rPr>
                <w:rFonts w:ascii="Arial" w:cs="Arial" w:eastAsia="Arial" w:hAnsi="Arial"/>
                <w:sz w:val="17"/>
                <w:szCs w:val="17"/>
                <w:color w:val="auto"/>
              </w:rPr>
              <w:t>Exercise of stock options</w:t>
            </w:r>
          </w:p>
        </w:tc>
        <w:tc>
          <w:tcPr>
            <w:tcW w:w="1100" w:type="dxa"/>
            <w:vAlign w:val="bottom"/>
          </w:tcPr>
          <w:p>
            <w:pPr>
              <w:jc w:val="right"/>
              <w:spacing w:after="0"/>
              <w:rPr>
                <w:sz w:val="20"/>
                <w:szCs w:val="20"/>
                <w:color w:val="auto"/>
              </w:rPr>
            </w:pPr>
            <w:r>
              <w:rPr>
                <w:rFonts w:ascii="Arial" w:cs="Arial" w:eastAsia="Arial" w:hAnsi="Arial"/>
                <w:sz w:val="17"/>
                <w:szCs w:val="17"/>
                <w:color w:val="auto"/>
              </w:rPr>
              <w:t>127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(177)</w:t>
            </w: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4"/>
              </w:rPr>
              <w:t>Cancellation and surrender of restricted common stock</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0" w:type="dxa"/>
            <w:vAlign w:val="bottom"/>
          </w:tcPr>
          <w:p>
            <w:pPr>
              <w:spacing w:after="0"/>
              <w:rPr>
                <w:sz w:val="1"/>
                <w:szCs w:val="1"/>
                <w:color w:val="auto"/>
              </w:rPr>
            </w:pPr>
          </w:p>
        </w:tc>
      </w:tr>
      <w:tr>
        <w:trPr>
          <w:trHeight w:val="219"/>
        </w:trPr>
        <w:tc>
          <w:tcPr>
            <w:tcW w:w="4120" w:type="dxa"/>
            <w:vAlign w:val="bottom"/>
          </w:tcPr>
          <w:p>
            <w:pPr>
              <w:ind w:left="220"/>
              <w:spacing w:after="0"/>
              <w:rPr>
                <w:sz w:val="20"/>
                <w:szCs w:val="20"/>
                <w:color w:val="auto"/>
              </w:rPr>
            </w:pPr>
            <w:r>
              <w:rPr>
                <w:rFonts w:ascii="Arial" w:cs="Arial" w:eastAsia="Arial" w:hAnsi="Arial"/>
                <w:sz w:val="17"/>
                <w:szCs w:val="17"/>
                <w:color w:val="auto"/>
              </w:rPr>
              <w:t>Stock-based compensation expense</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3,337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3,337</w:t>
            </w: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Dividends on common stock</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(5,390)</w:t>
            </w:r>
          </w:p>
        </w:tc>
        <w:tc>
          <w:tcPr>
            <w:tcW w:w="0" w:type="dxa"/>
            <w:vAlign w:val="bottom"/>
          </w:tcPr>
          <w:p>
            <w:pPr>
              <w:spacing w:after="0"/>
              <w:rPr>
                <w:sz w:val="1"/>
                <w:szCs w:val="1"/>
                <w:color w:val="auto"/>
              </w:rPr>
            </w:pPr>
          </w:p>
        </w:tc>
      </w:tr>
      <w:tr>
        <w:trPr>
          <w:trHeight w:val="219"/>
        </w:trPr>
        <w:tc>
          <w:tcPr>
            <w:tcW w:w="4120" w:type="dxa"/>
            <w:vAlign w:val="bottom"/>
          </w:tcPr>
          <w:p>
            <w:pPr>
              <w:ind w:left="220"/>
              <w:spacing w:after="0"/>
              <w:rPr>
                <w:sz w:val="20"/>
                <w:szCs w:val="20"/>
                <w:color w:val="auto"/>
              </w:rPr>
            </w:pPr>
            <w:r>
              <w:rPr>
                <w:rFonts w:ascii="Arial" w:cs="Arial" w:eastAsia="Arial" w:hAnsi="Arial"/>
                <w:sz w:val="17"/>
                <w:szCs w:val="17"/>
                <w:color w:val="auto"/>
              </w:rPr>
              <w:t>Convertible notes conversions</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(1,424)</w:t>
            </w: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Treasury stock acquired</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(65,540)</w:t>
            </w:r>
          </w:p>
        </w:tc>
        <w:tc>
          <w:tcPr>
            <w:tcW w:w="0" w:type="dxa"/>
            <w:vAlign w:val="bottom"/>
          </w:tcPr>
          <w:p>
            <w:pPr>
              <w:spacing w:after="0"/>
              <w:rPr>
                <w:sz w:val="1"/>
                <w:szCs w:val="1"/>
                <w:color w:val="auto"/>
              </w:rPr>
            </w:pPr>
          </w:p>
        </w:tc>
      </w:tr>
      <w:tr>
        <w:trPr>
          <w:trHeight w:val="212"/>
        </w:trPr>
        <w:tc>
          <w:tcPr>
            <w:tcW w:w="4120" w:type="dxa"/>
            <w:vAlign w:val="bottom"/>
          </w:tcPr>
          <w:p>
            <w:pPr>
              <w:ind w:left="20"/>
              <w:spacing w:after="0"/>
              <w:rPr>
                <w:sz w:val="20"/>
                <w:szCs w:val="20"/>
                <w:color w:val="auto"/>
              </w:rPr>
            </w:pPr>
            <w:r>
              <w:rPr>
                <w:rFonts w:ascii="Arial" w:cs="Arial" w:eastAsia="Arial" w:hAnsi="Arial"/>
                <w:sz w:val="17"/>
                <w:szCs w:val="17"/>
                <w:b w:val="1"/>
                <w:bCs w:val="1"/>
                <w:color w:val="auto"/>
              </w:rPr>
              <w:t>Balance – September 30, 2021</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16,652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237,681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122,115</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(167,590)</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192,468</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1" w:right="339" w:bottom="1440" w:gutter="0" w:footer="0" w:header="0"/>
        </w:sectPr>
      </w:pPr>
    </w:p>
    <w:bookmarkStart w:id="7" w:name="page8"/>
    <w:bookmarkEnd w:id="7"/>
    <w:p>
      <w:pPr>
        <w:ind w:left="4480"/>
        <w:spacing w:after="0"/>
        <w:rPr>
          <w:sz w:val="20"/>
          <w:szCs w:val="20"/>
          <w:color w:val="auto"/>
        </w:rPr>
      </w:pPr>
      <w:r>
        <w:rPr>
          <w:rFonts w:ascii="Arial" w:cs="Arial" w:eastAsia="Arial" w:hAnsi="Arial"/>
          <w:sz w:val="17"/>
          <w:szCs w:val="17"/>
          <w:b w:val="1"/>
          <w:bCs w:val="1"/>
          <w:color w:val="auto"/>
        </w:rPr>
        <w:t>CARRIAGE SERVICES, INC.</w:t>
      </w:r>
    </w:p>
    <w:p>
      <w:pPr>
        <w:spacing w:after="0" w:line="166"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CONDENSED 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52" w:lineRule="exact"/>
        <w:rPr>
          <w:sz w:val="20"/>
          <w:szCs w:val="20"/>
          <w:color w:val="auto"/>
        </w:rPr>
      </w:pPr>
    </w:p>
    <w:p>
      <w:pPr>
        <w:ind w:left="620" w:hanging="617"/>
        <w:spacing w:after="0"/>
        <w:tabs>
          <w:tab w:leader="none" w:pos="62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BASIS OF PRESENTATION AND SUMMARY OF SIGNIFICANT ACCOUNTING POLICIES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Company</w:t>
      </w:r>
    </w:p>
    <w:p>
      <w:pPr>
        <w:spacing w:after="0" w:line="114"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Carriage Services, Inc. (“Carriage,” the “Company,” “we,” “us,” or “our”) is a leading provider of funeral and cemetery services and merchandise in the United States. Our operations are reported in two business segments: Funeral Home Operations, which currently account for approximately 70% of our revenue and Cemetery Operations, which currently account for approximately 30% of our revenue. At September 30, 2021, we operated 171 funeral homes in 26 states and 32 cemeteries in 12 states.</w:t>
      </w:r>
    </w:p>
    <w:p>
      <w:pPr>
        <w:spacing w:after="0" w:line="76"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Our funeral home operations are principally service businesses that generate revenue from sales of burial and cremation services and related merchandise, such as caskets and urns. Funeral services include consultation, the removal and preparation of remains, the use of funeral home facilities for visitation and memorial services and transportation services. We provide funeral services and products on both an “atneed” (time of death) and “preneed” (planned prior to death) basis.</w:t>
      </w:r>
    </w:p>
    <w:p>
      <w:pPr>
        <w:spacing w:after="0" w:line="76"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Our cemetery operations generate revenue primarily through sales of cemetery interment rights (primarily grave sites, lawn crypts, mausoleum spaces and niches), related cemetery merchandise (such as memorial markers, outer burial containers and monuments) and services (interments, inurnments and installation of cemetery merchandise). We provide cemetery services and products on both an atneed and preneed basis.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Principles of Consolidation and Interim Condensed Disclosures</w:t>
      </w:r>
    </w:p>
    <w:p>
      <w:pPr>
        <w:spacing w:after="0" w:line="114"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Our unaudited consolidated financial statements include the Company and its subsidiaries. All intercompany balances and transactions have been eliminated. Our interim consolidated financial statements are unaudited but include all adjustments, which consist of normal, recurring accruals, that are necessary for a fair presentation of our financial position and results of operations as of and for the interim periods presented. Our unaudited consolidated financial statements have been prepared in a manner consistent with the accounting principles described in our Annual Report on Form 10-K for the year ended December 31, 2020 unless otherwise disclosed herein, and should be read in conjunction therewith.</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Reclassifications</w:t>
      </w:r>
    </w:p>
    <w:p>
      <w:pPr>
        <w:spacing w:after="0" w:line="114"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Certain reclassifications have been made to prior period amounts on our Consolidated Statements of Cash Flows related to the amortization of our intangible assets, debt and debt issuance costs to conform to the current period financial statement presentation with no effect on our previously reported Consolidated Statements of Operations and Consolidated Balance Sheet.</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Use of Estimates</w:t>
      </w:r>
    </w:p>
    <w:p>
      <w:pPr>
        <w:spacing w:after="0" w:line="114" w:lineRule="exact"/>
        <w:rPr>
          <w:sz w:val="20"/>
          <w:szCs w:val="20"/>
          <w:color w:val="auto"/>
        </w:rPr>
      </w:pPr>
    </w:p>
    <w:p>
      <w:pPr>
        <w:jc w:val="both"/>
        <w:ind w:firstLine="387"/>
        <w:spacing w:after="0" w:line="297" w:lineRule="auto"/>
        <w:rPr>
          <w:sz w:val="20"/>
          <w:szCs w:val="20"/>
          <w:color w:val="auto"/>
        </w:rPr>
      </w:pPr>
      <w:r>
        <w:rPr>
          <w:rFonts w:ascii="Arial" w:cs="Arial" w:eastAsia="Arial" w:hAnsi="Arial"/>
          <w:sz w:val="15"/>
          <w:szCs w:val="15"/>
          <w:color w:val="auto"/>
        </w:rPr>
        <w:t>The preparation of our Consolidated Financial Statements requires us to make estimates and judgments that affect the reported amounts of assets, liabilities, revenue and expenses. On an ongoing basis, we evaluate our estimates and judgments, which include those related to the realization of our accounts receivable, valuation of goodwill, intangible assets, deferred tax assets and liabilities and depreciation of property and equipment. We base our estimates on historical experience, third-party data and assumptions that we believe to be reasonable under the circumstances. The results of these considerations form the basis for making judgments about the amount and timing of revenue and expenses, the carrying value of assets and the recorded amounts of liabilities. Actual results may differ from these estimates and such estimates may change if the underlying conditions or assumptions change. Historical performance should not be viewed as indicative of future performance, as there can be no assurance that our results of operations will be consistent from year to year.</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and Cash Equivalents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consider all highly liquid investments purchased with an original maturity of three months or less to be cash equivalents.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Funeral and Cemetery Receivables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Our funeral receivables are recorded in </w:t>
      </w:r>
      <w:r>
        <w:rPr>
          <w:rFonts w:ascii="Arial" w:cs="Arial" w:eastAsia="Arial" w:hAnsi="Arial"/>
          <w:sz w:val="17"/>
          <w:szCs w:val="17"/>
          <w:i w:val="1"/>
          <w:iCs w:val="1"/>
          <w:color w:val="auto"/>
        </w:rPr>
        <w:t>Accounts receivable, net</w:t>
      </w:r>
      <w:r>
        <w:rPr>
          <w:rFonts w:ascii="Arial" w:cs="Arial" w:eastAsia="Arial" w:hAnsi="Arial"/>
          <w:sz w:val="17"/>
          <w:szCs w:val="17"/>
          <w:color w:val="auto"/>
        </w:rPr>
        <w:t xml:space="preserve"> and primarily consist of amounts due for funeral services already performed.</w:t>
      </w:r>
    </w:p>
    <w:p>
      <w:pPr>
        <w:spacing w:after="0" w:line="114"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 xml:space="preserve">Atneed cemetery receivables and preneed cemetery receivables with payments expected to be received within one year from the balance sheet date are recorded in </w:t>
      </w:r>
      <w:r>
        <w:rPr>
          <w:rFonts w:ascii="Arial" w:cs="Arial" w:eastAsia="Arial" w:hAnsi="Arial"/>
          <w:sz w:val="17"/>
          <w:szCs w:val="17"/>
          <w:i w:val="1"/>
          <w:iCs w:val="1"/>
          <w:color w:val="auto"/>
        </w:rPr>
        <w:t>Accounts receivable, net.</w:t>
      </w:r>
      <w:r>
        <w:rPr>
          <w:rFonts w:ascii="Arial" w:cs="Arial" w:eastAsia="Arial" w:hAnsi="Arial"/>
          <w:sz w:val="17"/>
          <w:szCs w:val="17"/>
          <w:color w:val="auto"/>
        </w:rPr>
        <w:t xml:space="preserve"> Preneed cemetery receivables with payments expected to be received beyond one year from the balance sheet date are recorded in </w:t>
      </w:r>
      <w:r>
        <w:rPr>
          <w:rFonts w:ascii="Arial" w:cs="Arial" w:eastAsia="Arial" w:hAnsi="Arial"/>
          <w:sz w:val="17"/>
          <w:szCs w:val="17"/>
          <w:i w:val="1"/>
          <w:iCs w:val="1"/>
          <w:color w:val="auto"/>
        </w:rPr>
        <w:t>Preneed cemetery receivables, net.</w:t>
      </w:r>
      <w:r>
        <w:rPr>
          <w:rFonts w:ascii="Arial" w:cs="Arial" w:eastAsia="Arial" w:hAnsi="Arial"/>
          <w:sz w:val="17"/>
          <w:szCs w:val="17"/>
          <w:color w:val="auto"/>
        </w:rPr>
        <w:t xml:space="preserve"> Our cemetery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8" w:name="page9"/>
    <w:bookmarkEnd w:id="8"/>
    <w:p>
      <w:pPr>
        <w:jc w:val="both"/>
        <w:spacing w:after="0" w:line="266" w:lineRule="auto"/>
        <w:rPr>
          <w:sz w:val="20"/>
          <w:szCs w:val="20"/>
          <w:color w:val="auto"/>
        </w:rPr>
      </w:pPr>
      <w:r>
        <w:rPr>
          <w:rFonts w:ascii="Arial" w:cs="Arial" w:eastAsia="Arial" w:hAnsi="Arial"/>
          <w:sz w:val="17"/>
          <w:szCs w:val="17"/>
          <w:color w:val="auto"/>
        </w:rPr>
        <w:t xml:space="preserve">receivables generally consist of preneed sales of cemetery interment rights and related products and services, which are typically financed through interest-bearing installment sales contracts, generally with terms of up to five years, with such interest income reflected as </w:t>
      </w:r>
      <w:r>
        <w:rPr>
          <w:rFonts w:ascii="Arial" w:cs="Arial" w:eastAsia="Arial" w:hAnsi="Arial"/>
          <w:sz w:val="17"/>
          <w:szCs w:val="17"/>
          <w:i w:val="1"/>
          <w:iCs w:val="1"/>
          <w:color w:val="auto"/>
        </w:rPr>
        <w:t>Other revenue</w:t>
      </w:r>
      <w:r>
        <w:rPr>
          <w:rFonts w:ascii="Arial" w:cs="Arial" w:eastAsia="Arial" w:hAnsi="Arial"/>
          <w:sz w:val="17"/>
          <w:szCs w:val="17"/>
          <w:color w:val="auto"/>
        </w:rPr>
        <w:t>. In substantially all cases, we receive an initial down payment at the time the contract is signed.</w:t>
      </w:r>
    </w:p>
    <w:p>
      <w:pPr>
        <w:spacing w:after="0" w:line="73"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For our funeral and atneed cemetery receivables, we have a collections policy where statements are sent to the customer at 30 days past due. Past due notification letters are sent at 45 days and continue until payment is received or the contract is placed with a third-party collections agency. For our preneed cemetery receivables, we have a collections policy where past due notification letters are sent to the customer beginning at 15 days past due and periodically thereafter until payment is received or the contract is cancelled.</w:t>
      </w:r>
    </w:p>
    <w:p>
      <w:pPr>
        <w:spacing w:after="0" w:line="76"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Our allowance for credit losses reflects our best estimate of expected credit losses over the term of both our funeral and cemetery receivables. Our policy is to write off receivables when we have determined they will no longer be collectible. Write-offs are applied as a reduction to the allowance for credit losses and any recoveries of previous write-offs are netted against bad debt expense in the period recovered.</w:t>
      </w:r>
    </w:p>
    <w:p>
      <w:pPr>
        <w:spacing w:after="0" w:line="73"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color w:val="auto"/>
        </w:rPr>
        <w:t>We determine our allowance for credit losses by using a loss-rate methodology, in which we assess our historical write-off of receivables against our total receivables over several years. From this historical loss-rate approach, we also consider the current and forecasted economic conditions expected to be in place over the life of our receivables. These estimates are impacted by a number of factors, including changes in the economy, demographics and competition in our local communities. We monitor our ongoing credit exposure through an active review of our customers’ receivables balance against contract terms and due dates. Our activities include timely performance of our accounts receivable reconciliations, assessment of our aging of receivables, dispute resolution and payment confirmation. We monitor any change in our historical write-off of receivables utilized in our loss-rate methodology and assess forecasted changes in market conditions within our credit reserve.</w:t>
      </w:r>
    </w:p>
    <w:p>
      <w:pPr>
        <w:spacing w:after="0" w:line="78" w:lineRule="exact"/>
        <w:rPr>
          <w:sz w:val="20"/>
          <w:szCs w:val="20"/>
          <w:color w:val="auto"/>
        </w:rPr>
      </w:pPr>
    </w:p>
    <w:p>
      <w:pPr>
        <w:ind w:right="1620" w:firstLine="387"/>
        <w:spacing w:after="0" w:line="412" w:lineRule="auto"/>
        <w:rPr>
          <w:sz w:val="20"/>
          <w:szCs w:val="20"/>
          <w:color w:val="auto"/>
        </w:rPr>
      </w:pPr>
      <w:r>
        <w:rPr>
          <w:rFonts w:ascii="Arial" w:cs="Arial" w:eastAsia="Arial" w:hAnsi="Arial"/>
          <w:sz w:val="17"/>
          <w:szCs w:val="17"/>
          <w:color w:val="auto"/>
        </w:rPr>
        <w:t xml:space="preserve">See Note 5 to the Consolidated Financial Statements herein for additional information related to our funeral and cemetery receivables. </w:t>
      </w:r>
      <w:r>
        <w:rPr>
          <w:rFonts w:ascii="Arial" w:cs="Arial" w:eastAsia="Arial" w:hAnsi="Arial"/>
          <w:sz w:val="17"/>
          <w:szCs w:val="17"/>
          <w:i w:val="1"/>
          <w:iCs w:val="1"/>
          <w:color w:val="auto"/>
        </w:rPr>
        <w:t>Inventory</w:t>
      </w:r>
    </w:p>
    <w:p>
      <w:pPr>
        <w:jc w:val="both"/>
        <w:ind w:firstLine="387"/>
        <w:spacing w:after="0" w:line="280" w:lineRule="auto"/>
        <w:rPr>
          <w:sz w:val="20"/>
          <w:szCs w:val="20"/>
          <w:color w:val="auto"/>
        </w:rPr>
      </w:pPr>
      <w:r>
        <w:rPr>
          <w:rFonts w:ascii="Arial" w:cs="Arial" w:eastAsia="Arial" w:hAnsi="Arial"/>
          <w:sz w:val="17"/>
          <w:szCs w:val="17"/>
          <w:color w:val="auto"/>
        </w:rPr>
        <w:t>Inventory consists primarily of caskets, outer burial containers and cemetery monuments and markers and is recorded at the lower of its cost basis or net realizable value. Inventory is relieved using specific identification in fulfillment of performance obligations on our contracts.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Business Combinations</w:t>
      </w:r>
    </w:p>
    <w:p>
      <w:pPr>
        <w:spacing w:after="0" w:line="114"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6"/>
          <w:szCs w:val="16"/>
          <w:color w:val="auto"/>
        </w:rPr>
        <w:t>Tangible and intangible assets acquired and liabilities assumed are recorded at fair value and goodwill is recognized for any difference between the price of the acquisition and fair value. We recognize the assets acquired, the liabilities assumed and any non-controlling interest in the acquiree at the acquisition date, measured at the fair value as of that date. Acquisition related costs are recognized separately from the acquisition and are expensed as incurred. We customarily estimate related transaction costs known at closing. To the extent that information not available to us at the closing date subsequently becomes available during the allocation period, we may adjust goodwill, intangible assets, assets or liabilities associated with the acquisition.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Divested Operations</w:t>
      </w:r>
    </w:p>
    <w:p>
      <w:pPr>
        <w:spacing w:after="0" w:line="114" w:lineRule="exact"/>
        <w:rPr>
          <w:sz w:val="20"/>
          <w:szCs w:val="20"/>
          <w:color w:val="auto"/>
        </w:rPr>
      </w:pPr>
    </w:p>
    <w:p>
      <w:pPr>
        <w:jc w:val="both"/>
        <w:ind w:firstLine="387"/>
        <w:spacing w:after="0" w:line="276" w:lineRule="auto"/>
        <w:rPr>
          <w:sz w:val="20"/>
          <w:szCs w:val="20"/>
          <w:color w:val="auto"/>
        </w:rPr>
      </w:pPr>
      <w:r>
        <w:rPr>
          <w:rFonts w:ascii="Arial" w:cs="Arial" w:eastAsia="Arial" w:hAnsi="Arial"/>
          <w:sz w:val="16"/>
          <w:szCs w:val="16"/>
          <w:color w:val="auto"/>
        </w:rPr>
        <w:t>Prior to divesting a funeral home or cemetery, we first determine whether the sale of the net assets and activities (together referred to as a “set”) qualifies as a business. First, we perform a screen test to determine if the set is not a business. The principle of the screen is that if substantially all of the fair value of the gross assets sold resides in a single asset or group of similar assets, the set is not a business. If the screen is not met, we perform an assessment to determine if the set is a business by evaluating whether the set has both inputs and a substantive process that together significantly contribute to the ability to create outputs. When both inputs and a substantive process are present then the set is determined to be a business and we apply the guidance in Accounting Standards Codification (“ASC”) Topic 350 – Intangibles – Goodwill and Other to determine the accounting treatment of goodwill for that set (see discussion of Goodwill below). Goodwill is only allocated to the sale if the set is considered to be a business.</w:t>
      </w:r>
    </w:p>
    <w:p>
      <w:pPr>
        <w:spacing w:after="0" w:line="6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See Notes 3 and 4 to the Consolidated Financial Statements herein for additional information related to our divestitures.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Goodwill</w:t>
      </w:r>
    </w:p>
    <w:p>
      <w:pPr>
        <w:spacing w:after="0" w:line="114" w:lineRule="exact"/>
        <w:rPr>
          <w:sz w:val="20"/>
          <w:szCs w:val="20"/>
          <w:color w:val="auto"/>
        </w:rPr>
      </w:pPr>
    </w:p>
    <w:p>
      <w:pPr>
        <w:jc w:val="both"/>
        <w:ind w:firstLine="387"/>
        <w:spacing w:after="0" w:line="283" w:lineRule="auto"/>
        <w:rPr>
          <w:sz w:val="20"/>
          <w:szCs w:val="20"/>
          <w:color w:val="auto"/>
        </w:rPr>
      </w:pPr>
      <w:r>
        <w:rPr>
          <w:rFonts w:ascii="Arial" w:cs="Arial" w:eastAsia="Arial" w:hAnsi="Arial"/>
          <w:sz w:val="16"/>
          <w:szCs w:val="16"/>
          <w:color w:val="auto"/>
        </w:rPr>
        <w:t>The excess of the purchase price over the fair value of identifiable net assets of funeral home businesses and cemeteries acquired is recorded as goodwill. Goodwill has an indefinite life and is not subject to amortization. As such, we test goodwill for impairment on an annual basis as of August 31st each year. In addition to our annual test, we assess the impairment of goodwill whenever events or changes in circumstances indicate that the carrying value of a reporting unit may be greater than fair value. Factors that could trigger an interim impairment review include, but are not limited to, significant negative industry</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9" w:name="page10"/>
    <w:bookmarkEnd w:id="9"/>
    <w:p>
      <w:pPr>
        <w:jc w:val="both"/>
        <w:spacing w:after="0" w:line="280" w:lineRule="auto"/>
        <w:rPr>
          <w:sz w:val="20"/>
          <w:szCs w:val="20"/>
          <w:color w:val="auto"/>
        </w:rPr>
      </w:pPr>
      <w:r>
        <w:rPr>
          <w:rFonts w:ascii="Arial" w:cs="Arial" w:eastAsia="Arial" w:hAnsi="Arial"/>
          <w:sz w:val="17"/>
          <w:szCs w:val="17"/>
          <w:color w:val="auto"/>
        </w:rPr>
        <w:t>or economic trends and significant adverse changes in the business climate, which may be indicated by a decline in our market capitalization or decline in operating results.</w:t>
      </w:r>
    </w:p>
    <w:p>
      <w:pPr>
        <w:spacing w:after="0" w:line="60" w:lineRule="exact"/>
        <w:rPr>
          <w:sz w:val="20"/>
          <w:szCs w:val="20"/>
          <w:color w:val="auto"/>
        </w:rPr>
      </w:pPr>
    </w:p>
    <w:p>
      <w:pPr>
        <w:jc w:val="both"/>
        <w:ind w:firstLine="387"/>
        <w:spacing w:after="0" w:line="278" w:lineRule="auto"/>
        <w:rPr>
          <w:sz w:val="20"/>
          <w:szCs w:val="20"/>
          <w:color w:val="auto"/>
        </w:rPr>
      </w:pPr>
      <w:r>
        <w:rPr>
          <w:rFonts w:ascii="Arial" w:cs="Arial" w:eastAsia="Arial" w:hAnsi="Arial"/>
          <w:sz w:val="16"/>
          <w:szCs w:val="16"/>
          <w:color w:val="auto"/>
        </w:rPr>
        <w:t>We performed our annual goodwill impairment test as of August 31, 2021. Under current guidance, we are permitted to first assess qualitative factors to determine whether it is more-likely-than not that the fair value of a reporting unit is less than its carrying amount as a basis for determining whether it is necessary to perform a quantitative goodwill impairment test. For our 2021 annual goodwill impairment test, we performed a qualitative assessment and determined that there were no factors that would indicate the need to perform an additional quantitative goodwill impairment test. We concluded that it is more-likely-than not that the fair value of our reporting units is greater than their carrying value and thus there was no impairment to goodwill. For our 2020 annual qualitative assessment, there was no impairment to goodwill as the fair value of our reporting units was greater than the carrying value.</w:t>
      </w:r>
    </w:p>
    <w:p>
      <w:pPr>
        <w:spacing w:after="0" w:line="64"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When we divest a portion of a reporting unit that constitutes a business in accordance with U.S. Generally Accepted Accounting Principles (“GAAP”), we allocate goodwill associated with that business to be included in the gain or loss on divestiture. The goodwill allocated is based on the relative fair value of the business being divested and the portion of the reporting unit that will be retained. Additionally, after each divestiture, we will test the goodwill remaining in the portion of the reporting unit to be retained for impairment using a qualitative assessment unless we deem a quantitative assessment to be appropriate to ensure the fair value of our reporting units is greater than their carrying value.</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See Note 3 to the Consolidated Financial Statements included herein for additional information related to our goodwill.</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Intangible Assets</w:t>
      </w:r>
    </w:p>
    <w:p>
      <w:pPr>
        <w:spacing w:after="0" w:line="114" w:lineRule="exact"/>
        <w:rPr>
          <w:sz w:val="20"/>
          <w:szCs w:val="20"/>
          <w:color w:val="auto"/>
        </w:rPr>
      </w:pPr>
    </w:p>
    <w:p>
      <w:pPr>
        <w:jc w:val="both"/>
        <w:ind w:firstLine="387"/>
        <w:spacing w:after="0" w:line="244" w:lineRule="auto"/>
        <w:rPr>
          <w:sz w:val="20"/>
          <w:szCs w:val="20"/>
          <w:color w:val="auto"/>
        </w:rPr>
      </w:pPr>
      <w:r>
        <w:rPr>
          <w:rFonts w:ascii="Arial" w:cs="Arial" w:eastAsia="Arial" w:hAnsi="Arial"/>
          <w:sz w:val="17"/>
          <w:szCs w:val="17"/>
          <w:color w:val="auto"/>
        </w:rPr>
        <w:t xml:space="preserve">Our intangible assets include tradenames resulting from acquisitions and are included in </w:t>
      </w:r>
      <w:r>
        <w:rPr>
          <w:rFonts w:ascii="Arial" w:cs="Arial" w:eastAsia="Arial" w:hAnsi="Arial"/>
          <w:sz w:val="17"/>
          <w:szCs w:val="17"/>
          <w:i w:val="1"/>
          <w:iCs w:val="1"/>
          <w:color w:val="auto"/>
        </w:rPr>
        <w:t>Intangible and other non-current assets, net</w:t>
      </w:r>
      <w:r>
        <w:rPr>
          <w:rFonts w:ascii="Arial" w:cs="Arial" w:eastAsia="Arial" w:hAnsi="Arial"/>
          <w:sz w:val="17"/>
          <w:szCs w:val="17"/>
          <w:color w:val="auto"/>
        </w:rPr>
        <w:t xml:space="preserve"> on our Consolidated Balance Sheet. Our tradenames are considered to have an indefinite life and are not subject to amortization. As such, we test our intangible assets for impairment on an annual basis as of August 31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each year. In addition to our annual test, we assess the impairment of intangible assets whenever certain events or changes in circumstances indicate that the carrying value of the intangible asset may be greater than the fair value. Factors that could trigger an interim impairment review include, but are not limited to, significant under-performance relative to historical or projected future operating results and significant negative industry or economic trends.</w:t>
      </w:r>
    </w:p>
    <w:p>
      <w:pPr>
        <w:spacing w:after="0" w:line="91" w:lineRule="exact"/>
        <w:rPr>
          <w:sz w:val="20"/>
          <w:szCs w:val="20"/>
          <w:color w:val="auto"/>
        </w:rPr>
      </w:pPr>
    </w:p>
    <w:p>
      <w:pPr>
        <w:jc w:val="both"/>
        <w:ind w:firstLine="387"/>
        <w:spacing w:after="0" w:line="278" w:lineRule="auto"/>
        <w:rPr>
          <w:sz w:val="20"/>
          <w:szCs w:val="20"/>
          <w:color w:val="auto"/>
        </w:rPr>
      </w:pPr>
      <w:r>
        <w:rPr>
          <w:rFonts w:ascii="Arial" w:cs="Arial" w:eastAsia="Arial" w:hAnsi="Arial"/>
          <w:sz w:val="16"/>
          <w:szCs w:val="16"/>
          <w:color w:val="auto"/>
        </w:rPr>
        <w:t>We performed our annual intangible assets impairment test as of August 31, 2021. Under current guidance, we are permitted to first assess qualitative factors to determine whether it is more-likely-than not that the fair value of the tradename is less than its carrying amount as a basis for determining whether it is necessary to perform a quantitative impairment test. For our 2021 annual intangible assets impairment test, we performed a qualitative assessment and determined that there were no factors that would indicate the need to perform an additional quantitative impairment test. We concluded that it is more-likely-than not that the fair value of our intangible assets is greater than its carrying value and thus there was no impairment to our intangible assets. For our 2020 annual qualitative assessment, there was no impairment to intangible assets as the fair value of our intangible assets was greater than the carrying value.</w:t>
      </w:r>
    </w:p>
    <w:p>
      <w:pPr>
        <w:spacing w:after="0" w:line="64" w:lineRule="exact"/>
        <w:rPr>
          <w:sz w:val="20"/>
          <w:szCs w:val="20"/>
          <w:color w:val="auto"/>
        </w:rPr>
      </w:pPr>
    </w:p>
    <w:p>
      <w:pPr>
        <w:ind w:right="2120" w:firstLine="387"/>
        <w:spacing w:after="0" w:line="412" w:lineRule="auto"/>
        <w:rPr>
          <w:sz w:val="20"/>
          <w:szCs w:val="20"/>
          <w:color w:val="auto"/>
        </w:rPr>
      </w:pPr>
      <w:r>
        <w:rPr>
          <w:rFonts w:ascii="Arial" w:cs="Arial" w:eastAsia="Arial" w:hAnsi="Arial"/>
          <w:sz w:val="17"/>
          <w:szCs w:val="17"/>
          <w:color w:val="auto"/>
        </w:rPr>
        <w:t xml:space="preserve">See Note 9 to the Consolidated Financial Statements included herein for additional information related to our intangible assets. </w:t>
      </w:r>
      <w:r>
        <w:rPr>
          <w:rFonts w:ascii="Arial" w:cs="Arial" w:eastAsia="Arial" w:hAnsi="Arial"/>
          <w:sz w:val="17"/>
          <w:szCs w:val="17"/>
          <w:i w:val="1"/>
          <w:iCs w:val="1"/>
          <w:color w:val="auto"/>
        </w:rPr>
        <w:t>Preneed and Perpetual Care Trust Funds</w:t>
      </w:r>
    </w:p>
    <w:p>
      <w:pPr>
        <w:jc w:val="both"/>
        <w:ind w:firstLine="387"/>
        <w:spacing w:after="0" w:line="266" w:lineRule="auto"/>
        <w:rPr>
          <w:sz w:val="20"/>
          <w:szCs w:val="20"/>
          <w:color w:val="auto"/>
        </w:rPr>
      </w:pPr>
      <w:r>
        <w:rPr>
          <w:rFonts w:ascii="Arial" w:cs="Arial" w:eastAsia="Arial" w:hAnsi="Arial"/>
          <w:sz w:val="17"/>
          <w:szCs w:val="17"/>
          <w:color w:val="auto"/>
        </w:rPr>
        <w:t>Preneed sales generally require deposits to a trust or purchase of a third-party insurance product. We have established a variety of trusts in connection with funeral home and cemetery operations as required under applicable state laws. Such trusts include (i) preneed funeral trusts; (ii) preneed cemetery merchandise and service trusts; and (iii) cemetery perpetual care trusts.</w:t>
      </w:r>
    </w:p>
    <w:p>
      <w:pPr>
        <w:spacing w:after="0" w:line="73" w:lineRule="exact"/>
        <w:rPr>
          <w:sz w:val="20"/>
          <w:szCs w:val="20"/>
          <w:color w:val="auto"/>
        </w:rPr>
      </w:pPr>
    </w:p>
    <w:p>
      <w:pPr>
        <w:jc w:val="both"/>
        <w:ind w:firstLine="387"/>
        <w:spacing w:after="0" w:line="349" w:lineRule="auto"/>
        <w:rPr>
          <w:sz w:val="20"/>
          <w:szCs w:val="20"/>
          <w:color w:val="auto"/>
        </w:rPr>
      </w:pPr>
      <w:r>
        <w:rPr>
          <w:rFonts w:ascii="Arial" w:cs="Arial" w:eastAsia="Arial" w:hAnsi="Arial"/>
          <w:sz w:val="15"/>
          <w:szCs w:val="15"/>
          <w:color w:val="auto"/>
        </w:rPr>
        <w:t>Our preneed and perpetual care trust funds are reported in accordance with the principles of consolidating Variable Interest Entities (“VIEs”). In the case of preneed trusts, the customers are the legal beneficiaries. In the case of perpetual care trusts, we do not have a right to access the corpus in the perpetual care trusts.</w:t>
      </w:r>
    </w:p>
    <w:p>
      <w:pPr>
        <w:spacing w:after="0" w:line="15"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 xml:space="preserve">Our trust fund assets are reflected in our financial statements as </w:t>
      </w:r>
      <w:r>
        <w:rPr>
          <w:rFonts w:ascii="Arial" w:cs="Arial" w:eastAsia="Arial" w:hAnsi="Arial"/>
          <w:sz w:val="17"/>
          <w:szCs w:val="17"/>
          <w:i w:val="1"/>
          <w:iCs w:val="1"/>
          <w:color w:val="auto"/>
        </w:rPr>
        <w:t>Preneed cemetery trust investments, Preneed funeral trust investments</w:t>
      </w:r>
      <w:r>
        <w:rPr>
          <w:rFonts w:ascii="Arial" w:cs="Arial" w:eastAsia="Arial" w:hAnsi="Arial"/>
          <w:sz w:val="17"/>
          <w:szCs w:val="17"/>
          <w:color w:val="auto"/>
        </w:rPr>
        <w:t xml:space="preserve"> and </w:t>
      </w:r>
      <w:r>
        <w:rPr>
          <w:rFonts w:ascii="Arial" w:cs="Arial" w:eastAsia="Arial" w:hAnsi="Arial"/>
          <w:sz w:val="17"/>
          <w:szCs w:val="17"/>
          <w:i w:val="1"/>
          <w:iCs w:val="1"/>
          <w:color w:val="auto"/>
        </w:rPr>
        <w:t>Cemetery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perpetual care trust investments. </w:t>
      </w:r>
      <w:r>
        <w:rPr>
          <w:rFonts w:ascii="Arial" w:cs="Arial" w:eastAsia="Arial" w:hAnsi="Arial"/>
          <w:sz w:val="17"/>
          <w:szCs w:val="17"/>
          <w:color w:val="auto"/>
        </w:rPr>
        <w:t>We have recognized financial interests of third parties in the trust funds in our financial statements as</w:t>
      </w:r>
      <w:r>
        <w:rPr>
          <w:rFonts w:ascii="Arial" w:cs="Arial" w:eastAsia="Arial" w:hAnsi="Arial"/>
          <w:sz w:val="17"/>
          <w:szCs w:val="17"/>
          <w:i w:val="1"/>
          <w:iCs w:val="1"/>
          <w:color w:val="auto"/>
        </w:rPr>
        <w:t xml:space="preserve"> Deferred preneed funeral and cemetery receipts held in trust </w:t>
      </w:r>
      <w:r>
        <w:rPr>
          <w:rFonts w:ascii="Arial" w:cs="Arial" w:eastAsia="Arial" w:hAnsi="Arial"/>
          <w:sz w:val="17"/>
          <w:szCs w:val="17"/>
          <w:color w:val="auto"/>
        </w:rPr>
        <w:t>and</w:t>
      </w:r>
      <w:r>
        <w:rPr>
          <w:rFonts w:ascii="Arial" w:cs="Arial" w:eastAsia="Arial" w:hAnsi="Arial"/>
          <w:sz w:val="17"/>
          <w:szCs w:val="17"/>
          <w:i w:val="1"/>
          <w:iCs w:val="1"/>
          <w:color w:val="auto"/>
        </w:rPr>
        <w:t xml:space="preserve"> Care trusts’ corpus</w:t>
      </w:r>
      <w:r>
        <w:rPr>
          <w:rFonts w:ascii="Arial" w:cs="Arial" w:eastAsia="Arial" w:hAnsi="Arial"/>
          <w:sz w:val="17"/>
          <w:szCs w:val="17"/>
          <w:color w:val="auto"/>
        </w:rPr>
        <w:t>.</w:t>
      </w:r>
    </w:p>
    <w:p>
      <w:pPr>
        <w:spacing w:after="0" w:line="73"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The fair value of our trust fund assets are accounted for as Collateralized Financing Entities (“CFEs”) in ASC Topic 810. The accounting guidance for CFEs allows companies to elect to measure both the financial assets and financial liabilities using the more observable of the fair value of the financial assets or fair value of the financial liabilities. Pursuant to this guidance, we have determined the fair value of the financial assets of the trusts are more observable and we first measure those financial assets at fair value. Our fair value of the financial liabilities mirror the fair value of the financial assets, in accordance with the ASC. Any changes in fair value are recognized in earnings.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0" w:name="page11"/>
    <w:bookmarkEnd w:id="10"/>
    <w:p>
      <w:pPr>
        <w:jc w:val="both"/>
        <w:ind w:firstLine="387"/>
        <w:spacing w:after="0" w:line="280" w:lineRule="auto"/>
        <w:rPr>
          <w:sz w:val="20"/>
          <w:szCs w:val="20"/>
          <w:color w:val="auto"/>
        </w:rPr>
      </w:pPr>
      <w:r>
        <w:rPr>
          <w:rFonts w:ascii="Arial" w:cs="Arial" w:eastAsia="Arial" w:hAnsi="Arial"/>
          <w:sz w:val="17"/>
          <w:szCs w:val="17"/>
          <w:color w:val="auto"/>
        </w:rPr>
        <w:t>In accordance with ASC Topic 326, we present our credit losses for fixed income securities as an allowance rather than as a write-down on the fixed income securities we do not intend to sell and it is likely that we will not be required to sell prior to their anticipated recovery.</w:t>
      </w:r>
    </w:p>
    <w:p>
      <w:pPr>
        <w:spacing w:after="0" w:line="60"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In accordance with respective state laws, we are required to deposit a specified amount into perpetual and memorial care trust funds for each interment right and certain memorials sold. Income from the trust funds is distributed to us and used to provide for the care and maintenance of the cemeteries and mausoleums. Trust fund income is recognized as revenue when realized by the trust and distributable to us. We are restricted from withdrawing any of the principal balances of these funds.</w:t>
      </w:r>
    </w:p>
    <w:p>
      <w:pPr>
        <w:spacing w:after="0" w:line="76"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An enterprise is required to perform an analysis to determine whether the enterprise’s variable interest(s) give it a controlling financial interest in a VIE. This analysis identifies the primary beneficiary of a VIE as the enterprise that has both the power to direct the activities of the VIE that most significantly impact the entity’s economic performance and the obligation to absorb losses of the entity that could potentially be significant to the VIE or the right to receive benefits from the entity that could potentially be significant to the VIE. Our analysis continues to support our position as the primary beneficiary in the majority of our funeral and cemetery trust funds.</w:t>
      </w:r>
    </w:p>
    <w:p>
      <w:pPr>
        <w:spacing w:after="0" w:line="77" w:lineRule="exact"/>
        <w:rPr>
          <w:sz w:val="20"/>
          <w:szCs w:val="20"/>
          <w:color w:val="auto"/>
        </w:rPr>
      </w:pPr>
    </w:p>
    <w:p>
      <w:pPr>
        <w:ind w:right="780" w:firstLine="387"/>
        <w:spacing w:after="0" w:line="412" w:lineRule="auto"/>
        <w:rPr>
          <w:sz w:val="20"/>
          <w:szCs w:val="20"/>
          <w:color w:val="auto"/>
        </w:rPr>
      </w:pPr>
      <w:r>
        <w:rPr>
          <w:rFonts w:ascii="Arial" w:cs="Arial" w:eastAsia="Arial" w:hAnsi="Arial"/>
          <w:sz w:val="17"/>
          <w:szCs w:val="17"/>
          <w:color w:val="auto"/>
        </w:rPr>
        <w:t xml:space="preserve">See Notes 6 and 7 to the Consolidated Financial Statements herein for additional information related to our preneed and perpetual care trust funds. </w:t>
      </w:r>
      <w:r>
        <w:rPr>
          <w:rFonts w:ascii="Arial" w:cs="Arial" w:eastAsia="Arial" w:hAnsi="Arial"/>
          <w:sz w:val="17"/>
          <w:szCs w:val="17"/>
          <w:i w:val="1"/>
          <w:iCs w:val="1"/>
          <w:color w:val="auto"/>
        </w:rPr>
        <w:t>Fair Value Measurements</w:t>
      </w:r>
    </w:p>
    <w:p>
      <w:pPr>
        <w:jc w:val="both"/>
        <w:ind w:firstLine="387"/>
        <w:spacing w:after="0" w:line="280" w:lineRule="auto"/>
        <w:rPr>
          <w:sz w:val="20"/>
          <w:szCs w:val="20"/>
          <w:color w:val="auto"/>
        </w:rPr>
      </w:pPr>
      <w:r>
        <w:rPr>
          <w:rFonts w:ascii="Arial" w:cs="Arial" w:eastAsia="Arial" w:hAnsi="Arial"/>
          <w:sz w:val="16"/>
          <w:szCs w:val="16"/>
          <w:color w:val="auto"/>
        </w:rPr>
        <w:t>We measure the securities held by our funeral merchandise and service, cemetery merchandise and service, and cemetery perpetual care trusts at fair value on a recurring basis in accordance with ASC Topic 820. This guidance defines fair value as the price that would be received in the sale of an asset or paid to transfer a liability in an orderly transaction between market participants at the measurement date for items that are recognized or disclosed at fair value in the financial statements on a recurring basis (at least annually). The guidance establishes a three-level valuation hierarchy for disclosure of fair value measurements. The valuation hierarchy is based upon the transparency of inputs to the valuation of an asset or liability as of the measurement date.</w:t>
      </w:r>
    </w:p>
    <w:p>
      <w:pPr>
        <w:spacing w:after="0" w:line="63" w:lineRule="exact"/>
        <w:rPr>
          <w:sz w:val="20"/>
          <w:szCs w:val="20"/>
          <w:color w:val="auto"/>
        </w:rPr>
      </w:pPr>
    </w:p>
    <w:p>
      <w:pPr>
        <w:jc w:val="both"/>
        <w:ind w:firstLine="387"/>
        <w:spacing w:after="0" w:line="283" w:lineRule="auto"/>
        <w:rPr>
          <w:sz w:val="20"/>
          <w:szCs w:val="20"/>
          <w:color w:val="auto"/>
        </w:rPr>
      </w:pPr>
      <w:r>
        <w:rPr>
          <w:rFonts w:ascii="Arial" w:cs="Arial" w:eastAsia="Arial" w:hAnsi="Arial"/>
          <w:sz w:val="16"/>
          <w:szCs w:val="16"/>
          <w:color w:val="auto"/>
        </w:rPr>
        <w:t>We disclose the extent to which fair value is used to measure financial assets and liabilities, the inputs utilized in calculating valuation measurements, and the effect of the measurement of significant unobservable inputs on earnings, or changes in net assets, as of the measurement date. We currently do not have any assets that have fair values determined by Level 3 inputs and no liabilities measured at fair value. We have not elected to measure any additional financial instruments and certain other items at fair value that are not currently required to be measured at fair value.</w:t>
      </w:r>
    </w:p>
    <w:p>
      <w:pPr>
        <w:spacing w:after="0" w:line="61"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See Notes 6 and 8 to the Consolidated Financial Statements herein for additional required disclosures related to our fair value measurement of our financial assets and liabilities.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Capitalized Commissions on Preneed Contracts</w:t>
      </w:r>
    </w:p>
    <w:p>
      <w:pPr>
        <w:spacing w:after="0" w:line="114"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We capitalize sales commissions and other direct selling costs related to preneed cemetery merchandise and services and preneed funeral trust contracts as these costs are incremental and recoverable costs of obtaining a contract with a customer. Our capitalized commissions on preneed contracts are amortized on a straight-line basis over the average maturity period of ten years for our preneed funeral trust contracts and eight years for our preneed cemetery merchandise and services contracts.</w:t>
      </w:r>
    </w:p>
    <w:p>
      <w:pPr>
        <w:spacing w:after="0" w:line="76"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The selling costs related to the sales of cemetery interment rights, which include real property and other costs related to cemetery development activities, continue to be expensed using the specific identification method in the period in which the sale of the cemetery interment right is recognized as revenue. The selling costs related to preneed funeral insurance contracts continue to be expensed in the period incurred as these contracts are not included on our Consolidated Balance Sheet.</w:t>
      </w:r>
    </w:p>
    <w:p>
      <w:pPr>
        <w:spacing w:after="0" w:line="76" w:lineRule="exact"/>
        <w:rPr>
          <w:sz w:val="20"/>
          <w:szCs w:val="20"/>
          <w:color w:val="auto"/>
        </w:rPr>
      </w:pPr>
    </w:p>
    <w:p>
      <w:pPr>
        <w:ind w:right="740" w:firstLine="387"/>
        <w:spacing w:after="0" w:line="412" w:lineRule="auto"/>
        <w:rPr>
          <w:sz w:val="20"/>
          <w:szCs w:val="20"/>
          <w:color w:val="auto"/>
        </w:rPr>
      </w:pPr>
      <w:r>
        <w:rPr>
          <w:rFonts w:ascii="Arial" w:cs="Arial" w:eastAsia="Arial" w:hAnsi="Arial"/>
          <w:sz w:val="17"/>
          <w:szCs w:val="17"/>
          <w:color w:val="auto"/>
        </w:rPr>
        <w:t xml:space="preserve">See Note 9 to the Consolidated Financial Statements herein for additional information related to our capitalized commissions on preneed contracts. </w:t>
      </w:r>
      <w:r>
        <w:rPr>
          <w:rFonts w:ascii="Arial" w:cs="Arial" w:eastAsia="Arial" w:hAnsi="Arial"/>
          <w:sz w:val="17"/>
          <w:szCs w:val="17"/>
          <w:i w:val="1"/>
          <w:iCs w:val="1"/>
          <w:color w:val="auto"/>
        </w:rPr>
        <w:t>Property, Plant and Equipment</w:t>
      </w:r>
    </w:p>
    <w:p>
      <w:pPr>
        <w:jc w:val="both"/>
        <w:ind w:firstLine="387"/>
        <w:spacing w:after="0" w:line="291" w:lineRule="auto"/>
        <w:rPr>
          <w:sz w:val="20"/>
          <w:szCs w:val="20"/>
          <w:color w:val="auto"/>
        </w:rPr>
      </w:pPr>
      <w:r>
        <w:rPr>
          <w:rFonts w:ascii="Arial" w:cs="Arial" w:eastAsia="Arial" w:hAnsi="Arial"/>
          <w:sz w:val="16"/>
          <w:szCs w:val="16"/>
          <w:color w:val="auto"/>
        </w:rPr>
        <w:t>Property, plant and equipment (including equipment under finance leases) are stated at cost. The costs of ordinary maintenance and repairs are charged to operations as incurred, while renewals and major replacements that extend the useful economic life of the asset are capitalized. Depreciation of property, plant and equipment (including equipment under finance leases) is computed based on the straight-line method over the estimated useful lives of the assets.</w:t>
      </w:r>
    </w:p>
    <w:p>
      <w:pPr>
        <w:spacing w:after="0" w:line="54"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Long-lived assets, such as property, plant and equipment subject to depreciation and amortization, are reviewed for impairment at least annually or whenever events or changes in circumstances indicate that the carrying amount of an asset may not be recoverable in accordance with ASC Topic 360 – Property, Plant and Equipment.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1" w:name="page12"/>
    <w:bookmarkEnd w:id="11"/>
    <w:p>
      <w:pPr>
        <w:ind w:left="400"/>
        <w:spacing w:after="0"/>
        <w:rPr>
          <w:sz w:val="20"/>
          <w:szCs w:val="20"/>
          <w:color w:val="auto"/>
        </w:rPr>
      </w:pPr>
      <w:r>
        <w:rPr>
          <w:rFonts w:ascii="Arial" w:cs="Arial" w:eastAsia="Arial" w:hAnsi="Arial"/>
          <w:sz w:val="17"/>
          <w:szCs w:val="17"/>
          <w:color w:val="auto"/>
        </w:rPr>
        <w:t>Property, plant and equipment is comprised of the following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gridSpan w:val="2"/>
          </w:tcPr>
          <w:p>
            <w:pPr>
              <w:ind w:left="240"/>
              <w:spacing w:after="0"/>
              <w:rPr>
                <w:sz w:val="20"/>
                <w:szCs w:val="20"/>
                <w:color w:val="auto"/>
              </w:rPr>
            </w:pPr>
            <w:r>
              <w:rPr>
                <w:rFonts w:ascii="Arial" w:cs="Arial" w:eastAsia="Arial" w:hAnsi="Arial"/>
                <w:sz w:val="15"/>
                <w:szCs w:val="15"/>
                <w:b w:val="1"/>
                <w:bCs w:val="1"/>
                <w:color w:val="auto"/>
              </w:rPr>
              <w:t>December 31, 2020</w:t>
            </w:r>
          </w:p>
        </w:tc>
        <w:tc>
          <w:tcPr>
            <w:tcW w:w="3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b w:val="1"/>
                <w:bCs w:val="1"/>
                <w:color w:val="auto"/>
              </w:rPr>
              <w:t>September 30, 2021</w:t>
            </w:r>
          </w:p>
        </w:tc>
      </w:tr>
      <w:tr>
        <w:trPr>
          <w:trHeight w:val="215"/>
        </w:trPr>
        <w:tc>
          <w:tcPr>
            <w:tcW w:w="7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Land</w:t>
            </w: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82,615</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82,736</w:t>
            </w:r>
          </w:p>
        </w:tc>
      </w:tr>
      <w:tr>
        <w:trPr>
          <w:trHeight w:val="219"/>
        </w:trPr>
        <w:tc>
          <w:tcPr>
            <w:tcW w:w="7340" w:type="dxa"/>
            <w:vAlign w:val="bottom"/>
          </w:tcPr>
          <w:p>
            <w:pPr>
              <w:ind w:left="20"/>
              <w:spacing w:after="0"/>
              <w:rPr>
                <w:sz w:val="20"/>
                <w:szCs w:val="20"/>
                <w:color w:val="auto"/>
              </w:rPr>
            </w:pPr>
            <w:r>
              <w:rPr>
                <w:rFonts w:ascii="Arial" w:cs="Arial" w:eastAsia="Arial" w:hAnsi="Arial"/>
                <w:sz w:val="17"/>
                <w:szCs w:val="17"/>
                <w:color w:val="auto"/>
              </w:rPr>
              <w:t>Buildings and improvements</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240,567</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239,190</w:t>
            </w:r>
          </w:p>
        </w:tc>
      </w:tr>
      <w:tr>
        <w:trPr>
          <w:trHeight w:val="220"/>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Furniture, equipment and automobiles</w:t>
            </w: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91,302</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70,715</w:t>
            </w:r>
          </w:p>
        </w:tc>
      </w:tr>
      <w:tr>
        <w:trPr>
          <w:trHeight w:val="212"/>
        </w:trPr>
        <w:tc>
          <w:tcPr>
            <w:tcW w:w="7340" w:type="dxa"/>
            <w:vAlign w:val="bottom"/>
          </w:tcPr>
          <w:p>
            <w:pPr>
              <w:ind w:left="20"/>
              <w:spacing w:after="0"/>
              <w:rPr>
                <w:sz w:val="20"/>
                <w:szCs w:val="20"/>
                <w:color w:val="auto"/>
              </w:rPr>
            </w:pPr>
            <w:r>
              <w:rPr>
                <w:rFonts w:ascii="Arial" w:cs="Arial" w:eastAsia="Arial" w:hAnsi="Arial"/>
                <w:sz w:val="17"/>
                <w:szCs w:val="17"/>
                <w:color w:val="auto"/>
              </w:rPr>
              <w:t>Property, plant and equipment, at cost</w:t>
            </w:r>
          </w:p>
        </w:tc>
        <w:tc>
          <w:tcPr>
            <w:tcW w:w="3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414,484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392,641</w:t>
            </w:r>
          </w:p>
        </w:tc>
      </w:tr>
      <w:tr>
        <w:trPr>
          <w:trHeight w:val="220"/>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accumulated depreciation</w:t>
            </w: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(145,433)</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(124,885)</w:t>
            </w:r>
          </w:p>
        </w:tc>
      </w:tr>
      <w:tr>
        <w:trPr>
          <w:trHeight w:val="212"/>
        </w:trPr>
        <w:tc>
          <w:tcPr>
            <w:tcW w:w="7340" w:type="dxa"/>
            <w:vAlign w:val="bottom"/>
          </w:tcPr>
          <w:p>
            <w:pPr>
              <w:ind w:left="20"/>
              <w:spacing w:after="0"/>
              <w:rPr>
                <w:sz w:val="20"/>
                <w:szCs w:val="20"/>
                <w:color w:val="auto"/>
              </w:rPr>
            </w:pPr>
            <w:r>
              <w:rPr>
                <w:rFonts w:ascii="Arial" w:cs="Arial" w:eastAsia="Arial" w:hAnsi="Arial"/>
                <w:sz w:val="17"/>
                <w:szCs w:val="17"/>
                <w:color w:val="auto"/>
              </w:rPr>
              <w:t>Property, plant and equipment, net</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269,051</w:t>
            </w:r>
          </w:p>
        </w:tc>
        <w:tc>
          <w:tcPr>
            <w:tcW w:w="2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267,756</w:t>
            </w:r>
          </w:p>
        </w:tc>
      </w:tr>
      <w:tr>
        <w:trPr>
          <w:trHeight w:val="20"/>
        </w:trPr>
        <w:tc>
          <w:tcPr>
            <w:tcW w:w="7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ind w:firstLine="387"/>
        <w:spacing w:after="0" w:line="291" w:lineRule="auto"/>
        <w:rPr>
          <w:sz w:val="20"/>
          <w:szCs w:val="20"/>
          <w:color w:val="auto"/>
        </w:rPr>
      </w:pPr>
      <w:r>
        <w:rPr>
          <w:rFonts w:ascii="Arial" w:cs="Arial" w:eastAsia="Arial" w:hAnsi="Arial"/>
          <w:sz w:val="16"/>
          <w:szCs w:val="16"/>
          <w:color w:val="auto"/>
        </w:rPr>
        <w:t xml:space="preserve">During the nine months ended September 30, 2021, we acquired real property for $3.3 million. We also divested three funeral homes that had a carrying value of property, plant and equipment of $2.4 million, which was included in the Gain (loss) on divestitures and recorded in </w:t>
      </w:r>
      <w:r>
        <w:rPr>
          <w:rFonts w:ascii="Arial" w:cs="Arial" w:eastAsia="Arial" w:hAnsi="Arial"/>
          <w:sz w:val="16"/>
          <w:szCs w:val="16"/>
          <w:i w:val="1"/>
          <w:iCs w:val="1"/>
          <w:color w:val="auto"/>
        </w:rPr>
        <w:t>Net loss on divestitures, disposals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impairment charges </w:t>
      </w:r>
      <w:r>
        <w:rPr>
          <w:rFonts w:ascii="Arial" w:cs="Arial" w:eastAsia="Arial" w:hAnsi="Arial"/>
          <w:sz w:val="16"/>
          <w:szCs w:val="16"/>
          <w:color w:val="auto"/>
        </w:rPr>
        <w:t>on our Consolidated Statements of Operations, described in Note 4 to the Consolidated Financial Statements included herein.</w:t>
      </w:r>
    </w:p>
    <w:p>
      <w:pPr>
        <w:spacing w:after="0" w:line="54"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 xml:space="preserve">Additionally, during the nine months ended September 30, 2021, we sold real property for $0.7 million and recognized a loss on sale of $0.3 million, which was recorded in </w:t>
      </w:r>
      <w:r>
        <w:rPr>
          <w:rFonts w:ascii="Arial" w:cs="Arial" w:eastAsia="Arial" w:hAnsi="Arial"/>
          <w:sz w:val="17"/>
          <w:szCs w:val="17"/>
          <w:i w:val="1"/>
          <w:iCs w:val="1"/>
          <w:color w:val="auto"/>
        </w:rPr>
        <w:t>Net loss on divestitures, disposals and impairment charges.</w:t>
      </w:r>
      <w:r>
        <w:rPr>
          <w:rFonts w:ascii="Arial" w:cs="Arial" w:eastAsia="Arial" w:hAnsi="Arial"/>
          <w:sz w:val="17"/>
          <w:szCs w:val="17"/>
          <w:color w:val="auto"/>
        </w:rPr>
        <w:t xml:space="preserve"> At September 30, 2021, we had $2.3 million carrying value of property, plant and equipment assets held for sale and we recognized a $0.5 million impairment loss related to these assets recorded in </w:t>
      </w:r>
      <w:r>
        <w:rPr>
          <w:rFonts w:ascii="Arial" w:cs="Arial" w:eastAsia="Arial" w:hAnsi="Arial"/>
          <w:sz w:val="17"/>
          <w:szCs w:val="17"/>
          <w:i w:val="1"/>
          <w:iCs w:val="1"/>
          <w:color w:val="auto"/>
        </w:rPr>
        <w:t>Net loss on divestitures, disposals and</w:t>
      </w:r>
      <w:r>
        <w:rPr>
          <w:rFonts w:ascii="Arial" w:cs="Arial" w:eastAsia="Arial" w:hAnsi="Arial"/>
          <w:sz w:val="17"/>
          <w:szCs w:val="17"/>
          <w:color w:val="auto"/>
        </w:rPr>
        <w:t xml:space="preserve"> </w:t>
      </w:r>
      <w:r>
        <w:rPr>
          <w:rFonts w:ascii="Arial" w:cs="Arial" w:eastAsia="Arial" w:hAnsi="Arial"/>
          <w:sz w:val="17"/>
          <w:szCs w:val="17"/>
          <w:i w:val="1"/>
          <w:iCs w:val="1"/>
          <w:color w:val="auto"/>
        </w:rPr>
        <w:t>impairment charges.</w:t>
      </w:r>
    </w:p>
    <w:p>
      <w:pPr>
        <w:spacing w:after="0" w:line="76" w:lineRule="exact"/>
        <w:rPr>
          <w:sz w:val="20"/>
          <w:szCs w:val="20"/>
          <w:color w:val="auto"/>
        </w:rPr>
      </w:pPr>
    </w:p>
    <w:p>
      <w:pPr>
        <w:jc w:val="both"/>
        <w:ind w:firstLine="387"/>
        <w:spacing w:after="0" w:line="283" w:lineRule="auto"/>
        <w:rPr>
          <w:sz w:val="20"/>
          <w:szCs w:val="20"/>
          <w:color w:val="auto"/>
        </w:rPr>
      </w:pPr>
      <w:r>
        <w:rPr>
          <w:rFonts w:ascii="Arial" w:cs="Arial" w:eastAsia="Arial" w:hAnsi="Arial"/>
          <w:sz w:val="16"/>
          <w:szCs w:val="16"/>
          <w:color w:val="auto"/>
        </w:rPr>
        <w:t>Our growth and maintenance capital expenditures totaled $4.2 million and $6.5 million for the three months ended September 30, 2020 and 2021, respectively and $10.0 million and $15.3 million for the nine months ended September 30, 2020 and 2021, respectively, for property, plant, equipment and cemetery development. In addition, we recorded depreciation expense of $3.5 million and $3.4 million for the three months ended September 30, 2020 and 2021, respectively and $10.8 million and $10.2 million for the nine months ended September 30, 2020 and 2021,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Cemetery Property</w:t>
      </w:r>
    </w:p>
    <w:p>
      <w:pPr>
        <w:spacing w:after="0" w:line="114" w:lineRule="exact"/>
        <w:rPr>
          <w:sz w:val="20"/>
          <w:szCs w:val="20"/>
          <w:color w:val="auto"/>
        </w:rPr>
      </w:pPr>
    </w:p>
    <w:p>
      <w:pPr>
        <w:jc w:val="both"/>
        <w:ind w:firstLine="387"/>
        <w:spacing w:after="0" w:line="278" w:lineRule="auto"/>
        <w:rPr>
          <w:sz w:val="20"/>
          <w:szCs w:val="20"/>
          <w:color w:val="auto"/>
        </w:rPr>
      </w:pPr>
      <w:r>
        <w:rPr>
          <w:rFonts w:ascii="Arial" w:cs="Arial" w:eastAsia="Arial" w:hAnsi="Arial"/>
          <w:sz w:val="16"/>
          <w:szCs w:val="16"/>
          <w:color w:val="auto"/>
        </w:rPr>
        <w:t>When we acquire a cemetery, we utilize an internal and external approach to determine the fair value of the cemetery property. From an external perspective, we obtain an accredited appraisal to provide reasonable assurance for property existence, property availability (unrestricted) for development, property lines, available spaces to sell, identifiable obstacles or easements and general valuation inclusive of known variables in that market. From an internal perspective, we conduct a detailed analysis of the acquired cemetery property using other cemeteries in our portfolio as a benchmark. This provides the added benefit of relevant data that is not available to third party appraisers. Through this thorough internal process, we are able to identify viable costs of property based on historical experience, particular markets and demographics, reasonable margins, practical retail prices and park infrastructure and condition.</w:t>
      </w:r>
    </w:p>
    <w:p>
      <w:pPr>
        <w:spacing w:after="0" w:line="64"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Cemetery property was $101.1 million and $100.5 million at December 31, 2020 and September 30, 2021, respectively, net of accumulated amortization of $46.6 million and $51.8 million, respectively. When cemetery property is sold, the value of the cemetery property (interment right costs) is expensed as amortization using the specific identification method in the period in which the sale of the interment right is recognized as revenue. We recorded amortization expense for cemetery interment rights of $1.5 million for both the three months ended September 30, 2020 and 2021 and $3.4 million and $5.2 million for the nine months ended September 30, 2020 and 2021,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Leases</w:t>
      </w:r>
    </w:p>
    <w:p>
      <w:pPr>
        <w:spacing w:after="0" w:line="114" w:lineRule="exact"/>
        <w:rPr>
          <w:sz w:val="20"/>
          <w:szCs w:val="20"/>
          <w:color w:val="auto"/>
        </w:rPr>
      </w:pPr>
    </w:p>
    <w:p>
      <w:pPr>
        <w:jc w:val="both"/>
        <w:ind w:firstLine="387"/>
        <w:spacing w:after="0" w:line="283" w:lineRule="auto"/>
        <w:rPr>
          <w:sz w:val="20"/>
          <w:szCs w:val="20"/>
          <w:color w:val="auto"/>
        </w:rPr>
      </w:pPr>
      <w:r>
        <w:rPr>
          <w:rFonts w:ascii="Arial" w:cs="Arial" w:eastAsia="Arial" w:hAnsi="Arial"/>
          <w:sz w:val="16"/>
          <w:szCs w:val="16"/>
          <w:color w:val="auto"/>
        </w:rPr>
        <w:t>We have operating and finance leases. We lease certain office facilities, certain funeral homes and equipment under operating leases with original terms ranging from one to nineteen years. Many leases include one or more options to renew, some of which include options to extend the leases for up to 26 years. We lease certain funeral homes under finance leases with original terms ranging from ten to forty years. We do not have lease agreements with residual value guarantees, sale-leaseback terms, material restrictive covenants or related parties. We do not have any material sublease arrangements.</w:t>
      </w:r>
    </w:p>
    <w:p>
      <w:pPr>
        <w:spacing w:after="0" w:line="61" w:lineRule="exact"/>
        <w:rPr>
          <w:sz w:val="20"/>
          <w:szCs w:val="20"/>
          <w:color w:val="auto"/>
        </w:rPr>
      </w:pPr>
    </w:p>
    <w:p>
      <w:pPr>
        <w:jc w:val="both"/>
        <w:ind w:firstLine="387"/>
        <w:spacing w:after="0" w:line="297" w:lineRule="auto"/>
        <w:rPr>
          <w:sz w:val="20"/>
          <w:szCs w:val="20"/>
          <w:color w:val="auto"/>
        </w:rPr>
      </w:pPr>
      <w:r>
        <w:rPr>
          <w:rFonts w:ascii="Arial" w:cs="Arial" w:eastAsia="Arial" w:hAnsi="Arial"/>
          <w:sz w:val="15"/>
          <w:szCs w:val="15"/>
          <w:color w:val="auto"/>
        </w:rPr>
        <w:t>We determine if an arrangement is a lease at inception based on the facts and circumstances of the agreement. A right-of-use (“ROU”) asset represents our right to use the underlying asset for the lease term and the lease liability represents our obligation to make lease payments arising from the lease. ROU assets and lease liabilities are recognized on our Consolidated Balance Sheet at the lease commencement date based on the present value of lease payments over the lease term. As our leases do not provide an implicit interest rate, we use our incremental borrowing rate based on the information available at the commencement date in determining the present value of lease payments. The lease terms used to calculate the ROU asset and related lease liability include options to extend the lease when it is reasonably certain that we will exercise that option. Lease expense for operating leases is recognized on a straight-line basis over the lease term as an operating expense, while the expense for finance leases is recognized as depreciation expense and interest expense using the effective interest method of</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2" w:name="page13"/>
    <w:bookmarkEnd w:id="12"/>
    <w:p>
      <w:pPr>
        <w:jc w:val="both"/>
        <w:spacing w:after="0" w:line="260" w:lineRule="auto"/>
        <w:rPr>
          <w:sz w:val="20"/>
          <w:szCs w:val="20"/>
          <w:color w:val="auto"/>
        </w:rPr>
      </w:pPr>
      <w:r>
        <w:rPr>
          <w:rFonts w:ascii="Arial" w:cs="Arial" w:eastAsia="Arial" w:hAnsi="Arial"/>
          <w:sz w:val="17"/>
          <w:szCs w:val="17"/>
          <w:color w:val="auto"/>
        </w:rPr>
        <w:t>recognition. Variable lease payment amounts that cannot be determined at the commencement of the lease such as increases in lease payments based on changes in index rates or usage, are not included in the ROU assets or liabilities. These are expensed as incurred and recorded as variable lease expense. We have real estate lease agreements which require payments for lease and non-lease components and we account for these as a single lease component. Leases with an initial term of 12 months or less, that do not include an option to renew the underlying asset, are not recorded on our Consolidated Balance Sheet and expense is recognized on a straight-line basis over the lease term.</w:t>
      </w:r>
    </w:p>
    <w:p>
      <w:pPr>
        <w:spacing w:after="0" w:line="77"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 xml:space="preserve">Operating lease ROU assets are included in </w:t>
      </w:r>
      <w:r>
        <w:rPr>
          <w:rFonts w:ascii="Arial" w:cs="Arial" w:eastAsia="Arial" w:hAnsi="Arial"/>
          <w:sz w:val="17"/>
          <w:szCs w:val="17"/>
          <w:i w:val="1"/>
          <w:iCs w:val="1"/>
          <w:color w:val="auto"/>
        </w:rPr>
        <w:t>Operating lease right-of-use assets</w:t>
      </w:r>
      <w:r>
        <w:rPr>
          <w:rFonts w:ascii="Arial" w:cs="Arial" w:eastAsia="Arial" w:hAnsi="Arial"/>
          <w:sz w:val="17"/>
          <w:szCs w:val="17"/>
          <w:color w:val="auto"/>
        </w:rPr>
        <w:t xml:space="preserve"> and operating lease liabilities are included in </w:t>
      </w:r>
      <w:r>
        <w:rPr>
          <w:rFonts w:ascii="Arial" w:cs="Arial" w:eastAsia="Arial" w:hAnsi="Arial"/>
          <w:sz w:val="17"/>
          <w:szCs w:val="17"/>
          <w:i w:val="1"/>
          <w:iCs w:val="1"/>
          <w:color w:val="auto"/>
        </w:rPr>
        <w:t>Current portion of operating</w:t>
      </w:r>
      <w:r>
        <w:rPr>
          <w:rFonts w:ascii="Arial" w:cs="Arial" w:eastAsia="Arial" w:hAnsi="Arial"/>
          <w:sz w:val="17"/>
          <w:szCs w:val="17"/>
          <w:color w:val="auto"/>
        </w:rPr>
        <w:t xml:space="preserve"> </w:t>
      </w:r>
      <w:r>
        <w:rPr>
          <w:rFonts w:ascii="Arial" w:cs="Arial" w:eastAsia="Arial" w:hAnsi="Arial"/>
          <w:sz w:val="17"/>
          <w:szCs w:val="17"/>
          <w:i w:val="1"/>
          <w:iCs w:val="1"/>
          <w:color w:val="auto"/>
        </w:rPr>
        <w:t>lease obligation</w:t>
      </w:r>
      <w:r>
        <w:rPr>
          <w:rFonts w:ascii="Arial" w:cs="Arial" w:eastAsia="Arial" w:hAnsi="Arial"/>
          <w:sz w:val="17"/>
          <w:szCs w:val="17"/>
          <w:color w:val="auto"/>
        </w:rPr>
        <w:t>s and</w:t>
      </w:r>
      <w:r>
        <w:rPr>
          <w:rFonts w:ascii="Arial" w:cs="Arial" w:eastAsia="Arial" w:hAnsi="Arial"/>
          <w:sz w:val="17"/>
          <w:szCs w:val="17"/>
          <w:i w:val="1"/>
          <w:iCs w:val="1"/>
          <w:color w:val="auto"/>
        </w:rPr>
        <w:t xml:space="preserve"> Obligations under operating leases, net of current portion </w:t>
      </w:r>
      <w:r>
        <w:rPr>
          <w:rFonts w:ascii="Arial" w:cs="Arial" w:eastAsia="Arial" w:hAnsi="Arial"/>
          <w:sz w:val="17"/>
          <w:szCs w:val="17"/>
          <w:color w:val="auto"/>
        </w:rPr>
        <w:t>on our Consolidated Balance Sheet. Finance lease ROU assets are included in</w:t>
      </w:r>
      <w:r>
        <w:rPr>
          <w:rFonts w:ascii="Arial" w:cs="Arial" w:eastAsia="Arial" w:hAnsi="Arial"/>
          <w:sz w:val="17"/>
          <w:szCs w:val="17"/>
          <w:i w:val="1"/>
          <w:iCs w:val="1"/>
          <w:color w:val="auto"/>
        </w:rPr>
        <w:t xml:space="preserve"> Property, plant and equipment, net </w:t>
      </w:r>
      <w:r>
        <w:rPr>
          <w:rFonts w:ascii="Arial" w:cs="Arial" w:eastAsia="Arial" w:hAnsi="Arial"/>
          <w:sz w:val="17"/>
          <w:szCs w:val="17"/>
          <w:color w:val="auto"/>
        </w:rPr>
        <w:t>and finance lease liabilities are included in</w:t>
      </w:r>
      <w:r>
        <w:rPr>
          <w:rFonts w:ascii="Arial" w:cs="Arial" w:eastAsia="Arial" w:hAnsi="Arial"/>
          <w:sz w:val="17"/>
          <w:szCs w:val="17"/>
          <w:i w:val="1"/>
          <w:iCs w:val="1"/>
          <w:color w:val="auto"/>
        </w:rPr>
        <w:t xml:space="preserve"> Current portion of finance lease obligations </w:t>
      </w:r>
      <w:r>
        <w:rPr>
          <w:rFonts w:ascii="Arial" w:cs="Arial" w:eastAsia="Arial" w:hAnsi="Arial"/>
          <w:sz w:val="17"/>
          <w:szCs w:val="17"/>
          <w:color w:val="auto"/>
        </w:rPr>
        <w:t>and O</w:t>
      </w:r>
      <w:r>
        <w:rPr>
          <w:rFonts w:ascii="Arial" w:cs="Arial" w:eastAsia="Arial" w:hAnsi="Arial"/>
          <w:sz w:val="17"/>
          <w:szCs w:val="17"/>
          <w:i w:val="1"/>
          <w:iCs w:val="1"/>
          <w:color w:val="auto"/>
        </w:rPr>
        <w:t xml:space="preserve">bligations under finance leases, net of current portion </w:t>
      </w:r>
      <w:r>
        <w:rPr>
          <w:rFonts w:ascii="Arial" w:cs="Arial" w:eastAsia="Arial" w:hAnsi="Arial"/>
          <w:sz w:val="17"/>
          <w:szCs w:val="17"/>
          <w:color w:val="auto"/>
        </w:rPr>
        <w:t>on our Consolidated Balance Sheet.</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See Notes 12 to the Consolidated Financial Statements included herein for additional information related to our leases.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Equity Plans and Stock-Based Compensation</w:t>
      </w:r>
    </w:p>
    <w:p>
      <w:pPr>
        <w:spacing w:after="0" w:line="114"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We have equity-based employee and director compensation plans under which we have granted stock awards, stock options and performance awards. We also have an employee stock purchase plan (the “ESPP”). We recognize compensation expense in an amount equal to the fair value of the stock-based awards expected to vest or to be purchased over the requisite service period. We recognize the effect of forfeitures in compensation cost when they occur and any previously recognized compensation cost for an award is reversed in the period that the award is forfeited.</w:t>
      </w:r>
    </w:p>
    <w:p>
      <w:pPr>
        <w:spacing w:after="0" w:line="76" w:lineRule="exact"/>
        <w:rPr>
          <w:sz w:val="20"/>
          <w:szCs w:val="20"/>
          <w:color w:val="auto"/>
        </w:rPr>
      </w:pPr>
    </w:p>
    <w:p>
      <w:pPr>
        <w:jc w:val="both"/>
        <w:ind w:firstLine="387"/>
        <w:spacing w:after="0" w:line="283" w:lineRule="auto"/>
        <w:rPr>
          <w:sz w:val="20"/>
          <w:szCs w:val="20"/>
          <w:color w:val="auto"/>
        </w:rPr>
      </w:pPr>
      <w:r>
        <w:rPr>
          <w:rFonts w:ascii="Arial" w:cs="Arial" w:eastAsia="Arial" w:hAnsi="Arial"/>
          <w:sz w:val="16"/>
          <w:szCs w:val="16"/>
          <w:color w:val="auto"/>
        </w:rPr>
        <w:t>Fair value is determined on the date of the grant. The fair value of restricted stock is determined using the stock price on the grant date. The fair value of options or awards containing options is determined using the Black-Scholes valuation model or the Monte-Carlo simulation pricing model. The fair value of the performance awards related to market performance conditions is determined using the Monte-Carlo simulation pricing model. The fair value of the ESPP is determined based on the discount element offered to employees and the embedded option element, which is determined using an option calculation model.</w:t>
      </w:r>
    </w:p>
    <w:p>
      <w:pPr>
        <w:spacing w:after="0" w:line="61" w:lineRule="exact"/>
        <w:rPr>
          <w:sz w:val="20"/>
          <w:szCs w:val="20"/>
          <w:color w:val="auto"/>
        </w:rPr>
      </w:pPr>
    </w:p>
    <w:p>
      <w:pPr>
        <w:jc w:val="both"/>
        <w:ind w:firstLine="387"/>
        <w:spacing w:after="0" w:line="291" w:lineRule="auto"/>
        <w:rPr>
          <w:sz w:val="20"/>
          <w:szCs w:val="20"/>
          <w:color w:val="auto"/>
        </w:rPr>
      </w:pPr>
      <w:r>
        <w:rPr>
          <w:rFonts w:ascii="Arial" w:cs="Arial" w:eastAsia="Arial" w:hAnsi="Arial"/>
          <w:sz w:val="16"/>
          <w:szCs w:val="16"/>
          <w:color w:val="auto"/>
        </w:rPr>
        <w:t>We recognize all excess tax benefits and tax deficiencies (including tax benefits of dividends on share-based payment awards) as income tax benefit or expense in the income statement. We treat the tax effects of exercised or vested awards as discrete items in the reporting period in which they occur. Excess tax benefits or deficiencies related to share-based payments are included in operating cash flows on the Consolidated Statements of Cash Flows.</w:t>
      </w:r>
    </w:p>
    <w:p>
      <w:pPr>
        <w:spacing w:after="0" w:line="54" w:lineRule="exact"/>
        <w:rPr>
          <w:sz w:val="20"/>
          <w:szCs w:val="20"/>
          <w:color w:val="auto"/>
        </w:rPr>
      </w:pPr>
    </w:p>
    <w:p>
      <w:pPr>
        <w:ind w:right="180" w:firstLine="387"/>
        <w:spacing w:after="0" w:line="412" w:lineRule="auto"/>
        <w:rPr>
          <w:sz w:val="20"/>
          <w:szCs w:val="20"/>
          <w:color w:val="auto"/>
        </w:rPr>
      </w:pPr>
      <w:r>
        <w:rPr>
          <w:rFonts w:ascii="Arial" w:cs="Arial" w:eastAsia="Arial" w:hAnsi="Arial"/>
          <w:sz w:val="17"/>
          <w:szCs w:val="17"/>
          <w:color w:val="auto"/>
        </w:rPr>
        <w:t xml:space="preserve">See Note 14 to the Consolidated Financial Statements included herein for additional information related to our equity plans and stock-based compensation. </w:t>
      </w:r>
      <w:r>
        <w:rPr>
          <w:rFonts w:ascii="Arial" w:cs="Arial" w:eastAsia="Arial" w:hAnsi="Arial"/>
          <w:sz w:val="17"/>
          <w:szCs w:val="17"/>
          <w:i w:val="1"/>
          <w:iCs w:val="1"/>
          <w:color w:val="auto"/>
        </w:rPr>
        <w:t>Revenue Recognition</w:t>
      </w:r>
    </w:p>
    <w:p>
      <w:pPr>
        <w:jc w:val="both"/>
        <w:ind w:firstLine="387"/>
        <w:spacing w:after="0" w:line="260" w:lineRule="auto"/>
        <w:rPr>
          <w:sz w:val="20"/>
          <w:szCs w:val="20"/>
          <w:color w:val="auto"/>
        </w:rPr>
      </w:pPr>
      <w:r>
        <w:rPr>
          <w:rFonts w:ascii="Arial" w:cs="Arial" w:eastAsia="Arial" w:hAnsi="Arial"/>
          <w:sz w:val="17"/>
          <w:szCs w:val="17"/>
          <w:color w:val="auto"/>
        </w:rPr>
        <w:t>Funeral and Cemetery Operations Revenue is recognized when control of the merchandise or services is transferred to the customer. Our performance obligations include the delivery of funeral and cemetery merchandise and services and cemetery property interment rights. Control transfers when merchandise is delivered or services are performed. For cemetery property interment rights, control transfers to the customer when the property is developed and the interment right has been sold and can no longer be marketed or sold to another customer. On our atneed contracts, we generally deliver the merchandise and perform the services at the time of need.</w:t>
      </w:r>
    </w:p>
    <w:p>
      <w:pPr>
        <w:spacing w:after="0" w:line="77" w:lineRule="exact"/>
        <w:rPr>
          <w:sz w:val="20"/>
          <w:szCs w:val="20"/>
          <w:color w:val="auto"/>
        </w:rPr>
      </w:pPr>
    </w:p>
    <w:p>
      <w:pPr>
        <w:jc w:val="both"/>
        <w:ind w:firstLine="387"/>
        <w:spacing w:after="0" w:line="283" w:lineRule="auto"/>
        <w:rPr>
          <w:sz w:val="20"/>
          <w:szCs w:val="20"/>
          <w:color w:val="auto"/>
        </w:rPr>
      </w:pPr>
      <w:r>
        <w:rPr>
          <w:rFonts w:ascii="Arial" w:cs="Arial" w:eastAsia="Arial" w:hAnsi="Arial"/>
          <w:sz w:val="16"/>
          <w:szCs w:val="16"/>
          <w:color w:val="auto"/>
        </w:rPr>
        <w:t>Memorial services frequently include performance obligations to direct the service, provide facilities and motor vehicles, catering, flowers, and stationary products. All other performance obligations on these contracts, including arrangement, removal, preparation, embalming, cremation, interment, and delivery of urns and caskets and related memorialization merchandise are fulfilled at the time of need. Personalized marker merchandise and marker installation services sold on atneed contracts are recognized when control is transferred to the customer, generally when the marker is delivered and installed in the cemetery.</w:t>
      </w:r>
    </w:p>
    <w:p>
      <w:pPr>
        <w:spacing w:after="0" w:line="61"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 xml:space="preserve">Some of our contracts with customers include multiple performance obligations. For these contracts, we allocate the transaction price to each performance obligation based on its relative standalone selling price, which is based on prices charged to customers per our general price list. Packages for service and ancillary items are offered to help the customer make decisions during emotional and stressful times. Package discounts are reflected net in </w:t>
      </w:r>
      <w:r>
        <w:rPr>
          <w:rFonts w:ascii="Arial" w:cs="Arial" w:eastAsia="Arial" w:hAnsi="Arial"/>
          <w:sz w:val="17"/>
          <w:szCs w:val="17"/>
          <w:i w:val="1"/>
          <w:iCs w:val="1"/>
          <w:color w:val="auto"/>
        </w:rPr>
        <w:t>Revenue</w:t>
      </w:r>
      <w:r>
        <w:rPr>
          <w:rFonts w:ascii="Arial" w:cs="Arial" w:eastAsia="Arial" w:hAnsi="Arial"/>
          <w:sz w:val="17"/>
          <w:szCs w:val="17"/>
          <w:color w:val="auto"/>
        </w:rPr>
        <w:t>. We recognize revenue when the merchandise is transferred or the service is performed, in satisfaction of the corresponding performance obligation. Sales taxes collected are recognized on a net basis in our Consolidated Financial Statements.</w:t>
      </w:r>
    </w:p>
    <w:p>
      <w:pPr>
        <w:spacing w:after="0" w:line="77"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 xml:space="preserve">Ancillary funeral service revenue, which is recorded in </w:t>
      </w:r>
      <w:r>
        <w:rPr>
          <w:rFonts w:ascii="Arial" w:cs="Arial" w:eastAsia="Arial" w:hAnsi="Arial"/>
          <w:sz w:val="17"/>
          <w:szCs w:val="17"/>
          <w:i w:val="1"/>
          <w:iCs w:val="1"/>
          <w:color w:val="auto"/>
        </w:rPr>
        <w:t>Other revenue,</w:t>
      </w:r>
      <w:r>
        <w:rPr>
          <w:rFonts w:ascii="Arial" w:cs="Arial" w:eastAsia="Arial" w:hAnsi="Arial"/>
          <w:sz w:val="17"/>
          <w:szCs w:val="17"/>
          <w:color w:val="auto"/>
        </w:rPr>
        <w:t xml:space="preserve"> represents revenue from our flower shop, pet cremation and online cremation businesses</w:t>
      </w:r>
      <w:r>
        <w:rPr>
          <w:rFonts w:ascii="Arial" w:cs="Arial" w:eastAsia="Arial" w:hAnsi="Arial"/>
          <w:sz w:val="17"/>
          <w:szCs w:val="17"/>
          <w:i w:val="1"/>
          <w:iCs w:val="1"/>
          <w:color w:val="auto"/>
        </w:rPr>
        <w:t>.</w:t>
      </w:r>
    </w:p>
    <w:p>
      <w:pPr>
        <w:spacing w:after="0" w:line="60"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 xml:space="preserve">The earnings from our preneed trust investments, as well as trust management fees charged by our wholly-owned registered investment advisory firm (“CSV RIA”) are recorded in </w:t>
      </w:r>
      <w:r>
        <w:rPr>
          <w:rFonts w:ascii="Arial" w:cs="Arial" w:eastAsia="Arial" w:hAnsi="Arial"/>
          <w:sz w:val="17"/>
          <w:szCs w:val="17"/>
          <w:i w:val="1"/>
          <w:iCs w:val="1"/>
          <w:color w:val="auto"/>
        </w:rPr>
        <w:t>Other revenue</w:t>
      </w:r>
      <w:r>
        <w:rPr>
          <w:rFonts w:ascii="Arial" w:cs="Arial" w:eastAsia="Arial" w:hAnsi="Arial"/>
          <w:sz w:val="17"/>
          <w:szCs w:val="17"/>
          <w:color w:val="auto"/>
        </w:rPr>
        <w:t>. As of September 30, 2021, CSV RIA</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3" w:name="page14"/>
    <w:bookmarkEnd w:id="13"/>
    <w:p>
      <w:pPr>
        <w:jc w:val="both"/>
        <w:spacing w:after="0" w:line="266" w:lineRule="auto"/>
        <w:rPr>
          <w:sz w:val="20"/>
          <w:szCs w:val="20"/>
          <w:color w:val="auto"/>
        </w:rPr>
      </w:pPr>
      <w:r>
        <w:rPr>
          <w:rFonts w:ascii="Arial" w:cs="Arial" w:eastAsia="Arial" w:hAnsi="Arial"/>
          <w:sz w:val="17"/>
          <w:szCs w:val="17"/>
          <w:color w:val="auto"/>
        </w:rPr>
        <w:t>provided investment management and advisory services to approximately 80% of our trust assets, for a fee based on the market value of trust assets. Under state trust laws, we are allowed to charge the trust a fee for advising on the investment of the trust assets and these fees are recognized as income in the period in which services are provided.</w:t>
      </w:r>
    </w:p>
    <w:p>
      <w:pPr>
        <w:spacing w:after="0" w:line="73" w:lineRule="exact"/>
        <w:rPr>
          <w:sz w:val="20"/>
          <w:szCs w:val="20"/>
          <w:color w:val="auto"/>
        </w:rPr>
      </w:pPr>
    </w:p>
    <w:p>
      <w:pPr>
        <w:jc w:val="both"/>
        <w:ind w:firstLine="387"/>
        <w:spacing w:after="0" w:line="318" w:lineRule="auto"/>
        <w:rPr>
          <w:sz w:val="20"/>
          <w:szCs w:val="20"/>
          <w:color w:val="auto"/>
        </w:rPr>
      </w:pPr>
      <w:r>
        <w:rPr>
          <w:rFonts w:ascii="Arial" w:cs="Arial" w:eastAsia="Arial" w:hAnsi="Arial"/>
          <w:sz w:val="15"/>
          <w:szCs w:val="15"/>
          <w:color w:val="auto"/>
        </w:rPr>
        <w:t xml:space="preserve">Balances due on undelivered preneed funeral trust contracts have been reclassified to reduce </w:t>
      </w:r>
      <w:r>
        <w:rPr>
          <w:rFonts w:ascii="Arial" w:cs="Arial" w:eastAsia="Arial" w:hAnsi="Arial"/>
          <w:sz w:val="15"/>
          <w:szCs w:val="15"/>
          <w:i w:val="1"/>
          <w:iCs w:val="1"/>
          <w:color w:val="auto"/>
        </w:rPr>
        <w:t>Deferred preneed funeral revenue</w:t>
      </w:r>
      <w:r>
        <w:rPr>
          <w:rFonts w:ascii="Arial" w:cs="Arial" w:eastAsia="Arial" w:hAnsi="Arial"/>
          <w:sz w:val="15"/>
          <w:szCs w:val="15"/>
          <w:color w:val="auto"/>
        </w:rPr>
        <w:t xml:space="preserve"> on our Consolidated Balance Sheet of $8.2 million at both December 31, 2020 and September 30, 2021. As these performance obligations are to be completed after the date of death, we cannot quantify the recognition of revenue in future periods. However, we estimate an average maturity period of ten years for preneed funeral contracts.</w:t>
      </w:r>
    </w:p>
    <w:p>
      <w:pPr>
        <w:spacing w:after="0" w:line="37" w:lineRule="exact"/>
        <w:rPr>
          <w:sz w:val="20"/>
          <w:szCs w:val="20"/>
          <w:color w:val="auto"/>
        </w:rPr>
      </w:pPr>
    </w:p>
    <w:p>
      <w:pPr>
        <w:jc w:val="both"/>
        <w:ind w:firstLine="387"/>
        <w:spacing w:after="0" w:line="302" w:lineRule="auto"/>
        <w:rPr>
          <w:sz w:val="20"/>
          <w:szCs w:val="20"/>
          <w:color w:val="auto"/>
        </w:rPr>
      </w:pPr>
      <w:r>
        <w:rPr>
          <w:rFonts w:ascii="Arial" w:cs="Arial" w:eastAsia="Arial" w:hAnsi="Arial"/>
          <w:sz w:val="15"/>
          <w:szCs w:val="15"/>
          <w:color w:val="auto"/>
        </w:rPr>
        <w:t xml:space="preserve">Balances due from customers on delivered preneed cemetery contracts are included in </w:t>
      </w:r>
      <w:r>
        <w:rPr>
          <w:rFonts w:ascii="Arial" w:cs="Arial" w:eastAsia="Arial" w:hAnsi="Arial"/>
          <w:sz w:val="15"/>
          <w:szCs w:val="15"/>
          <w:i w:val="1"/>
          <w:iCs w:val="1"/>
          <w:color w:val="auto"/>
        </w:rPr>
        <w:t>Accounts receivable, net</w:t>
      </w:r>
      <w:r>
        <w:rPr>
          <w:rFonts w:ascii="Arial" w:cs="Arial" w:eastAsia="Arial" w:hAnsi="Arial"/>
          <w:sz w:val="15"/>
          <w:szCs w:val="15"/>
          <w:color w:val="auto"/>
        </w:rPr>
        <w:t xml:space="preserve"> and </w:t>
      </w:r>
      <w:r>
        <w:rPr>
          <w:rFonts w:ascii="Arial" w:cs="Arial" w:eastAsia="Arial" w:hAnsi="Arial"/>
          <w:sz w:val="15"/>
          <w:szCs w:val="15"/>
          <w:i w:val="1"/>
          <w:iCs w:val="1"/>
          <w:color w:val="auto"/>
        </w:rPr>
        <w:t>Preneed cemetery receivables, net</w:t>
      </w:r>
      <w:r>
        <w:rPr>
          <w:rFonts w:ascii="Arial" w:cs="Arial" w:eastAsia="Arial" w:hAnsi="Arial"/>
          <w:sz w:val="15"/>
          <w:szCs w:val="15"/>
          <w:color w:val="auto"/>
        </w:rPr>
        <w:t xml:space="preserve"> on our Consolidated Balance Sheet. Balances due on undelivered preneed cemetery contracts have been reclassified to reduce </w:t>
      </w:r>
      <w:r>
        <w:rPr>
          <w:rFonts w:ascii="Arial" w:cs="Arial" w:eastAsia="Arial" w:hAnsi="Arial"/>
          <w:sz w:val="15"/>
          <w:szCs w:val="15"/>
          <w:i w:val="1"/>
          <w:iCs w:val="1"/>
          <w:color w:val="auto"/>
        </w:rPr>
        <w:t>Deferred preneed cemetery revenue</w:t>
      </w:r>
      <w:r>
        <w:rPr>
          <w:rFonts w:ascii="Arial" w:cs="Arial" w:eastAsia="Arial" w:hAnsi="Arial"/>
          <w:sz w:val="15"/>
          <w:szCs w:val="15"/>
          <w:color w:val="auto"/>
        </w:rPr>
        <w:t xml:space="preserve"> on our Consolidated Balance Sheet. The transaction price allocated to preneed merchandise and service performance obligations that were unfulfilled were $7.9 million and $10.6 million at December 31, 2020 and September 30, 2021, respectively. As these performance obligations are to be completed after the date of death, we cannot quantify the recognition of revenue in future periods. However, we estimate an average maturity period of eight years for preneed cemetery contracts.</w:t>
      </w:r>
    </w:p>
    <w:p>
      <w:pPr>
        <w:spacing w:after="0" w:line="5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See Note 16 to the Consolidated Financial Statements herein for additional information related to revenue.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Taxes</w:t>
      </w:r>
    </w:p>
    <w:p>
      <w:pPr>
        <w:spacing w:after="0" w:line="114" w:lineRule="exact"/>
        <w:rPr>
          <w:sz w:val="20"/>
          <w:szCs w:val="20"/>
          <w:color w:val="auto"/>
        </w:rPr>
      </w:pPr>
    </w:p>
    <w:p>
      <w:pPr>
        <w:jc w:val="both"/>
        <w:ind w:firstLine="387"/>
        <w:spacing w:after="0" w:line="291" w:lineRule="auto"/>
        <w:rPr>
          <w:sz w:val="20"/>
          <w:szCs w:val="20"/>
          <w:color w:val="auto"/>
        </w:rPr>
      </w:pPr>
      <w:r>
        <w:rPr>
          <w:rFonts w:ascii="Arial" w:cs="Arial" w:eastAsia="Arial" w:hAnsi="Arial"/>
          <w:sz w:val="16"/>
          <w:szCs w:val="16"/>
          <w:color w:val="auto"/>
        </w:rPr>
        <w:t>We and our subsidiaries file a consolidated U. S. federal income tax return, separate income tax returns in 15 states in which we operate and combined or unitary income tax returns in 14 states in which we operate. We record deferred taxes for temporary differences between the tax basis and financial reporting basis of assets and liabilities. We classify our deferred tax liabilities and assets as non-current on our Consolidated Balance Sheet.</w:t>
      </w:r>
    </w:p>
    <w:p>
      <w:pPr>
        <w:spacing w:after="0" w:line="54" w:lineRule="exact"/>
        <w:rPr>
          <w:sz w:val="20"/>
          <w:szCs w:val="20"/>
          <w:color w:val="auto"/>
        </w:rPr>
      </w:pPr>
    </w:p>
    <w:p>
      <w:pPr>
        <w:jc w:val="both"/>
        <w:ind w:firstLine="387"/>
        <w:spacing w:after="0" w:line="312" w:lineRule="auto"/>
        <w:rPr>
          <w:sz w:val="20"/>
          <w:szCs w:val="20"/>
          <w:color w:val="auto"/>
        </w:rPr>
      </w:pPr>
      <w:r>
        <w:rPr>
          <w:rFonts w:ascii="Arial" w:cs="Arial" w:eastAsia="Arial" w:hAnsi="Arial"/>
          <w:sz w:val="16"/>
          <w:szCs w:val="16"/>
          <w:color w:val="auto"/>
        </w:rPr>
        <w:t>We record a valuation allowance to reflect the estimated amount of deferred tax assets for which realization is uncertain. Management reviews the valuation allowance at the end of each quarter and makes adjustments if it is determined that it is more likely than not that the tax benefits will be realized.</w:t>
      </w:r>
    </w:p>
    <w:p>
      <w:pPr>
        <w:spacing w:after="0" w:line="38" w:lineRule="exact"/>
        <w:rPr>
          <w:sz w:val="20"/>
          <w:szCs w:val="20"/>
          <w:color w:val="auto"/>
        </w:rPr>
      </w:pPr>
    </w:p>
    <w:p>
      <w:pPr>
        <w:jc w:val="both"/>
        <w:ind w:firstLine="387"/>
        <w:spacing w:after="0" w:line="312" w:lineRule="auto"/>
        <w:rPr>
          <w:sz w:val="20"/>
          <w:szCs w:val="20"/>
          <w:color w:val="auto"/>
        </w:rPr>
      </w:pPr>
      <w:r>
        <w:rPr>
          <w:rFonts w:ascii="Arial" w:cs="Arial" w:eastAsia="Arial" w:hAnsi="Arial"/>
          <w:sz w:val="16"/>
          <w:szCs w:val="16"/>
          <w:color w:val="auto"/>
        </w:rPr>
        <w:t>We analyze tax benefits for uncertain tax positions and how they are to be recognized, measured, and derecognized in the financial statements; provide certain disclosures of uncertain tax matters; and specify how reserves for uncertain tax positions should be classified on our Consolidated Balance Sheet.</w:t>
      </w:r>
    </w:p>
    <w:p>
      <w:pPr>
        <w:spacing w:after="0" w:line="38"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The Consolidated Appropriations Act was signed into law on December 27, 2020. This Act included several tax provisions directly benefiting individual and corporate taxpayers. The primary benefit in this legislation is a temporary allowance for full deduction for business meals paid or incurred between December 31, 2020 and January 1, 2023.</w:t>
      </w:r>
    </w:p>
    <w:p>
      <w:pPr>
        <w:spacing w:after="0" w:line="73" w:lineRule="exact"/>
        <w:rPr>
          <w:sz w:val="20"/>
          <w:szCs w:val="20"/>
          <w:color w:val="auto"/>
        </w:rPr>
      </w:pPr>
    </w:p>
    <w:p>
      <w:pPr>
        <w:jc w:val="both"/>
        <w:ind w:firstLine="387"/>
        <w:spacing w:after="0" w:line="274" w:lineRule="auto"/>
        <w:rPr>
          <w:sz w:val="20"/>
          <w:szCs w:val="20"/>
          <w:color w:val="auto"/>
        </w:rPr>
      </w:pPr>
      <w:r>
        <w:rPr>
          <w:rFonts w:ascii="Arial" w:cs="Arial" w:eastAsia="Arial" w:hAnsi="Arial"/>
          <w:sz w:val="16"/>
          <w:szCs w:val="16"/>
          <w:color w:val="auto"/>
        </w:rPr>
        <w:t>We filed carryback refund claims for the 2018 and 2019 tax years as allowed by the legislative changes included in the Coronavirus Aid, Relief, and Economic Security Act (the “CARES Act”), which was enacted March 27, 2020. As a result of requesting a tax refund in excess of $5 million, we must receive Joint Committee approval and undergo an audit for the tax year ending December 31, 2018. This audit is currently in progress. In 2020, the 2018 tax return was amended to take full advantage of the CARES Act legislative benefits resulting in additional losses that increase the amount of our carryback refund claim. The majority of the net operating losses generated in 2018 are the result of filing non-automatic accounting method changes relating to the recognition of revenue from our cemetery property and merchandise and services sales. As of September 30, 2021, we received an adverse ruling related to the change to our method of recognition of revenue from our constructed cemetery property, however, we are currently in further discussions with the Internal Revenue Service (“IRS”) regarding this ruling. Due to the uncertainty that exists, a reserve has been recorded against the benefit derived from this carrying back that the net operating losses generated. At both December 31, 2020 and September 30, 2021, the reserve for uncertain tax positions was $3.7 million.</w:t>
      </w:r>
    </w:p>
    <w:p>
      <w:pPr>
        <w:spacing w:after="0" w:line="71" w:lineRule="exact"/>
        <w:rPr>
          <w:sz w:val="20"/>
          <w:szCs w:val="20"/>
          <w:color w:val="auto"/>
        </w:rPr>
      </w:pPr>
    </w:p>
    <w:p>
      <w:pPr>
        <w:jc w:val="both"/>
        <w:ind w:firstLine="387"/>
        <w:spacing w:after="0" w:line="291" w:lineRule="auto"/>
        <w:rPr>
          <w:sz w:val="20"/>
          <w:szCs w:val="20"/>
          <w:color w:val="auto"/>
        </w:rPr>
      </w:pPr>
      <w:r>
        <w:rPr>
          <w:rFonts w:ascii="Arial" w:cs="Arial" w:eastAsia="Arial" w:hAnsi="Arial"/>
          <w:sz w:val="16"/>
          <w:szCs w:val="16"/>
          <w:color w:val="auto"/>
        </w:rPr>
        <w:t>Income tax expense during interim periods is based on our forecasted annual effective tax rate plus any discrete items, which are recorded in the period in which they occur. Discrete items include, but are not limited to, such events as changes in estimates due to finalization of income tax returns, tax audit settlements, tax effects of exercised or vested stock-based awards and increases or decreases in valuation allowances on deferred tax assets.</w:t>
      </w:r>
    </w:p>
    <w:p>
      <w:pPr>
        <w:spacing w:after="0" w:line="54"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For the three months ended September 30, 2020 and 2021, we had an income tax expense of $2.9 million and $5.1 million, respectively and for the nine months ended September 30, 2020 and 2021, we had an income tax expense of $4.2 million and $6.6 million, respectively. Our operating tax rate before discrete items was 34.0% and 28.2% for the three months ended September 30, 2020 and 2021, respectively and 33.8% and 28.3% for the nine months ended September 30, 2020 and 2021, respectively.</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i w:val="1"/>
          <w:iCs w:val="1"/>
          <w:color w:val="auto"/>
        </w:rPr>
        <w:t>Computation of Earnings Per Common Share</w:t>
      </w:r>
    </w:p>
    <w:p>
      <w:pPr>
        <w:spacing w:after="0" w:line="114"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Basic earnings per share is computed using the weighted average number of common shares outstanding during the period. Diluted earnings per share is computed using the weighted average number of common and dilutive common equivalent shares outstanding during the period. Dilutive common equivalent shares consist of stock options.</w:t>
      </w:r>
    </w:p>
    <w:p>
      <w:pPr>
        <w:spacing w:after="0" w:line="73" w:lineRule="exact"/>
        <w:rPr>
          <w:sz w:val="20"/>
          <w:szCs w:val="20"/>
          <w:color w:val="auto"/>
        </w:rPr>
      </w:pPr>
    </w:p>
    <w:p>
      <w:pPr>
        <w:jc w:val="both"/>
        <w:ind w:firstLine="387"/>
        <w:spacing w:after="0" w:line="283" w:lineRule="auto"/>
        <w:rPr>
          <w:sz w:val="20"/>
          <w:szCs w:val="20"/>
          <w:color w:val="auto"/>
        </w:rPr>
      </w:pPr>
      <w:r>
        <w:rPr>
          <w:rFonts w:ascii="Arial" w:cs="Arial" w:eastAsia="Arial" w:hAnsi="Arial"/>
          <w:sz w:val="16"/>
          <w:szCs w:val="16"/>
          <w:color w:val="auto"/>
        </w:rPr>
        <w:t>Share-based awards that contain non-forfeitable rights to dividends or dividend equivalents, whether paid or unpaid, are recognized as participating securities and included in the computation of both basic and diluted earnings per share. Our grants of restricted stock awards to our employees and directors are considered participating securities, and we have prepared our earnings per share calculations attributable to common stockholders to exclude outstanding unvested restricted stock awards, using the two-class method, in both the basic and diluted weighted average shares outstanding calculation.</w:t>
      </w:r>
    </w:p>
    <w:p>
      <w:pPr>
        <w:spacing w:after="0" w:line="61"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Our performance awards are considered to be contingently issuable shares because their issuance is contingent upon the satisfaction of certain performance and service conditions. In accordance with ASC 260, we have included in the computation of diluted earnings per share the number of performance awards that would have been issuable as if the end of the reporting period was the end of the contingency period. These shares are considered to be outstanding at the beginning of the reporting period.</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See Note 15 to the Consolidated Financial Statements included herein related to the computation of earnings per share.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Subsequent Events</w:t>
      </w:r>
    </w:p>
    <w:p>
      <w:pPr>
        <w:spacing w:after="0" w:line="114"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We have evaluated events and transactions during the period subsequent to September 30, 2021 through the date the financial statements were issued for potential recognition or disclosure in the accompanying financial statements covered by this report.</w:t>
      </w:r>
    </w:p>
    <w:p>
      <w:pPr>
        <w:spacing w:after="0" w:line="6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See Note 18 to the Consolidated Financial Statements included herein for additional information related to our subsequent events.</w:t>
      </w:r>
    </w:p>
    <w:p>
      <w:pPr>
        <w:spacing w:after="0" w:line="263" w:lineRule="exact"/>
        <w:rPr>
          <w:sz w:val="20"/>
          <w:szCs w:val="20"/>
          <w:color w:val="auto"/>
        </w:rPr>
      </w:pPr>
    </w:p>
    <w:p>
      <w:pPr>
        <w:ind w:right="6700" w:firstLine="3"/>
        <w:spacing w:after="0" w:line="447" w:lineRule="auto"/>
        <w:tabs>
          <w:tab w:leader="none" w:pos="619"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RECENTLY ISSUED ACCOUNTING STANDARDS Accounting Pronouncements Not Yet Adopted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Reference Rate Reform</w:t>
      </w:r>
    </w:p>
    <w:p>
      <w:pPr>
        <w:spacing w:after="0" w:line="114" w:lineRule="exact"/>
        <w:rPr>
          <w:sz w:val="20"/>
          <w:szCs w:val="20"/>
          <w:color w:val="auto"/>
        </w:rPr>
      </w:pPr>
    </w:p>
    <w:p>
      <w:pPr>
        <w:jc w:val="both"/>
        <w:ind w:firstLine="387"/>
        <w:spacing w:after="0" w:line="299" w:lineRule="auto"/>
        <w:rPr>
          <w:sz w:val="20"/>
          <w:szCs w:val="20"/>
          <w:color w:val="auto"/>
        </w:rPr>
      </w:pPr>
      <w:r>
        <w:rPr>
          <w:rFonts w:ascii="Arial" w:cs="Arial" w:eastAsia="Arial" w:hAnsi="Arial"/>
          <w:sz w:val="15"/>
          <w:szCs w:val="15"/>
          <w:color w:val="auto"/>
        </w:rPr>
        <w:t xml:space="preserve">In March 2020, the FASB issued ASU, </w:t>
      </w:r>
      <w:r>
        <w:rPr>
          <w:rFonts w:ascii="Arial" w:cs="Arial" w:eastAsia="Arial" w:hAnsi="Arial"/>
          <w:sz w:val="15"/>
          <w:szCs w:val="15"/>
          <w:i w:val="1"/>
          <w:iCs w:val="1"/>
          <w:color w:val="auto"/>
        </w:rPr>
        <w:t>Reference Rate Reform</w:t>
      </w:r>
      <w:r>
        <w:rPr>
          <w:rFonts w:ascii="Arial" w:cs="Arial" w:eastAsia="Arial" w:hAnsi="Arial"/>
          <w:sz w:val="15"/>
          <w:szCs w:val="15"/>
          <w:color w:val="auto"/>
        </w:rPr>
        <w:t xml:space="preserve"> (“Topic 848”) to provide optional guidance for a limited time to ease the potential burden in accounting for reference rate reform. The new guidance provides optional expedients and exceptions for applying GAAP to contracts, hedging relationships, and other transactions affected by reference rate reform if certain criteria are met. The amendments apply only to contracts and hedging relationships that reference London InterBank Offered Rate (“LIBOR”) or another reference rate expected to be discontinued due to reference rate reform. These amendments are effective immediately and may be applied prospectively to contract modifications made and hedging relationships entered into or evaluated on or before December 31, 2022. The Company did not utilize the optional expedients and exceptions provided by this ASU during the nine months ended September 30, 2021.</w:t>
      </w:r>
    </w:p>
    <w:p>
      <w:pPr>
        <w:spacing w:after="0" w:line="202" w:lineRule="exact"/>
        <w:rPr>
          <w:sz w:val="20"/>
          <w:szCs w:val="20"/>
          <w:color w:val="auto"/>
        </w:rPr>
      </w:pPr>
    </w:p>
    <w:p>
      <w:pPr>
        <w:ind w:left="620" w:hanging="617"/>
        <w:spacing w:after="0"/>
        <w:tabs>
          <w:tab w:leader="none" w:pos="62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GOODWILL</w:t>
      </w:r>
    </w:p>
    <w:p>
      <w:pPr>
        <w:spacing w:after="0" w:line="12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presents changes in goodwill in the accompanying Consolidated Balance Sheet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gridSpan w:val="2"/>
          </w:tcPr>
          <w:p>
            <w:pPr>
              <w:ind w:left="240"/>
              <w:spacing w:after="0"/>
              <w:rPr>
                <w:sz w:val="20"/>
                <w:szCs w:val="20"/>
                <w:color w:val="auto"/>
              </w:rPr>
            </w:pPr>
            <w:r>
              <w:rPr>
                <w:rFonts w:ascii="Arial" w:cs="Arial" w:eastAsia="Arial" w:hAnsi="Arial"/>
                <w:sz w:val="15"/>
                <w:szCs w:val="15"/>
                <w:b w:val="1"/>
                <w:bCs w:val="1"/>
                <w:color w:val="auto"/>
              </w:rPr>
              <w:t>December 31, 2020</w:t>
            </w:r>
          </w:p>
        </w:tc>
        <w:tc>
          <w:tcPr>
            <w:tcW w:w="3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b w:val="1"/>
                <w:bCs w:val="1"/>
                <w:color w:val="auto"/>
              </w:rPr>
              <w:t>September 30, 2021</w:t>
            </w:r>
          </w:p>
        </w:tc>
      </w:tr>
      <w:tr>
        <w:trPr>
          <w:trHeight w:val="215"/>
        </w:trPr>
        <w:tc>
          <w:tcPr>
            <w:tcW w:w="7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Goodwill at the beginning of the period</w:t>
            </w: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398,292</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392,978</w:t>
            </w:r>
          </w:p>
        </w:tc>
      </w:tr>
      <w:tr>
        <w:trPr>
          <w:trHeight w:val="219"/>
        </w:trPr>
        <w:tc>
          <w:tcPr>
            <w:tcW w:w="7340" w:type="dxa"/>
            <w:vAlign w:val="bottom"/>
          </w:tcPr>
          <w:p>
            <w:pPr>
              <w:ind w:left="20"/>
              <w:spacing w:after="0"/>
              <w:rPr>
                <w:sz w:val="20"/>
                <w:szCs w:val="20"/>
                <w:color w:val="auto"/>
              </w:rPr>
            </w:pPr>
            <w:r>
              <w:rPr>
                <w:rFonts w:ascii="Arial" w:cs="Arial" w:eastAsia="Arial" w:hAnsi="Arial"/>
                <w:sz w:val="17"/>
                <w:szCs w:val="17"/>
                <w:color w:val="auto"/>
              </w:rPr>
              <w:t>Net increase in goodwill related to acquisitions</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14,054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Decrease in goodwill related to divestitures</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(5,736)</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(1,006)</w:t>
            </w:r>
          </w:p>
        </w:tc>
      </w:tr>
      <w:tr>
        <w:trPr>
          <w:trHeight w:val="219"/>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Decrease in goodwill related to impairments</w:t>
            </w: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(13,632)</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7"/>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Goodwill at the end of the period</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392,978</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391,972</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 xml:space="preserve">During the nine months ended September 30, 2021, we allocated $1.0 million of goodwill to the sale of one funeral home for a loss recorded in </w:t>
      </w:r>
      <w:r>
        <w:rPr>
          <w:rFonts w:ascii="Arial" w:cs="Arial" w:eastAsia="Arial" w:hAnsi="Arial"/>
          <w:sz w:val="17"/>
          <w:szCs w:val="17"/>
          <w:i w:val="1"/>
          <w:iCs w:val="1"/>
          <w:color w:val="auto"/>
        </w:rPr>
        <w:t>Net loss 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divestitures, disposals and impairment charges </w:t>
      </w:r>
      <w:r>
        <w:rPr>
          <w:rFonts w:ascii="Arial" w:cs="Arial" w:eastAsia="Arial" w:hAnsi="Arial"/>
          <w:sz w:val="17"/>
          <w:szCs w:val="17"/>
          <w:color w:val="auto"/>
        </w:rPr>
        <w:t>on our Consolidated Statements of Operations.</w:t>
      </w:r>
    </w:p>
    <w:p>
      <w:pPr>
        <w:spacing w:after="0" w:line="6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See Note 1 to the Consolidated Financial Statements included herein, for a discussion of the methodology used for our goodwill impairment test.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15" w:name="page16"/>
    <w:bookmarkEnd w:id="15"/>
    <w:p>
      <w:pPr>
        <w:ind w:left="620" w:hanging="617"/>
        <w:spacing w:after="0"/>
        <w:tabs>
          <w:tab w:leader="none" w:pos="62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DIVESTED OPERATIONS</w:t>
      </w:r>
    </w:p>
    <w:p>
      <w:pPr>
        <w:spacing w:after="0" w:line="120" w:lineRule="exact"/>
        <w:rPr>
          <w:sz w:val="20"/>
          <w:szCs w:val="20"/>
          <w:color w:val="auto"/>
        </w:rPr>
      </w:pPr>
    </w:p>
    <w:p>
      <w:pPr>
        <w:ind w:right="100" w:firstLine="387"/>
        <w:spacing w:after="0" w:line="312" w:lineRule="auto"/>
        <w:rPr>
          <w:sz w:val="20"/>
          <w:szCs w:val="20"/>
          <w:color w:val="auto"/>
        </w:rPr>
      </w:pPr>
      <w:r>
        <w:rPr>
          <w:rFonts w:ascii="Arial" w:cs="Arial" w:eastAsia="Arial" w:hAnsi="Arial"/>
          <w:sz w:val="16"/>
          <w:szCs w:val="16"/>
          <w:color w:val="auto"/>
        </w:rPr>
        <w:t>During the three months ended September 30, 2021, we did not sell any funeral homes or cemeteries. During the nine months ended September 30, 2021, we sold three funeral homes for $3.5 million. During the three and nine months ended September 30, 2020, we sold six funeral homes for $7.3 million.</w:t>
      </w:r>
    </w:p>
    <w:p>
      <w:pPr>
        <w:spacing w:after="0" w:line="38"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operating results of these divested funeral homes are reflected in our Consolidated Statements of Operations as shown in the table below (in thousands):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w w:val="97"/>
              </w:rPr>
              <w:t>Three months ended September 30,</w:t>
            </w:r>
          </w:p>
        </w:tc>
        <w:tc>
          <w:tcPr>
            <w:tcW w:w="3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w w:val="98"/>
              </w:rPr>
              <w:t>Nine months ended September 30,</w:t>
            </w:r>
          </w:p>
        </w:tc>
        <w:tc>
          <w:tcPr>
            <w:tcW w:w="400" w:type="dxa"/>
            <w:vAlign w:val="bottom"/>
            <w:tcBorders>
              <w:bottom w:val="single" w:sz="8" w:color="auto"/>
            </w:tcBorders>
          </w:tcPr>
          <w:p>
            <w:pPr>
              <w:spacing w:after="0"/>
              <w:rPr>
                <w:sz w:val="17"/>
                <w:szCs w:val="17"/>
                <w:color w:val="auto"/>
              </w:rPr>
            </w:pPr>
          </w:p>
        </w:tc>
      </w:tr>
      <w:tr>
        <w:trPr>
          <w:trHeight w:val="200"/>
        </w:trPr>
        <w:tc>
          <w:tcPr>
            <w:tcW w:w="46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2021</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2021</w:t>
            </w:r>
          </w:p>
        </w:tc>
      </w:tr>
      <w:tr>
        <w:trPr>
          <w:trHeight w:val="215"/>
        </w:trPr>
        <w:tc>
          <w:tcPr>
            <w:tcW w:w="4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14"/>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(10)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1,829</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94"/>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w:t>
            </w:r>
          </w:p>
        </w:tc>
      </w:tr>
      <w:tr>
        <w:trPr>
          <w:trHeight w:val="103"/>
        </w:trPr>
        <w:tc>
          <w:tcPr>
            <w:tcW w:w="4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219"/>
        </w:trPr>
        <w:tc>
          <w:tcPr>
            <w:tcW w:w="4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income (loss)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(41)</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(54)</w:t>
            </w:r>
          </w:p>
        </w:tc>
      </w:tr>
      <w:tr>
        <w:trPr>
          <w:trHeight w:val="219"/>
        </w:trPr>
        <w:tc>
          <w:tcPr>
            <w:tcW w:w="4620" w:type="dxa"/>
            <w:vAlign w:val="bottom"/>
          </w:tcPr>
          <w:p>
            <w:pPr>
              <w:ind w:left="20"/>
              <w:spacing w:after="0" w:line="220" w:lineRule="exact"/>
              <w:rPr>
                <w:sz w:val="20"/>
                <w:szCs w:val="20"/>
                <w:color w:val="auto"/>
              </w:rPr>
            </w:pPr>
            <w:r>
              <w:rPr>
                <w:rFonts w:ascii="Arial" w:cs="Arial" w:eastAsia="Arial" w:hAnsi="Arial"/>
                <w:sz w:val="17"/>
                <w:szCs w:val="17"/>
                <w:color w:val="auto"/>
              </w:rPr>
              <w:t>Gain (loss) on divestitures</w:t>
            </w:r>
            <w:r>
              <w:rPr>
                <w:rFonts w:ascii="Arial" w:cs="Arial" w:eastAsia="Arial" w:hAnsi="Arial"/>
                <w:sz w:val="22"/>
                <w:szCs w:val="22"/>
                <w:color w:val="auto"/>
                <w:vertAlign w:val="superscript"/>
              </w:rPr>
              <w:t>(1)</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(4,917)</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(4,917)</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103</w:t>
            </w:r>
          </w:p>
        </w:tc>
      </w:tr>
      <w:tr>
        <w:trPr>
          <w:trHeight w:val="219"/>
        </w:trPr>
        <w:tc>
          <w:tcPr>
            <w:tcW w:w="4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benefit (expense)</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1,710</w:t>
            </w:r>
          </w:p>
        </w:tc>
        <w:tc>
          <w:tcPr>
            <w:tcW w:w="2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12</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1,638</w:t>
            </w:r>
          </w:p>
        </w:tc>
        <w:tc>
          <w:tcPr>
            <w:tcW w:w="2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2"/>
              </w:rPr>
              <w:t>(14)</w:t>
            </w:r>
          </w:p>
        </w:tc>
      </w:tr>
      <w:tr>
        <w:trPr>
          <w:trHeight w:val="212"/>
        </w:trPr>
        <w:tc>
          <w:tcPr>
            <w:tcW w:w="4620" w:type="dxa"/>
            <w:vAlign w:val="bottom"/>
          </w:tcPr>
          <w:p>
            <w:pPr>
              <w:ind w:left="20"/>
              <w:spacing w:after="0"/>
              <w:rPr>
                <w:sz w:val="20"/>
                <w:szCs w:val="20"/>
                <w:color w:val="auto"/>
              </w:rPr>
            </w:pPr>
            <w:r>
              <w:rPr>
                <w:rFonts w:ascii="Arial" w:cs="Arial" w:eastAsia="Arial" w:hAnsi="Arial"/>
                <w:sz w:val="17"/>
                <w:szCs w:val="17"/>
                <w:color w:val="auto"/>
              </w:rPr>
              <w:t>Net income (loss) from divested operations, after tax</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(3,319)</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914"/>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(29)</w:t>
            </w:r>
          </w:p>
        </w:tc>
        <w:tc>
          <w:tcPr>
            <w:tcW w:w="22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(3,209)</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ind w:right="894"/>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r>
      <w:tr>
        <w:trPr>
          <w:trHeight w:val="20"/>
        </w:trPr>
        <w:tc>
          <w:tcPr>
            <w:tcW w:w="4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71139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3905" cy="8255"/>
                    </a:xfrm>
                    <a:prstGeom prst="rect">
                      <a:avLst/>
                    </a:prstGeom>
                    <a:noFill/>
                  </pic:spPr>
                </pic:pic>
              </a:graphicData>
            </a:graphic>
          </wp:anchor>
        </w:drawing>
      </w:r>
    </w:p>
    <w:p>
      <w:pPr>
        <w:spacing w:after="0" w:line="191" w:lineRule="exact"/>
        <w:rPr>
          <w:sz w:val="20"/>
          <w:szCs w:val="20"/>
          <w:color w:val="auto"/>
        </w:rPr>
      </w:pPr>
    </w:p>
    <w:p>
      <w:pPr>
        <w:ind w:left="400" w:hanging="380"/>
        <w:spacing w:after="0"/>
        <w:tabs>
          <w:tab w:leader="none" w:pos="400" w:val="left"/>
        </w:tabs>
        <w:numPr>
          <w:ilvl w:val="1"/>
          <w:numId w:val="7"/>
        </w:numPr>
        <w:rPr>
          <w:rFonts w:ascii="Arial" w:cs="Arial" w:eastAsia="Arial" w:hAnsi="Arial"/>
          <w:sz w:val="15"/>
          <w:szCs w:val="15"/>
          <w:color w:val="auto"/>
        </w:rPr>
      </w:pPr>
      <w:r>
        <w:rPr>
          <w:rFonts w:ascii="Arial" w:cs="Arial" w:eastAsia="Arial" w:hAnsi="Arial"/>
          <w:sz w:val="15"/>
          <w:szCs w:val="15"/>
          <w:color w:val="auto"/>
        </w:rPr>
        <w:t xml:space="preserve">Gain (loss) on divestitures is recorded in </w:t>
      </w:r>
      <w:r>
        <w:rPr>
          <w:rFonts w:ascii="Arial" w:cs="Arial" w:eastAsia="Arial" w:hAnsi="Arial"/>
          <w:sz w:val="15"/>
          <w:szCs w:val="15"/>
          <w:i w:val="1"/>
          <w:iCs w:val="1"/>
          <w:color w:val="auto"/>
        </w:rPr>
        <w:t>Net loss on divestitures, disposals and impairments charges</w:t>
      </w:r>
      <w:r>
        <w:rPr>
          <w:rFonts w:ascii="Arial" w:cs="Arial" w:eastAsia="Arial" w:hAnsi="Arial"/>
          <w:sz w:val="15"/>
          <w:szCs w:val="15"/>
          <w:color w:val="auto"/>
        </w:rPr>
        <w:t xml:space="preserve"> on our Consolidated Statements of Operations.</w:t>
      </w:r>
    </w:p>
    <w:p>
      <w:pPr>
        <w:spacing w:after="0" w:line="359" w:lineRule="exact"/>
        <w:rPr>
          <w:rFonts w:ascii="Arial" w:cs="Arial" w:eastAsia="Arial" w:hAnsi="Arial"/>
          <w:sz w:val="15"/>
          <w:szCs w:val="15"/>
          <w:color w:val="auto"/>
        </w:rPr>
      </w:pPr>
    </w:p>
    <w:p>
      <w:pPr>
        <w:ind w:left="620" w:hanging="617"/>
        <w:spacing w:after="0"/>
        <w:tabs>
          <w:tab w:leader="none" w:pos="62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RECEIVABLES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Accounts Receivable</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Accounts receivable is comprised of the following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3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September 30, 2021</w:t>
            </w:r>
          </w:p>
        </w:tc>
        <w:tc>
          <w:tcPr>
            <w:tcW w:w="7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00"/>
        </w:trPr>
        <w:tc>
          <w:tcPr>
            <w:tcW w:w="53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Funeral</w:t>
            </w:r>
          </w:p>
        </w:tc>
        <w:tc>
          <w:tcPr>
            <w:tcW w:w="2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Cemetery</w:t>
            </w:r>
          </w:p>
        </w:tc>
        <w:tc>
          <w:tcPr>
            <w:tcW w:w="2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7"/>
              </w:rPr>
              <w:t>Corporate</w:t>
            </w:r>
          </w:p>
        </w:tc>
        <w:tc>
          <w:tcPr>
            <w:tcW w:w="1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Total</w:t>
            </w:r>
          </w:p>
        </w:tc>
      </w:tr>
      <w:tr>
        <w:trPr>
          <w:trHeight w:val="215"/>
        </w:trPr>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and financed receivables</w:t>
            </w:r>
          </w:p>
        </w:tc>
        <w:tc>
          <w:tcPr>
            <w:tcW w:w="44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11,099</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13,289</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24,388</w:t>
            </w:r>
          </w:p>
        </w:tc>
      </w:tr>
      <w:tr>
        <w:trPr>
          <w:trHeight w:val="219"/>
        </w:trPr>
        <w:tc>
          <w:tcPr>
            <w:tcW w:w="5300" w:type="dxa"/>
            <w:vAlign w:val="bottom"/>
          </w:tcPr>
          <w:p>
            <w:pPr>
              <w:ind w:left="20"/>
              <w:spacing w:after="0"/>
              <w:rPr>
                <w:sz w:val="20"/>
                <w:szCs w:val="20"/>
                <w:color w:val="auto"/>
              </w:rPr>
            </w:pPr>
            <w:r>
              <w:rPr>
                <w:rFonts w:ascii="Arial" w:cs="Arial" w:eastAsia="Arial" w:hAnsi="Arial"/>
                <w:sz w:val="17"/>
                <w:szCs w:val="17"/>
                <w:color w:val="auto"/>
              </w:rPr>
              <w:t>Other receivables</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461</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2,162</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260</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2,883</w:t>
            </w:r>
          </w:p>
        </w:tc>
      </w:tr>
      <w:tr>
        <w:trPr>
          <w:trHeight w:val="220"/>
        </w:trPr>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Allowance for credit losses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(768)</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(1,058)</w:t>
            </w:r>
          </w:p>
        </w:tc>
      </w:tr>
      <w:tr>
        <w:trPr>
          <w:trHeight w:val="212"/>
        </w:trPr>
        <w:tc>
          <w:tcPr>
            <w:tcW w:w="5300" w:type="dxa"/>
            <w:vAlign w:val="bottom"/>
          </w:tcPr>
          <w:p>
            <w:pPr>
              <w:ind w:left="20"/>
              <w:spacing w:after="0"/>
              <w:rPr>
                <w:sz w:val="20"/>
                <w:szCs w:val="20"/>
                <w:color w:val="auto"/>
              </w:rPr>
            </w:pPr>
            <w:r>
              <w:rPr>
                <w:rFonts w:ascii="Arial" w:cs="Arial" w:eastAsia="Arial" w:hAnsi="Arial"/>
                <w:sz w:val="17"/>
                <w:szCs w:val="17"/>
                <w:color w:val="auto"/>
              </w:rPr>
              <w:t>Accounts receivable, net</w:t>
            </w:r>
          </w:p>
        </w:tc>
        <w:tc>
          <w:tcPr>
            <w:tcW w:w="44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11,270</w:t>
            </w:r>
          </w:p>
        </w:tc>
        <w:tc>
          <w:tcPr>
            <w:tcW w:w="2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14,683</w:t>
            </w:r>
          </w:p>
        </w:tc>
        <w:tc>
          <w:tcPr>
            <w:tcW w:w="2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260</w:t>
            </w:r>
          </w:p>
        </w:tc>
        <w:tc>
          <w:tcPr>
            <w:tcW w:w="1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26,213</w:t>
            </w:r>
          </w:p>
        </w:tc>
      </w:tr>
      <w:tr>
        <w:trPr>
          <w:trHeight w:val="20"/>
        </w:trPr>
        <w:tc>
          <w:tcPr>
            <w:tcW w:w="5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tbl>
      <w:tblPr>
        <w:tblLayout w:type="fixed"/>
        <w:tblInd w:w="400" w:type="dxa"/>
        <w:tblCellMar>
          <w:top w:w="0" w:type="dxa"/>
          <w:left w:w="0" w:type="dxa"/>
          <w:bottom w:w="0" w:type="dxa"/>
          <w:right w:w="0" w:type="dxa"/>
        </w:tblCellMar>
      </w:tblPr>
      <w:tr>
        <w:trPr>
          <w:trHeight w:val="205"/>
        </w:trPr>
        <w:tc>
          <w:tcPr>
            <w:tcW w:w="424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5"/>
                <w:szCs w:val="15"/>
                <w:b w:val="1"/>
                <w:bCs w:val="1"/>
                <w:color w:val="auto"/>
              </w:rPr>
              <w:t>December 31, 2020</w:t>
            </w:r>
          </w:p>
        </w:tc>
        <w:tc>
          <w:tcPr>
            <w:tcW w:w="7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r>
      <w:tr>
        <w:trPr>
          <w:trHeight w:val="200"/>
        </w:trPr>
        <w:tc>
          <w:tcPr>
            <w:tcW w:w="424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Funeral</w:t>
            </w:r>
          </w:p>
        </w:tc>
        <w:tc>
          <w:tcPr>
            <w:tcW w:w="1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Cemetery</w:t>
            </w:r>
          </w:p>
        </w:tc>
        <w:tc>
          <w:tcPr>
            <w:tcW w:w="2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Corporate</w:t>
            </w:r>
          </w:p>
        </w:tc>
        <w:tc>
          <w:tcPr>
            <w:tcW w:w="16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T</w:t>
            </w:r>
          </w:p>
        </w:tc>
      </w:tr>
      <w:tr>
        <w:trPr>
          <w:trHeight w:val="215"/>
        </w:trPr>
        <w:tc>
          <w:tcPr>
            <w:tcW w:w="42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Trade and financed receivables</w:t>
            </w:r>
          </w:p>
        </w:tc>
        <w:tc>
          <w:tcPr>
            <w:tcW w:w="7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11,448</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12,230</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w:t>
            </w:r>
          </w:p>
        </w:tc>
      </w:tr>
      <w:tr>
        <w:trPr>
          <w:trHeight w:val="219"/>
        </w:trPr>
        <w:tc>
          <w:tcPr>
            <w:tcW w:w="4240" w:type="dxa"/>
            <w:vAlign w:val="bottom"/>
          </w:tcPr>
          <w:p>
            <w:pPr>
              <w:ind w:left="400"/>
              <w:spacing w:after="0"/>
              <w:rPr>
                <w:sz w:val="20"/>
                <w:szCs w:val="20"/>
                <w:color w:val="auto"/>
              </w:rPr>
            </w:pPr>
            <w:r>
              <w:rPr>
                <w:rFonts w:ascii="Arial" w:cs="Arial" w:eastAsia="Arial" w:hAnsi="Arial"/>
                <w:sz w:val="17"/>
                <w:szCs w:val="17"/>
                <w:color w:val="auto"/>
              </w:rPr>
              <w:t>Other receivables</w:t>
            </w:r>
          </w:p>
        </w:tc>
        <w:tc>
          <w:tcPr>
            <w:tcW w:w="7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367</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2,144</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201</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20"/>
        </w:trPr>
        <w:tc>
          <w:tcPr>
            <w:tcW w:w="42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Allowance for credit losses</w:t>
            </w:r>
          </w:p>
        </w:tc>
        <w:tc>
          <w:tcPr>
            <w:tcW w:w="7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(960)</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12"/>
        </w:trPr>
        <w:tc>
          <w:tcPr>
            <w:tcW w:w="4240" w:type="dxa"/>
            <w:vAlign w:val="bottom"/>
          </w:tcPr>
          <w:p>
            <w:pPr>
              <w:ind w:left="400"/>
              <w:spacing w:after="0"/>
              <w:rPr>
                <w:sz w:val="20"/>
                <w:szCs w:val="20"/>
                <w:color w:val="auto"/>
              </w:rPr>
            </w:pPr>
            <w:r>
              <w:rPr>
                <w:rFonts w:ascii="Arial" w:cs="Arial" w:eastAsia="Arial" w:hAnsi="Arial"/>
                <w:sz w:val="17"/>
                <w:szCs w:val="17"/>
                <w:color w:val="auto"/>
              </w:rPr>
              <w:t>Accounts receivable, net</w:t>
            </w:r>
          </w:p>
        </w:tc>
        <w:tc>
          <w:tcPr>
            <w:tcW w:w="78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11,488</w:t>
            </w:r>
          </w:p>
        </w:tc>
        <w:tc>
          <w:tcPr>
            <w:tcW w:w="18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13,414</w:t>
            </w:r>
          </w:p>
        </w:tc>
        <w:tc>
          <w:tcPr>
            <w:tcW w:w="20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201</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25,1</w:t>
            </w:r>
          </w:p>
        </w:tc>
      </w:tr>
      <w:tr>
        <w:trPr>
          <w:trHeight w:val="20"/>
        </w:trPr>
        <w:tc>
          <w:tcPr>
            <w:tcW w:w="4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right="100" w:firstLine="387"/>
        <w:spacing w:after="0" w:line="349" w:lineRule="auto"/>
        <w:rPr>
          <w:sz w:val="20"/>
          <w:szCs w:val="20"/>
          <w:color w:val="auto"/>
        </w:rPr>
      </w:pPr>
      <w:r>
        <w:rPr>
          <w:rFonts w:ascii="Arial" w:cs="Arial" w:eastAsia="Arial" w:hAnsi="Arial"/>
          <w:sz w:val="15"/>
          <w:szCs w:val="15"/>
          <w:color w:val="auto"/>
        </w:rPr>
        <w:t>Other receivables include supplier rebates, commissions due from third party insurance companies and perpetual care income receivables. We do not provide an allowance for credit losses for these receivables as we have historically not had any collectability issues nor do we expect any in the foreseeable future.</w:t>
      </w:r>
    </w:p>
    <w:p>
      <w:pPr>
        <w:spacing w:after="0" w:line="1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summarizes the activity in our allowance for credit losses by portfolio segment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40" w:type="dxa"/>
            <w:vAlign w:val="bottom"/>
          </w:tcPr>
          <w:p>
            <w:pPr>
              <w:spacing w:after="0"/>
              <w:rPr>
                <w:sz w:val="15"/>
                <w:szCs w:val="15"/>
                <w:color w:val="auto"/>
              </w:rPr>
            </w:pPr>
          </w:p>
        </w:tc>
        <w:tc>
          <w:tcPr>
            <w:tcW w:w="1220" w:type="dxa"/>
            <w:vAlign w:val="bottom"/>
            <w:gridSpan w:val="3"/>
            <w:vMerge w:val="restart"/>
          </w:tcPr>
          <w:p>
            <w:pPr>
              <w:ind w:left="40"/>
              <w:spacing w:after="0"/>
              <w:rPr>
                <w:sz w:val="20"/>
                <w:szCs w:val="20"/>
                <w:color w:val="auto"/>
              </w:rPr>
            </w:pPr>
            <w:r>
              <w:rPr>
                <w:rFonts w:ascii="Arial" w:cs="Arial" w:eastAsia="Arial" w:hAnsi="Arial"/>
                <w:sz w:val="15"/>
                <w:szCs w:val="15"/>
                <w:b w:val="1"/>
                <w:bCs w:val="1"/>
                <w:color w:val="auto"/>
              </w:rPr>
              <w:t>January 1, 2021</w:t>
            </w:r>
          </w:p>
        </w:tc>
        <w:tc>
          <w:tcPr>
            <w:tcW w:w="12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5"/>
                <w:szCs w:val="15"/>
                <w:b w:val="1"/>
                <w:bCs w:val="1"/>
                <w:color w:val="auto"/>
              </w:rPr>
              <w:t>Provision for</w:t>
            </w:r>
          </w:p>
        </w:tc>
        <w:tc>
          <w:tcPr>
            <w:tcW w:w="160" w:type="dxa"/>
            <w:vAlign w:val="bottom"/>
          </w:tcPr>
          <w:p>
            <w:pPr>
              <w:spacing w:after="0"/>
              <w:rPr>
                <w:sz w:val="15"/>
                <w:szCs w:val="15"/>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Write Offs</w:t>
            </w:r>
          </w:p>
        </w:tc>
        <w:tc>
          <w:tcPr>
            <w:tcW w:w="160" w:type="dxa"/>
            <w:vAlign w:val="bottom"/>
          </w:tcPr>
          <w:p>
            <w:pPr>
              <w:spacing w:after="0"/>
              <w:rPr>
                <w:sz w:val="15"/>
                <w:szCs w:val="15"/>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Recoveries</w:t>
            </w:r>
          </w:p>
        </w:tc>
        <w:tc>
          <w:tcPr>
            <w:tcW w:w="146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w w:val="97"/>
              </w:rPr>
              <w:t>September 30, 2021</w:t>
            </w:r>
          </w:p>
        </w:tc>
        <w:tc>
          <w:tcPr>
            <w:tcW w:w="0" w:type="dxa"/>
            <w:vAlign w:val="bottom"/>
          </w:tcPr>
          <w:p>
            <w:pPr>
              <w:spacing w:after="0"/>
              <w:rPr>
                <w:sz w:val="1"/>
                <w:szCs w:val="1"/>
                <w:color w:val="auto"/>
              </w:rPr>
            </w:pPr>
          </w:p>
        </w:tc>
      </w:tr>
      <w:tr>
        <w:trPr>
          <w:trHeight w:val="202"/>
        </w:trPr>
        <w:tc>
          <w:tcPr>
            <w:tcW w:w="4840" w:type="dxa"/>
            <w:vAlign w:val="bottom"/>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Arial" w:cs="Arial" w:eastAsia="Arial" w:hAnsi="Arial"/>
                <w:sz w:val="15"/>
                <w:szCs w:val="15"/>
                <w:b w:val="1"/>
                <w:bCs w:val="1"/>
                <w:color w:val="auto"/>
              </w:rPr>
              <w:t>Credit Losses</w:t>
            </w:r>
          </w:p>
        </w:tc>
        <w:tc>
          <w:tcPr>
            <w:tcW w:w="1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20"/>
              <w:spacing w:after="0"/>
              <w:rPr>
                <w:sz w:val="20"/>
                <w:szCs w:val="20"/>
                <w:color w:val="auto"/>
              </w:rPr>
            </w:pPr>
            <w:r>
              <w:rPr>
                <w:rFonts w:ascii="Arial" w:cs="Arial" w:eastAsia="Arial" w:hAnsi="Arial"/>
                <w:sz w:val="17"/>
                <w:szCs w:val="17"/>
                <w:color w:val="auto"/>
              </w:rPr>
              <w:t>Trade and financed receivables:</w:t>
            </w: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Funeral</w:t>
            </w:r>
          </w:p>
        </w:tc>
        <w:tc>
          <w:tcPr>
            <w:tcW w:w="34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7"/>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w:t>
            </w:r>
          </w:p>
        </w:tc>
        <w:tc>
          <w:tcPr>
            <w:tcW w:w="0" w:type="dxa"/>
            <w:vAlign w:val="bottom"/>
          </w:tcPr>
          <w:p>
            <w:pPr>
              <w:spacing w:after="0"/>
              <w:rPr>
                <w:sz w:val="1"/>
                <w:szCs w:val="1"/>
                <w:color w:val="auto"/>
              </w:rPr>
            </w:pPr>
          </w:p>
        </w:tc>
      </w:tr>
      <w:tr>
        <w:trPr>
          <w:trHeight w:val="219"/>
        </w:trPr>
        <w:tc>
          <w:tcPr>
            <w:tcW w:w="4840" w:type="dxa"/>
            <w:vAlign w:val="bottom"/>
          </w:tcPr>
          <w:p>
            <w:pPr>
              <w:ind w:left="20"/>
              <w:spacing w:after="0"/>
              <w:rPr>
                <w:sz w:val="20"/>
                <w:szCs w:val="20"/>
                <w:color w:val="auto"/>
              </w:rPr>
            </w:pPr>
            <w:r>
              <w:rPr>
                <w:rFonts w:ascii="Arial" w:cs="Arial" w:eastAsia="Arial" w:hAnsi="Arial"/>
                <w:sz w:val="17"/>
                <w:szCs w:val="17"/>
                <w:color w:val="auto"/>
              </w:rPr>
              <w:t>Cemetery</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74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(768)</w:t>
            </w:r>
          </w:p>
        </w:tc>
        <w:tc>
          <w:tcPr>
            <w:tcW w:w="0" w:type="dxa"/>
            <w:vAlign w:val="bottom"/>
          </w:tcPr>
          <w:p>
            <w:pPr>
              <w:spacing w:after="0"/>
              <w:rPr>
                <w:sz w:val="1"/>
                <w:szCs w:val="1"/>
                <w:color w:val="auto"/>
              </w:rPr>
            </w:pPr>
          </w:p>
        </w:tc>
      </w:tr>
      <w:tr>
        <w:trPr>
          <w:trHeight w:val="238"/>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4"/>
              </w:rPr>
              <w:t>Total allowance for credit losses on Trade and financed receivables</w:t>
            </w:r>
          </w:p>
        </w:tc>
        <w:tc>
          <w:tcPr>
            <w:tcW w:w="34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37"/>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(1,058)</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3"/>
        </w:trPr>
        <w:tc>
          <w:tcPr>
            <w:tcW w:w="4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ind w:right="54"/>
              <w:spacing w:after="0"/>
              <w:rPr>
                <w:sz w:val="20"/>
                <w:szCs w:val="20"/>
                <w:color w:val="auto"/>
              </w:rPr>
            </w:pPr>
            <w:r>
              <w:rPr>
                <w:rFonts w:ascii="Arial" w:cs="Arial" w:eastAsia="Arial" w:hAnsi="Arial"/>
                <w:sz w:val="17"/>
                <w:szCs w:val="17"/>
                <w:color w:val="auto"/>
              </w:rPr>
              <w:t>- 16 -</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8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115" w:right="239" w:bottom="1440" w:gutter="0" w:footer="0" w:header="0"/>
        </w:sectPr>
      </w:pPr>
    </w:p>
    <w:bookmarkStart w:id="16" w:name="page17"/>
    <w:bookmarkEnd w:id="16"/>
    <w:p>
      <w:pPr>
        <w:spacing w:after="0"/>
        <w:rPr>
          <w:sz w:val="20"/>
          <w:szCs w:val="20"/>
          <w:color w:val="auto"/>
        </w:rPr>
      </w:pPr>
      <w:r>
        <w:rPr>
          <w:rFonts w:ascii="Arial" w:cs="Arial" w:eastAsia="Arial" w:hAnsi="Arial"/>
          <w:sz w:val="17"/>
          <w:szCs w:val="17"/>
          <w:i w:val="1"/>
          <w:iCs w:val="1"/>
          <w:color w:val="auto"/>
        </w:rPr>
        <w:t>Preneed Cemetery Receivables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preneed cemetery receivables are comprised of the following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gridSpan w:val="2"/>
          </w:tcPr>
          <w:p>
            <w:pPr>
              <w:ind w:left="220"/>
              <w:spacing w:after="0"/>
              <w:rPr>
                <w:sz w:val="20"/>
                <w:szCs w:val="20"/>
                <w:color w:val="auto"/>
              </w:rPr>
            </w:pPr>
            <w:r>
              <w:rPr>
                <w:rFonts w:ascii="Arial" w:cs="Arial" w:eastAsia="Arial" w:hAnsi="Arial"/>
                <w:sz w:val="15"/>
                <w:szCs w:val="15"/>
                <w:b w:val="1"/>
                <w:bCs w:val="1"/>
                <w:color w:val="auto"/>
              </w:rPr>
              <w:t>December 31, 2020</w:t>
            </w: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b w:val="1"/>
                <w:bCs w:val="1"/>
                <w:color w:val="auto"/>
              </w:rPr>
              <w:t>September 30, 2021</w:t>
            </w:r>
          </w:p>
        </w:tc>
      </w:tr>
      <w:tr>
        <w:trPr>
          <w:trHeight w:val="215"/>
        </w:trPr>
        <w:tc>
          <w:tcPr>
            <w:tcW w:w="7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Cemetery interment rights</w:t>
            </w: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36,696</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41,179</w:t>
            </w:r>
          </w:p>
        </w:tc>
      </w:tr>
      <w:tr>
        <w:trPr>
          <w:trHeight w:val="219"/>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Cemetery merchandise and services</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10,526</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11,661</w:t>
            </w:r>
          </w:p>
        </w:tc>
      </w:tr>
      <w:tr>
        <w:trPr>
          <w:trHeight w:val="237"/>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Cemetery financed receivables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47,222</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52,840</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components of our preneed cemetery receivables are as follows (in thousands):</w:t>
      </w:r>
    </w:p>
    <w:p>
      <w:pPr>
        <w:spacing w:after="0" w:line="48"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gridSpan w:val="7"/>
          </w:tcPr>
          <w:p>
            <w:pPr>
              <w:jc w:val="right"/>
              <w:ind w:right="240"/>
              <w:spacing w:after="0"/>
              <w:rPr>
                <w:sz w:val="20"/>
                <w:szCs w:val="20"/>
                <w:color w:val="auto"/>
              </w:rPr>
            </w:pPr>
            <w:r>
              <w:rPr>
                <w:rFonts w:ascii="Arial" w:cs="Arial" w:eastAsia="Arial" w:hAnsi="Arial"/>
                <w:sz w:val="15"/>
                <w:szCs w:val="15"/>
                <w:b w:val="1"/>
                <w:bCs w:val="1"/>
                <w:color w:val="auto"/>
              </w:rPr>
              <w:t>December 31, 2020</w:t>
            </w:r>
          </w:p>
        </w:tc>
        <w:tc>
          <w:tcPr>
            <w:tcW w:w="400" w:type="dxa"/>
            <w:vAlign w:val="bottom"/>
          </w:tcPr>
          <w:p>
            <w:pPr>
              <w:spacing w:after="0"/>
              <w:rPr>
                <w:sz w:val="17"/>
                <w:szCs w:val="17"/>
                <w:color w:val="auto"/>
              </w:rPr>
            </w:pPr>
          </w:p>
        </w:tc>
        <w:tc>
          <w:tcPr>
            <w:tcW w:w="1500" w:type="dxa"/>
            <w:vAlign w:val="bottom"/>
            <w:gridSpan w:val="6"/>
          </w:tcPr>
          <w:p>
            <w:pPr>
              <w:jc w:val="right"/>
              <w:ind w:right="54"/>
              <w:spacing w:after="0"/>
              <w:rPr>
                <w:sz w:val="20"/>
                <w:szCs w:val="20"/>
                <w:color w:val="auto"/>
              </w:rPr>
            </w:pPr>
            <w:r>
              <w:rPr>
                <w:rFonts w:ascii="Arial" w:cs="Arial" w:eastAsia="Arial" w:hAnsi="Arial"/>
                <w:sz w:val="15"/>
                <w:szCs w:val="15"/>
                <w:b w:val="1"/>
                <w:bCs w:val="1"/>
                <w:color w:val="auto"/>
                <w:w w:val="95"/>
              </w:rPr>
              <w:t>September 30, 2021</w:t>
            </w:r>
          </w:p>
        </w:tc>
        <w:tc>
          <w:tcPr>
            <w:tcW w:w="0" w:type="dxa"/>
            <w:vAlign w:val="bottom"/>
          </w:tcPr>
          <w:p>
            <w:pPr>
              <w:spacing w:after="0"/>
              <w:rPr>
                <w:sz w:val="1"/>
                <w:szCs w:val="1"/>
                <w:color w:val="auto"/>
              </w:rPr>
            </w:pPr>
          </w:p>
        </w:tc>
      </w:tr>
      <w:tr>
        <w:trPr>
          <w:trHeight w:val="215"/>
        </w:trPr>
        <w:tc>
          <w:tcPr>
            <w:tcW w:w="2260" w:type="dxa"/>
            <w:vAlign w:val="bottom"/>
            <w:tcBorders>
              <w:top w:val="single" w:sz="8" w:color="CCEEFF"/>
            </w:tcBorders>
            <w:gridSpan w:val="4"/>
            <w:shd w:val="clear" w:color="auto" w:fill="CCEEFF"/>
          </w:tcPr>
          <w:p>
            <w:pPr>
              <w:ind w:left="20"/>
              <w:spacing w:after="0"/>
              <w:rPr>
                <w:sz w:val="20"/>
                <w:szCs w:val="20"/>
                <w:color w:val="auto"/>
              </w:rPr>
            </w:pPr>
            <w:r>
              <w:rPr>
                <w:rFonts w:ascii="Arial" w:cs="Arial" w:eastAsia="Arial" w:hAnsi="Arial"/>
                <w:sz w:val="17"/>
                <w:szCs w:val="17"/>
                <w:color w:val="auto"/>
                <w:w w:val="96"/>
              </w:rPr>
              <w:t>Preneed cemetery receivables</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5"/>
              <w:spacing w:after="0"/>
              <w:rPr>
                <w:sz w:val="20"/>
                <w:szCs w:val="20"/>
                <w:color w:val="auto"/>
              </w:rPr>
            </w:pPr>
            <w:r>
              <w:rPr>
                <w:rFonts w:ascii="Arial" w:cs="Arial" w:eastAsia="Arial" w:hAnsi="Arial"/>
                <w:sz w:val="17"/>
                <w:szCs w:val="17"/>
                <w:color w:val="auto"/>
                <w:w w:val="84"/>
              </w:rPr>
              <w:t>$</w:t>
            </w:r>
          </w:p>
        </w:tc>
        <w:tc>
          <w:tcPr>
            <w:tcW w:w="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gridSpan w:val="3"/>
            <w:shd w:val="clear" w:color="auto" w:fill="CCEEFF"/>
          </w:tcPr>
          <w:p>
            <w:pPr>
              <w:jc w:val="right"/>
              <w:ind w:right="3"/>
              <w:spacing w:after="0"/>
              <w:rPr>
                <w:sz w:val="20"/>
                <w:szCs w:val="20"/>
                <w:color w:val="auto"/>
              </w:rPr>
            </w:pPr>
            <w:r>
              <w:rPr>
                <w:rFonts w:ascii="Arial" w:cs="Arial" w:eastAsia="Arial" w:hAnsi="Arial"/>
                <w:sz w:val="17"/>
                <w:szCs w:val="17"/>
                <w:color w:val="auto"/>
                <w:w w:val="99"/>
              </w:rPr>
              <w:t>47,222</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52,840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60" w:type="dxa"/>
            <w:vAlign w:val="bottom"/>
            <w:tcBorders>
              <w:bottom w:val="single" w:sz="8" w:color="CCEEFF"/>
            </w:tcBorders>
            <w:gridSpan w:val="4"/>
          </w:tcPr>
          <w:p>
            <w:pPr>
              <w:ind w:left="20"/>
              <w:spacing w:after="0"/>
              <w:rPr>
                <w:sz w:val="20"/>
                <w:szCs w:val="20"/>
                <w:color w:val="auto"/>
              </w:rPr>
            </w:pPr>
            <w:r>
              <w:rPr>
                <w:rFonts w:ascii="Arial" w:cs="Arial" w:eastAsia="Arial" w:hAnsi="Arial"/>
                <w:sz w:val="17"/>
                <w:szCs w:val="17"/>
                <w:color w:val="auto"/>
                <w:w w:val="91"/>
              </w:rPr>
              <w:t>Less: unearned finance charges</w:t>
            </w:r>
          </w:p>
        </w:tc>
        <w:tc>
          <w:tcPr>
            <w:tcW w:w="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(4,348)</w:t>
            </w:r>
          </w:p>
        </w:tc>
        <w:tc>
          <w:tcPr>
            <w:tcW w:w="2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(4,745)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gridSpan w:val="7"/>
            <w:shd w:val="clear" w:color="auto" w:fill="CCEEFF"/>
          </w:tcPr>
          <w:p>
            <w:pPr>
              <w:ind w:left="20"/>
              <w:spacing w:after="0"/>
              <w:rPr>
                <w:sz w:val="20"/>
                <w:szCs w:val="20"/>
                <w:color w:val="auto"/>
              </w:rPr>
            </w:pPr>
            <w:r>
              <w:rPr>
                <w:rFonts w:ascii="Arial" w:cs="Arial" w:eastAsia="Arial" w:hAnsi="Arial"/>
                <w:sz w:val="17"/>
                <w:szCs w:val="17"/>
                <w:color w:val="auto"/>
                <w:w w:val="96"/>
              </w:rPr>
              <w:t>Preneed cemetery receivables, at amortized cost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5"/>
              <w:spacing w:after="0"/>
              <w:rPr>
                <w:sz w:val="20"/>
                <w:szCs w:val="20"/>
                <w:color w:val="auto"/>
              </w:rPr>
            </w:pPr>
            <w:r>
              <w:rPr>
                <w:rFonts w:ascii="Arial" w:cs="Arial" w:eastAsia="Arial" w:hAnsi="Arial"/>
                <w:sz w:val="17"/>
                <w:szCs w:val="17"/>
                <w:color w:val="auto"/>
                <w:w w:val="84"/>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3"/>
              <w:spacing w:after="0"/>
              <w:rPr>
                <w:sz w:val="20"/>
                <w:szCs w:val="20"/>
                <w:color w:val="auto"/>
              </w:rPr>
            </w:pPr>
            <w:r>
              <w:rPr>
                <w:rFonts w:ascii="Arial" w:cs="Arial" w:eastAsia="Arial" w:hAnsi="Arial"/>
                <w:sz w:val="17"/>
                <w:szCs w:val="17"/>
                <w:color w:val="auto"/>
                <w:w w:val="99"/>
              </w:rPr>
              <w:t>42,874</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48,095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60" w:type="dxa"/>
            <w:vAlign w:val="bottom"/>
            <w:gridSpan w:val="4"/>
          </w:tcPr>
          <w:p>
            <w:pPr>
              <w:ind w:left="20"/>
              <w:spacing w:after="0"/>
              <w:rPr>
                <w:sz w:val="20"/>
                <w:szCs w:val="20"/>
                <w:color w:val="auto"/>
              </w:rPr>
            </w:pPr>
            <w:r>
              <w:rPr>
                <w:rFonts w:ascii="Arial" w:cs="Arial" w:eastAsia="Arial" w:hAnsi="Arial"/>
                <w:sz w:val="17"/>
                <w:szCs w:val="17"/>
                <w:color w:val="auto"/>
                <w:w w:val="90"/>
              </w:rPr>
              <w:t>Less: allowance for credit losses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(2,604)</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(2,083)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80" w:type="dxa"/>
            <w:vAlign w:val="bottom"/>
            <w:gridSpan w:val="10"/>
            <w:shd w:val="clear" w:color="auto" w:fill="CCEEFF"/>
          </w:tcPr>
          <w:p>
            <w:pPr>
              <w:ind w:left="20"/>
              <w:spacing w:after="0"/>
              <w:rPr>
                <w:sz w:val="20"/>
                <w:szCs w:val="20"/>
                <w:color w:val="auto"/>
              </w:rPr>
            </w:pPr>
            <w:r>
              <w:rPr>
                <w:rFonts w:ascii="Arial" w:cs="Arial" w:eastAsia="Arial" w:hAnsi="Arial"/>
                <w:sz w:val="17"/>
                <w:szCs w:val="17"/>
                <w:color w:val="auto"/>
                <w:w w:val="99"/>
              </w:rPr>
              <w:t>Less: balances due on undelivered cemetery preneed contracts</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(7,919)</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(10,559)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900" w:type="dxa"/>
            <w:vAlign w:val="bottom"/>
            <w:tcBorders>
              <w:bottom w:val="single" w:sz="8" w:color="CCEEFF"/>
            </w:tcBorders>
            <w:gridSpan w:val="6"/>
          </w:tcPr>
          <w:p>
            <w:pPr>
              <w:ind w:left="20"/>
              <w:spacing w:after="0"/>
              <w:rPr>
                <w:sz w:val="20"/>
                <w:szCs w:val="20"/>
                <w:color w:val="auto"/>
              </w:rPr>
            </w:pPr>
            <w:r>
              <w:rPr>
                <w:rFonts w:ascii="Arial" w:cs="Arial" w:eastAsia="Arial" w:hAnsi="Arial"/>
                <w:sz w:val="17"/>
                <w:szCs w:val="17"/>
                <w:color w:val="auto"/>
              </w:rPr>
              <w:t>Less: amounts in accounts receivable</w:t>
            </w:r>
          </w:p>
        </w:tc>
        <w:tc>
          <w:tcPr>
            <w:tcW w:w="6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w w:val="88"/>
              </w:rPr>
              <w:t>(11,270)</w:t>
            </w:r>
          </w:p>
        </w:tc>
        <w:tc>
          <w:tcPr>
            <w:tcW w:w="2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(12,521)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0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7"/>
                <w:szCs w:val="17"/>
                <w:color w:val="auto"/>
              </w:rPr>
              <w:t>Preneed cemetery receivables, net</w:t>
            </w:r>
          </w:p>
        </w:tc>
        <w:tc>
          <w:tcPr>
            <w:tcW w:w="6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5"/>
              <w:spacing w:after="0"/>
              <w:rPr>
                <w:sz w:val="20"/>
                <w:szCs w:val="20"/>
                <w:color w:val="auto"/>
              </w:rPr>
            </w:pPr>
            <w:r>
              <w:rPr>
                <w:rFonts w:ascii="Arial" w:cs="Arial" w:eastAsia="Arial" w:hAnsi="Arial"/>
                <w:sz w:val="17"/>
                <w:szCs w:val="17"/>
                <w:color w:val="auto"/>
                <w:w w:val="84"/>
              </w:rPr>
              <w:t>$</w:t>
            </w:r>
          </w:p>
        </w:tc>
        <w:tc>
          <w:tcPr>
            <w:tcW w:w="12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gridSpan w:val="3"/>
            <w:shd w:val="clear" w:color="auto" w:fill="CCEEFF"/>
          </w:tcPr>
          <w:p>
            <w:pPr>
              <w:jc w:val="right"/>
              <w:ind w:right="3"/>
              <w:spacing w:after="0"/>
              <w:rPr>
                <w:sz w:val="20"/>
                <w:szCs w:val="20"/>
                <w:color w:val="auto"/>
              </w:rPr>
            </w:pPr>
            <w:r>
              <w:rPr>
                <w:rFonts w:ascii="Arial" w:cs="Arial" w:eastAsia="Arial" w:hAnsi="Arial"/>
                <w:sz w:val="17"/>
                <w:szCs w:val="17"/>
                <w:color w:val="auto"/>
                <w:w w:val="99"/>
              </w:rPr>
              <w:t>21,081</w:t>
            </w:r>
          </w:p>
        </w:tc>
        <w:tc>
          <w:tcPr>
            <w:tcW w:w="2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22,932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gridSpan w:val="3"/>
          </w:tcPr>
          <w:p>
            <w:pPr>
              <w:spacing w:after="0" w:line="20" w:lineRule="exact"/>
              <w:rPr>
                <w:sz w:val="1"/>
                <w:szCs w:val="1"/>
                <w:color w:val="auto"/>
              </w:rPr>
            </w:pPr>
          </w:p>
        </w:tc>
        <w:tc>
          <w:tcPr>
            <w:tcW w:w="152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gridSpan w:val="3"/>
          </w:tcPr>
          <w:p>
            <w:pPr>
              <w:spacing w:after="0" w:line="20" w:lineRule="exact"/>
              <w:rPr>
                <w:sz w:val="1"/>
                <w:szCs w:val="1"/>
                <w:color w:val="auto"/>
              </w:rPr>
            </w:pPr>
          </w:p>
        </w:tc>
        <w:tc>
          <w:tcPr>
            <w:tcW w:w="660" w:type="dxa"/>
            <w:vAlign w:val="bottom"/>
            <w:tcBorders>
              <w:top w:val="single" w:sz="8" w:color="CCEEFF"/>
            </w:tcBorders>
            <w:gridSpan w:val="2"/>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4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420" w:type="dxa"/>
            <w:vAlign w:val="bottom"/>
            <w:gridSpan w:val="25"/>
          </w:tcPr>
          <w:p>
            <w:pPr>
              <w:ind w:left="380"/>
              <w:spacing w:after="0"/>
              <w:rPr>
                <w:sz w:val="20"/>
                <w:szCs w:val="20"/>
                <w:color w:val="auto"/>
              </w:rPr>
            </w:pPr>
            <w:r>
              <w:rPr>
                <w:rFonts w:ascii="Arial" w:cs="Arial" w:eastAsia="Arial" w:hAnsi="Arial"/>
                <w:sz w:val="17"/>
                <w:szCs w:val="17"/>
                <w:color w:val="auto"/>
                <w:w w:val="91"/>
              </w:rPr>
              <w:t xml:space="preserve">The following table summarizes the activity in our allowance for credit losses for </w:t>
            </w:r>
            <w:r>
              <w:rPr>
                <w:rFonts w:ascii="Arial" w:cs="Arial" w:eastAsia="Arial" w:hAnsi="Arial"/>
                <w:sz w:val="17"/>
                <w:szCs w:val="17"/>
                <w:i w:val="1"/>
                <w:iCs w:val="1"/>
                <w:color w:val="auto"/>
                <w:w w:val="91"/>
              </w:rPr>
              <w:t>Preneed cemetery receivables, net</w:t>
            </w:r>
            <w:r>
              <w:rPr>
                <w:rFonts w:ascii="Arial" w:cs="Arial" w:eastAsia="Arial" w:hAnsi="Arial"/>
                <w:sz w:val="17"/>
                <w:szCs w:val="17"/>
                <w:color w:val="auto"/>
                <w:w w:val="91"/>
              </w:rPr>
              <w:t xml:space="preserve"> (in thousands):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4"/>
            <w:vMerge w:val="restart"/>
          </w:tcPr>
          <w:p>
            <w:pPr>
              <w:ind w:left="240"/>
              <w:spacing w:after="0"/>
              <w:rPr>
                <w:sz w:val="20"/>
                <w:szCs w:val="20"/>
                <w:color w:val="auto"/>
              </w:rPr>
            </w:pPr>
            <w:r>
              <w:rPr>
                <w:rFonts w:ascii="Arial" w:cs="Arial" w:eastAsia="Arial" w:hAnsi="Arial"/>
                <w:sz w:val="15"/>
                <w:szCs w:val="15"/>
                <w:b w:val="1"/>
                <w:bCs w:val="1"/>
                <w:color w:val="auto"/>
              </w:rPr>
              <w:t>January 1, 2021</w:t>
            </w:r>
          </w:p>
        </w:tc>
        <w:tc>
          <w:tcPr>
            <w:tcW w:w="1600" w:type="dxa"/>
            <w:vAlign w:val="bottom"/>
            <w:gridSpan w:val="4"/>
          </w:tcPr>
          <w:p>
            <w:pPr>
              <w:jc w:val="right"/>
              <w:ind w:right="75"/>
              <w:spacing w:after="0"/>
              <w:rPr>
                <w:sz w:val="20"/>
                <w:szCs w:val="20"/>
                <w:color w:val="auto"/>
              </w:rPr>
            </w:pPr>
            <w:r>
              <w:rPr>
                <w:rFonts w:ascii="Arial" w:cs="Arial" w:eastAsia="Arial" w:hAnsi="Arial"/>
                <w:sz w:val="15"/>
                <w:szCs w:val="15"/>
                <w:b w:val="1"/>
                <w:bCs w:val="1"/>
                <w:color w:val="auto"/>
              </w:rPr>
              <w:t>Provision for</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6"/>
            <w:vMerge w:val="restart"/>
          </w:tcPr>
          <w:p>
            <w:pPr>
              <w:ind w:left="120"/>
              <w:spacing w:after="0"/>
              <w:rPr>
                <w:sz w:val="20"/>
                <w:szCs w:val="20"/>
                <w:color w:val="auto"/>
              </w:rPr>
            </w:pPr>
            <w:r>
              <w:rPr>
                <w:rFonts w:ascii="Arial" w:cs="Arial" w:eastAsia="Arial" w:hAnsi="Arial"/>
                <w:sz w:val="15"/>
                <w:szCs w:val="15"/>
                <w:b w:val="1"/>
                <w:bCs w:val="1"/>
                <w:color w:val="auto"/>
              </w:rPr>
              <w:t>Write Offs</w:t>
            </w:r>
          </w:p>
        </w:tc>
        <w:tc>
          <w:tcPr>
            <w:tcW w:w="1120" w:type="dxa"/>
            <w:vAlign w:val="bottom"/>
            <w:gridSpan w:val="3"/>
          </w:tcPr>
          <w:p>
            <w:pPr>
              <w:jc w:val="right"/>
              <w:spacing w:after="0"/>
              <w:rPr>
                <w:sz w:val="20"/>
                <w:szCs w:val="20"/>
                <w:color w:val="auto"/>
              </w:rPr>
            </w:pPr>
            <w:r>
              <w:rPr>
                <w:rFonts w:ascii="Arial" w:cs="Arial" w:eastAsia="Arial" w:hAnsi="Arial"/>
                <w:sz w:val="15"/>
                <w:szCs w:val="15"/>
                <w:b w:val="1"/>
                <w:bCs w:val="1"/>
                <w:color w:val="auto"/>
              </w:rPr>
              <w:t>September 3</w:t>
            </w:r>
          </w:p>
        </w:tc>
        <w:tc>
          <w:tcPr>
            <w:tcW w:w="0" w:type="dxa"/>
            <w:vAlign w:val="bottom"/>
          </w:tcPr>
          <w:p>
            <w:pPr>
              <w:spacing w:after="0"/>
              <w:rPr>
                <w:sz w:val="1"/>
                <w:szCs w:val="1"/>
                <w:color w:val="auto"/>
              </w:rPr>
            </w:pPr>
          </w:p>
        </w:tc>
      </w:tr>
      <w:tr>
        <w:trPr>
          <w:trHeight w:val="204"/>
        </w:trPr>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4"/>
            <w:vMerge w:val="continue"/>
          </w:tcPr>
          <w:p>
            <w:pPr>
              <w:spacing w:after="0"/>
              <w:rPr>
                <w:sz w:val="17"/>
                <w:szCs w:val="17"/>
                <w:color w:val="auto"/>
              </w:rPr>
            </w:pPr>
          </w:p>
        </w:tc>
        <w:tc>
          <w:tcPr>
            <w:tcW w:w="1600" w:type="dxa"/>
            <w:vAlign w:val="bottom"/>
            <w:gridSpan w:val="4"/>
          </w:tcPr>
          <w:p>
            <w:pPr>
              <w:jc w:val="right"/>
              <w:ind w:right="255"/>
              <w:spacing w:after="0"/>
              <w:rPr>
                <w:sz w:val="20"/>
                <w:szCs w:val="20"/>
                <w:color w:val="auto"/>
              </w:rPr>
            </w:pPr>
            <w:r>
              <w:rPr>
                <w:rFonts w:ascii="Arial" w:cs="Arial" w:eastAsia="Arial" w:hAnsi="Arial"/>
                <w:sz w:val="15"/>
                <w:szCs w:val="15"/>
                <w:b w:val="1"/>
                <w:bCs w:val="1"/>
                <w:color w:val="auto"/>
              </w:rPr>
              <w:t>Credit Losses</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6"/>
            <w:vMerge w:val="continue"/>
          </w:tcPr>
          <w:p>
            <w:pPr>
              <w:spacing w:after="0"/>
              <w:rPr>
                <w:sz w:val="17"/>
                <w:szCs w:val="17"/>
                <w:color w:val="auto"/>
              </w:rPr>
            </w:pPr>
          </w:p>
        </w:tc>
        <w:tc>
          <w:tcPr>
            <w:tcW w:w="800" w:type="dxa"/>
            <w:vAlign w:val="bottom"/>
          </w:tcPr>
          <w:p>
            <w:pPr>
              <w:ind w:left="420"/>
              <w:spacing w:after="0"/>
              <w:rPr>
                <w:sz w:val="20"/>
                <w:szCs w:val="20"/>
                <w:color w:val="auto"/>
              </w:rPr>
            </w:pPr>
            <w:r>
              <w:rPr>
                <w:rFonts w:ascii="Arial" w:cs="Arial" w:eastAsia="Arial" w:hAnsi="Arial"/>
                <w:sz w:val="15"/>
                <w:szCs w:val="15"/>
                <w:b w:val="1"/>
                <w:bCs w:val="1"/>
                <w:color w:val="auto"/>
              </w:rPr>
              <w:t>2021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380" w:type="dxa"/>
            <w:vAlign w:val="bottom"/>
          </w:tcPr>
          <w:p>
            <w:pPr>
              <w:spacing w:after="0"/>
              <w:rPr>
                <w:sz w:val="13"/>
                <w:szCs w:val="13"/>
                <w:color w:val="auto"/>
              </w:rPr>
            </w:pPr>
          </w:p>
        </w:tc>
        <w:tc>
          <w:tcPr>
            <w:tcW w:w="4400" w:type="dxa"/>
            <w:vAlign w:val="bottom"/>
            <w:tcBorders>
              <w:top w:val="single" w:sz="8" w:color="CCEEFF"/>
            </w:tcBorders>
            <w:gridSpan w:val="9"/>
            <w:shd w:val="clear" w:color="auto" w:fill="CCEEFF"/>
          </w:tcPr>
          <w:p>
            <w:pPr>
              <w:ind w:left="400"/>
              <w:spacing w:after="0" w:line="150" w:lineRule="exact"/>
              <w:rPr>
                <w:sz w:val="20"/>
                <w:szCs w:val="20"/>
                <w:color w:val="auto"/>
              </w:rPr>
            </w:pPr>
            <w:r>
              <w:rPr>
                <w:rFonts w:ascii="Arial" w:cs="Arial" w:eastAsia="Arial" w:hAnsi="Arial"/>
                <w:sz w:val="17"/>
                <w:szCs w:val="17"/>
                <w:color w:val="auto"/>
                <w:w w:val="97"/>
              </w:rPr>
              <w:t xml:space="preserve">Total allowance for credit losses on </w:t>
            </w:r>
            <w:r>
              <w:rPr>
                <w:rFonts w:ascii="Arial" w:cs="Arial" w:eastAsia="Arial" w:hAnsi="Arial"/>
                <w:sz w:val="17"/>
                <w:szCs w:val="17"/>
                <w:i w:val="1"/>
                <w:iCs w:val="1"/>
                <w:color w:val="auto"/>
                <w:w w:val="97"/>
              </w:rPr>
              <w:t>Preneed cemetery</w:t>
            </w:r>
          </w:p>
        </w:tc>
        <w:tc>
          <w:tcPr>
            <w:tcW w:w="2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vMerge w:val="restart"/>
            <w:shd w:val="clear" w:color="auto" w:fill="CCEEFF"/>
          </w:tcPr>
          <w:p>
            <w:pPr>
              <w:jc w:val="right"/>
              <w:ind w:right="396"/>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w w:val="96"/>
              </w:rPr>
              <w:t>(1,644)</w:t>
            </w:r>
          </w:p>
        </w:tc>
        <w:tc>
          <w:tcPr>
            <w:tcW w:w="1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vMerge w:val="restart"/>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(497)</w:t>
            </w:r>
          </w:p>
        </w:tc>
        <w:tc>
          <w:tcPr>
            <w:tcW w:w="12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gridSpan w:val="2"/>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826</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vMerge w:val="restart"/>
            <w:shd w:val="clear" w:color="auto" w:fill="CCEEFF"/>
          </w:tcPr>
          <w:p>
            <w:pPr>
              <w:jc w:val="right"/>
              <w:ind w:right="496"/>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19"/>
        </w:trPr>
        <w:tc>
          <w:tcPr>
            <w:tcW w:w="380" w:type="dxa"/>
            <w:vAlign w:val="bottom"/>
          </w:tcPr>
          <w:p>
            <w:pPr>
              <w:spacing w:after="0"/>
              <w:rPr>
                <w:sz w:val="19"/>
                <w:szCs w:val="19"/>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receivables, net</w:t>
            </w: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gridSpan w:val="2"/>
            <w:vMerge w:val="continue"/>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10200" w:type="dxa"/>
            <w:vAlign w:val="bottom"/>
            <w:gridSpan w:val="29"/>
          </w:tcPr>
          <w:p>
            <w:pPr>
              <w:ind w:left="380"/>
              <w:spacing w:after="0"/>
              <w:rPr>
                <w:sz w:val="20"/>
                <w:szCs w:val="20"/>
                <w:color w:val="auto"/>
              </w:rPr>
            </w:pPr>
            <w:r>
              <w:rPr>
                <w:rFonts w:ascii="Arial" w:cs="Arial" w:eastAsia="Arial" w:hAnsi="Arial"/>
                <w:sz w:val="17"/>
                <w:szCs w:val="17"/>
                <w:color w:val="auto"/>
                <w:w w:val="95"/>
              </w:rPr>
              <w:t>The amortized cost basis of our preneed cemetery receivables by year of origination at September 30, 2021 is as follows (in thousands):</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2018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gridSpan w:val="3"/>
          </w:tcPr>
          <w:p>
            <w:pPr>
              <w:jc w:val="right"/>
              <w:spacing w:after="0"/>
              <w:rPr>
                <w:sz w:val="20"/>
                <w:szCs w:val="20"/>
                <w:color w:val="auto"/>
              </w:rPr>
            </w:pPr>
            <w:r>
              <w:rPr>
                <w:rFonts w:ascii="Arial" w:cs="Arial" w:eastAsia="Arial" w:hAnsi="Arial"/>
                <w:sz w:val="17"/>
                <w:szCs w:val="17"/>
                <w:b w:val="1"/>
                <w:bCs w:val="1"/>
                <w:color w:val="auto"/>
              </w:rPr>
              <w:t>2017</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4"/>
          </w:tcPr>
          <w:p>
            <w:pPr>
              <w:ind w:left="280"/>
              <w:spacing w:after="0"/>
              <w:rPr>
                <w:sz w:val="20"/>
                <w:szCs w:val="20"/>
                <w:color w:val="auto"/>
              </w:rPr>
            </w:pPr>
            <w:r>
              <w:rPr>
                <w:rFonts w:ascii="Arial" w:cs="Arial" w:eastAsia="Arial" w:hAnsi="Arial"/>
                <w:sz w:val="17"/>
                <w:szCs w:val="17"/>
                <w:b w:val="1"/>
                <w:bCs w:val="1"/>
                <w:color w:val="auto"/>
              </w:rPr>
              <w:t>Prior</w:t>
            </w: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76"/>
              </w:rPr>
              <w:t>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020" w:type="dxa"/>
            <w:vAlign w:val="bottom"/>
            <w:tcBorders>
              <w:top w:val="single" w:sz="8" w:color="CCEEFF"/>
            </w:tcBorders>
            <w:shd w:val="clear" w:color="auto" w:fill="CCEEFF"/>
          </w:tcPr>
          <w:p>
            <w:pPr>
              <w:ind w:left="400"/>
              <w:spacing w:after="0" w:line="150" w:lineRule="exact"/>
              <w:rPr>
                <w:sz w:val="20"/>
                <w:szCs w:val="20"/>
                <w:color w:val="auto"/>
              </w:rPr>
            </w:pPr>
            <w:r>
              <w:rPr>
                <w:rFonts w:ascii="Arial" w:cs="Arial" w:eastAsia="Arial" w:hAnsi="Arial"/>
                <w:sz w:val="17"/>
                <w:szCs w:val="17"/>
                <w:color w:val="auto"/>
              </w:rPr>
              <w:t>Total</w:t>
            </w:r>
          </w:p>
        </w:tc>
        <w:tc>
          <w:tcPr>
            <w:tcW w:w="2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0" w:type="dxa"/>
            <w:vAlign w:val="bottom"/>
          </w:tcPr>
          <w:p>
            <w:pPr>
              <w:spacing w:after="0"/>
              <w:rPr>
                <w:sz w:val="14"/>
                <w:szCs w:val="14"/>
                <w:color w:val="auto"/>
              </w:rPr>
            </w:pPr>
          </w:p>
        </w:tc>
        <w:tc>
          <w:tcPr>
            <w:tcW w:w="1240" w:type="dxa"/>
            <w:vAlign w:val="bottom"/>
            <w:gridSpan w:val="2"/>
            <w:shd w:val="clear" w:color="auto" w:fill="CCEEFF"/>
          </w:tcPr>
          <w:p>
            <w:pPr>
              <w:spacing w:after="0" w:line="168" w:lineRule="exact"/>
              <w:rPr>
                <w:sz w:val="20"/>
                <w:szCs w:val="20"/>
                <w:color w:val="auto"/>
              </w:rPr>
            </w:pPr>
            <w:r>
              <w:rPr>
                <w:rFonts w:ascii="Arial" w:cs="Arial" w:eastAsia="Arial" w:hAnsi="Arial"/>
                <w:sz w:val="17"/>
                <w:szCs w:val="17"/>
                <w:color w:val="auto"/>
              </w:rPr>
              <w:t>preneed</w:t>
            </w:r>
          </w:p>
        </w:tc>
        <w:tc>
          <w:tcPr>
            <w:tcW w:w="6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0" w:type="dxa"/>
            <w:vAlign w:val="bottom"/>
          </w:tcPr>
          <w:p>
            <w:pPr>
              <w:spacing w:after="0"/>
              <w:rPr>
                <w:sz w:val="14"/>
                <w:szCs w:val="14"/>
                <w:color w:val="auto"/>
              </w:rPr>
            </w:pPr>
          </w:p>
        </w:tc>
        <w:tc>
          <w:tcPr>
            <w:tcW w:w="1240" w:type="dxa"/>
            <w:vAlign w:val="bottom"/>
            <w:gridSpan w:val="2"/>
            <w:shd w:val="clear" w:color="auto" w:fill="CCEEFF"/>
          </w:tcPr>
          <w:p>
            <w:pPr>
              <w:spacing w:after="0" w:line="168" w:lineRule="exact"/>
              <w:rPr>
                <w:sz w:val="20"/>
                <w:szCs w:val="20"/>
                <w:color w:val="auto"/>
              </w:rPr>
            </w:pPr>
            <w:r>
              <w:rPr>
                <w:rFonts w:ascii="Arial" w:cs="Arial" w:eastAsia="Arial" w:hAnsi="Arial"/>
                <w:sz w:val="17"/>
                <w:szCs w:val="17"/>
                <w:color w:val="auto"/>
              </w:rPr>
              <w:t>cemetery</w:t>
            </w:r>
          </w:p>
        </w:tc>
        <w:tc>
          <w:tcPr>
            <w:tcW w:w="6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0" w:type="dxa"/>
            <w:vAlign w:val="bottom"/>
          </w:tcPr>
          <w:p>
            <w:pPr>
              <w:spacing w:after="0"/>
              <w:rPr>
                <w:sz w:val="14"/>
                <w:szCs w:val="14"/>
                <w:color w:val="auto"/>
              </w:rPr>
            </w:pPr>
          </w:p>
        </w:tc>
        <w:tc>
          <w:tcPr>
            <w:tcW w:w="1240" w:type="dxa"/>
            <w:vAlign w:val="bottom"/>
            <w:gridSpan w:val="2"/>
            <w:shd w:val="clear" w:color="auto" w:fill="CCEEFF"/>
          </w:tcPr>
          <w:p>
            <w:pPr>
              <w:spacing w:after="0" w:line="168" w:lineRule="exact"/>
              <w:rPr>
                <w:sz w:val="20"/>
                <w:szCs w:val="20"/>
                <w:color w:val="auto"/>
              </w:rPr>
            </w:pPr>
            <w:r>
              <w:rPr>
                <w:rFonts w:ascii="Arial" w:cs="Arial" w:eastAsia="Arial" w:hAnsi="Arial"/>
                <w:sz w:val="17"/>
                <w:szCs w:val="17"/>
                <w:color w:val="auto"/>
              </w:rPr>
              <w:t>receivables, at</w:t>
            </w:r>
          </w:p>
        </w:tc>
        <w:tc>
          <w:tcPr>
            <w:tcW w:w="6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0" w:type="dxa"/>
            <w:vAlign w:val="bottom"/>
          </w:tcPr>
          <w:p>
            <w:pPr>
              <w:spacing w:after="0"/>
              <w:rPr>
                <w:sz w:val="14"/>
                <w:szCs w:val="14"/>
                <w:color w:val="auto"/>
              </w:rPr>
            </w:pPr>
          </w:p>
        </w:tc>
        <w:tc>
          <w:tcPr>
            <w:tcW w:w="1240" w:type="dxa"/>
            <w:vAlign w:val="bottom"/>
            <w:gridSpan w:val="2"/>
            <w:shd w:val="clear" w:color="auto" w:fill="CCEEFF"/>
          </w:tcPr>
          <w:p>
            <w:pPr>
              <w:spacing w:after="0" w:line="168" w:lineRule="exact"/>
              <w:rPr>
                <w:sz w:val="20"/>
                <w:szCs w:val="20"/>
                <w:color w:val="auto"/>
              </w:rPr>
            </w:pPr>
            <w:r>
              <w:rPr>
                <w:rFonts w:ascii="Arial" w:cs="Arial" w:eastAsia="Arial" w:hAnsi="Arial"/>
                <w:sz w:val="17"/>
                <w:szCs w:val="17"/>
                <w:color w:val="auto"/>
              </w:rPr>
              <w:t>amortized</w:t>
            </w:r>
          </w:p>
        </w:tc>
        <w:tc>
          <w:tcPr>
            <w:tcW w:w="640" w:type="dxa"/>
            <w:vAlign w:val="bottom"/>
            <w:vMerge w:val="restart"/>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8"/>
              </w:rPr>
              <w:t>21,057</w:t>
            </w: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12,168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7,646</w:t>
            </w:r>
          </w:p>
        </w:tc>
        <w:tc>
          <w:tcPr>
            <w:tcW w:w="10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3,776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235"/>
              <w:spacing w:after="0"/>
              <w:rPr>
                <w:sz w:val="20"/>
                <w:szCs w:val="20"/>
                <w:color w:val="auto"/>
              </w:rPr>
            </w:pPr>
            <w:r>
              <w:rPr>
                <w:rFonts w:ascii="Arial" w:cs="Arial" w:eastAsia="Arial" w:hAnsi="Arial"/>
                <w:sz w:val="17"/>
                <w:szCs w:val="17"/>
                <w:color w:val="auto"/>
              </w:rPr>
              <w:t>$</w:t>
            </w:r>
          </w:p>
        </w:tc>
        <w:tc>
          <w:tcPr>
            <w:tcW w:w="4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1,699</w:t>
            </w:r>
          </w:p>
        </w:tc>
        <w:tc>
          <w:tcPr>
            <w:tcW w:w="82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7"/>
                <w:szCs w:val="17"/>
                <w:color w:val="auto"/>
              </w:rPr>
              <w:t>1,749</w:t>
            </w: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32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19"/>
        </w:trPr>
        <w:tc>
          <w:tcPr>
            <w:tcW w:w="380" w:type="dxa"/>
            <w:vAlign w:val="bottom"/>
          </w:tcPr>
          <w:p>
            <w:pPr>
              <w:spacing w:after="0"/>
              <w:rPr>
                <w:sz w:val="19"/>
                <w:szCs w:val="19"/>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cost</w:t>
            </w:r>
          </w:p>
        </w:tc>
        <w:tc>
          <w:tcPr>
            <w:tcW w:w="640" w:type="dxa"/>
            <w:vAlign w:val="bottom"/>
            <w:vMerge w:val="continue"/>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820" w:type="dxa"/>
            <w:vAlign w:val="bottom"/>
            <w:gridSpan w:val="4"/>
            <w:vMerge w:val="continue"/>
            <w:shd w:val="clear" w:color="auto" w:fill="CCEEFF"/>
          </w:tcPr>
          <w:p>
            <w:pPr>
              <w:spacing w:after="0"/>
              <w:rPr>
                <w:sz w:val="19"/>
                <w:szCs w:val="19"/>
                <w:color w:val="auto"/>
              </w:rPr>
            </w:pPr>
          </w:p>
        </w:tc>
        <w:tc>
          <w:tcPr>
            <w:tcW w:w="680" w:type="dxa"/>
            <w:vAlign w:val="bottom"/>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aging of past due preneed cemetery receivables at September 30, 2021 is as follows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277"/>
              <w:spacing w:after="0"/>
              <w:rPr>
                <w:sz w:val="20"/>
                <w:szCs w:val="20"/>
                <w:color w:val="auto"/>
              </w:rPr>
            </w:pPr>
            <w:r>
              <w:rPr>
                <w:rFonts w:ascii="Arial" w:cs="Arial" w:eastAsia="Arial" w:hAnsi="Arial"/>
                <w:sz w:val="15"/>
                <w:szCs w:val="15"/>
                <w:b w:val="1"/>
                <w:bCs w:val="1"/>
                <w:color w:val="auto"/>
              </w:rPr>
              <w:t>31-60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277"/>
              <w:spacing w:after="0"/>
              <w:rPr>
                <w:sz w:val="20"/>
                <w:szCs w:val="20"/>
                <w:color w:val="auto"/>
              </w:rPr>
            </w:pPr>
            <w:r>
              <w:rPr>
                <w:rFonts w:ascii="Arial" w:cs="Arial" w:eastAsia="Arial" w:hAnsi="Arial"/>
                <w:sz w:val="15"/>
                <w:szCs w:val="15"/>
                <w:b w:val="1"/>
                <w:bCs w:val="1"/>
                <w:color w:val="auto"/>
              </w:rPr>
              <w:t>61-90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237"/>
              <w:spacing w:after="0"/>
              <w:rPr>
                <w:sz w:val="20"/>
                <w:szCs w:val="20"/>
                <w:color w:val="auto"/>
              </w:rPr>
            </w:pPr>
            <w:r>
              <w:rPr>
                <w:rFonts w:ascii="Arial" w:cs="Arial" w:eastAsia="Arial" w:hAnsi="Arial"/>
                <w:sz w:val="15"/>
                <w:szCs w:val="15"/>
                <w:b w:val="1"/>
                <w:bCs w:val="1"/>
                <w:color w:val="auto"/>
              </w:rPr>
              <w:t>91-120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297"/>
              <w:spacing w:after="0"/>
              <w:rPr>
                <w:sz w:val="20"/>
                <w:szCs w:val="20"/>
                <w:color w:val="auto"/>
              </w:rPr>
            </w:pPr>
            <w:r>
              <w:rPr>
                <w:rFonts w:ascii="Arial" w:cs="Arial" w:eastAsia="Arial" w:hAnsi="Arial"/>
                <w:sz w:val="15"/>
                <w:szCs w:val="15"/>
                <w:b w:val="1"/>
                <w:bCs w:val="1"/>
                <w:color w:val="auto"/>
              </w:rPr>
              <w:t>&gt;120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1"/>
              </w:rPr>
              <w:t>Total Past</w:t>
            </w:r>
          </w:p>
        </w:tc>
        <w:tc>
          <w:tcPr>
            <w:tcW w:w="200" w:type="dxa"/>
            <w:vAlign w:val="bottom"/>
          </w:tcPr>
          <w:p>
            <w:pPr>
              <w:spacing w:after="0"/>
              <w:rPr>
                <w:sz w:val="15"/>
                <w:szCs w:val="15"/>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Current</w:t>
            </w:r>
          </w:p>
        </w:tc>
        <w:tc>
          <w:tcPr>
            <w:tcW w:w="240" w:type="dxa"/>
            <w:vAlign w:val="bottom"/>
          </w:tcPr>
          <w:p>
            <w:pPr>
              <w:spacing w:after="0"/>
              <w:rPr>
                <w:sz w:val="15"/>
                <w:szCs w:val="15"/>
                <w:color w:val="auto"/>
              </w:rPr>
            </w:pPr>
          </w:p>
        </w:tc>
        <w:tc>
          <w:tcPr>
            <w:tcW w:w="860" w:type="dxa"/>
            <w:vAlign w:val="bottom"/>
            <w:vMerge w:val="restart"/>
          </w:tcPr>
          <w:p>
            <w:pPr>
              <w:jc w:val="right"/>
              <w:ind w:right="296"/>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4"/>
        </w:trPr>
        <w:tc>
          <w:tcPr>
            <w:tcW w:w="2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ind w:left="60"/>
              <w:spacing w:after="0"/>
              <w:rPr>
                <w:sz w:val="20"/>
                <w:szCs w:val="20"/>
                <w:color w:val="auto"/>
              </w:rPr>
            </w:pPr>
            <w:r>
              <w:rPr>
                <w:rFonts w:ascii="Arial" w:cs="Arial" w:eastAsia="Arial" w:hAnsi="Arial"/>
                <w:sz w:val="15"/>
                <w:szCs w:val="15"/>
                <w:b w:val="1"/>
                <w:bCs w:val="1"/>
                <w:color w:val="auto"/>
              </w:rPr>
              <w:t>Past Due</w:t>
            </w:r>
          </w:p>
        </w:tc>
        <w:tc>
          <w:tcPr>
            <w:tcW w:w="180" w:type="dxa"/>
            <w:vAlign w:val="bottom"/>
          </w:tcPr>
          <w:p>
            <w:pPr>
              <w:spacing w:after="0"/>
              <w:rPr>
                <w:sz w:val="17"/>
                <w:szCs w:val="17"/>
                <w:color w:val="auto"/>
              </w:rPr>
            </w:pPr>
          </w:p>
        </w:tc>
        <w:tc>
          <w:tcPr>
            <w:tcW w:w="1020" w:type="dxa"/>
            <w:vAlign w:val="bottom"/>
            <w:gridSpan w:val="2"/>
          </w:tcPr>
          <w:p>
            <w:pPr>
              <w:ind w:left="80"/>
              <w:spacing w:after="0"/>
              <w:rPr>
                <w:sz w:val="20"/>
                <w:szCs w:val="20"/>
                <w:color w:val="auto"/>
              </w:rPr>
            </w:pPr>
            <w:r>
              <w:rPr>
                <w:rFonts w:ascii="Arial" w:cs="Arial" w:eastAsia="Arial" w:hAnsi="Arial"/>
                <w:sz w:val="15"/>
                <w:szCs w:val="15"/>
                <w:b w:val="1"/>
                <w:bCs w:val="1"/>
                <w:color w:val="auto"/>
              </w:rPr>
              <w:t>Past Due</w:t>
            </w:r>
          </w:p>
        </w:tc>
        <w:tc>
          <w:tcPr>
            <w:tcW w:w="180" w:type="dxa"/>
            <w:vAlign w:val="bottom"/>
          </w:tcPr>
          <w:p>
            <w:pPr>
              <w:spacing w:after="0"/>
              <w:rPr>
                <w:sz w:val="17"/>
                <w:szCs w:val="17"/>
                <w:color w:val="auto"/>
              </w:rPr>
            </w:pPr>
          </w:p>
        </w:tc>
        <w:tc>
          <w:tcPr>
            <w:tcW w:w="1020" w:type="dxa"/>
            <w:vAlign w:val="bottom"/>
            <w:gridSpan w:val="2"/>
          </w:tcPr>
          <w:p>
            <w:pPr>
              <w:ind w:left="80"/>
              <w:spacing w:after="0"/>
              <w:rPr>
                <w:sz w:val="20"/>
                <w:szCs w:val="20"/>
                <w:color w:val="auto"/>
              </w:rPr>
            </w:pPr>
            <w:r>
              <w:rPr>
                <w:rFonts w:ascii="Arial" w:cs="Arial" w:eastAsia="Arial" w:hAnsi="Arial"/>
                <w:sz w:val="15"/>
                <w:szCs w:val="15"/>
                <w:b w:val="1"/>
                <w:bCs w:val="1"/>
                <w:color w:val="auto"/>
              </w:rPr>
              <w:t>Past Due</w:t>
            </w:r>
          </w:p>
        </w:tc>
        <w:tc>
          <w:tcPr>
            <w:tcW w:w="180" w:type="dxa"/>
            <w:vAlign w:val="bottom"/>
          </w:tcPr>
          <w:p>
            <w:pPr>
              <w:spacing w:after="0"/>
              <w:rPr>
                <w:sz w:val="17"/>
                <w:szCs w:val="17"/>
                <w:color w:val="auto"/>
              </w:rPr>
            </w:pPr>
          </w:p>
        </w:tc>
        <w:tc>
          <w:tcPr>
            <w:tcW w:w="1020" w:type="dxa"/>
            <w:vAlign w:val="bottom"/>
            <w:gridSpan w:val="2"/>
          </w:tcPr>
          <w:p>
            <w:pPr>
              <w:ind w:left="80"/>
              <w:spacing w:after="0"/>
              <w:rPr>
                <w:sz w:val="20"/>
                <w:szCs w:val="20"/>
                <w:color w:val="auto"/>
              </w:rPr>
            </w:pPr>
            <w:r>
              <w:rPr>
                <w:rFonts w:ascii="Arial" w:cs="Arial" w:eastAsia="Arial" w:hAnsi="Arial"/>
                <w:sz w:val="15"/>
                <w:szCs w:val="15"/>
                <w:b w:val="1"/>
                <w:bCs w:val="1"/>
                <w:color w:val="auto"/>
              </w:rPr>
              <w:t>Past Due</w:t>
            </w:r>
          </w:p>
        </w:tc>
        <w:tc>
          <w:tcPr>
            <w:tcW w:w="16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1"/>
              </w:rPr>
              <w:t>Due</w:t>
            </w:r>
          </w:p>
        </w:tc>
        <w:tc>
          <w:tcPr>
            <w:tcW w:w="20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Recognized 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3,694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34,256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37,950</w:t>
            </w:r>
          </w:p>
        </w:tc>
        <w:tc>
          <w:tcPr>
            <w:tcW w:w="0" w:type="dxa"/>
            <w:vAlign w:val="bottom"/>
          </w:tcPr>
          <w:p>
            <w:pPr>
              <w:spacing w:after="0"/>
              <w:rPr>
                <w:sz w:val="1"/>
                <w:szCs w:val="1"/>
                <w:color w:val="auto"/>
              </w:rPr>
            </w:pPr>
          </w:p>
        </w:tc>
      </w:tr>
      <w:tr>
        <w:trPr>
          <w:trHeight w:val="219"/>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Deferred revenue</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12,659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14,890</w:t>
            </w:r>
          </w:p>
        </w:tc>
        <w:tc>
          <w:tcPr>
            <w:tcW w:w="0" w:type="dxa"/>
            <w:vAlign w:val="bottom"/>
          </w:tcPr>
          <w:p>
            <w:pPr>
              <w:spacing w:after="0"/>
              <w:rPr>
                <w:sz w:val="1"/>
                <w:szCs w:val="1"/>
                <w:color w:val="auto"/>
              </w:rPr>
            </w:pPr>
          </w:p>
        </w:tc>
      </w:tr>
      <w:tr>
        <w:trPr>
          <w:trHeight w:val="237"/>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contracts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5,925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46,915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52,840</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620" w:hanging="617"/>
        <w:spacing w:after="0"/>
        <w:tabs>
          <w:tab w:leader="none" w:pos="62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TRUST INVESTMENTS</w:t>
      </w:r>
    </w:p>
    <w:p>
      <w:pPr>
        <w:spacing w:after="0" w:line="120" w:lineRule="exact"/>
        <w:rPr>
          <w:sz w:val="20"/>
          <w:szCs w:val="20"/>
          <w:color w:val="auto"/>
        </w:rPr>
      </w:pPr>
    </w:p>
    <w:p>
      <w:pPr>
        <w:jc w:val="both"/>
        <w:ind w:right="100" w:firstLine="387"/>
        <w:spacing w:after="0" w:line="258" w:lineRule="auto"/>
        <w:rPr>
          <w:sz w:val="20"/>
          <w:szCs w:val="20"/>
          <w:color w:val="auto"/>
        </w:rPr>
      </w:pPr>
      <w:r>
        <w:rPr>
          <w:rFonts w:ascii="Arial" w:cs="Arial" w:eastAsia="Arial" w:hAnsi="Arial"/>
          <w:sz w:val="17"/>
          <w:szCs w:val="17"/>
          <w:color w:val="auto"/>
        </w:rPr>
        <w:t xml:space="preserve">Preneed trust investments represent trust fund assets that we are generally permitted to withdraw as the services and merchandise are provided to customers. Preneed funeral and cemetery contracts are secured by payments from customers, less amounts not required by law to be deposited into trust. These earnings are recognized in </w:t>
      </w:r>
      <w:r>
        <w:rPr>
          <w:rFonts w:ascii="Arial" w:cs="Arial" w:eastAsia="Arial" w:hAnsi="Arial"/>
          <w:sz w:val="17"/>
          <w:szCs w:val="17"/>
          <w:i w:val="1"/>
          <w:iCs w:val="1"/>
          <w:color w:val="auto"/>
        </w:rPr>
        <w:t>Other revenue</w:t>
      </w:r>
      <w:r>
        <w:rPr>
          <w:rFonts w:ascii="Arial" w:cs="Arial" w:eastAsia="Arial" w:hAnsi="Arial"/>
          <w:sz w:val="17"/>
          <w:szCs w:val="17"/>
          <w:color w:val="auto"/>
        </w:rPr>
        <w:t xml:space="preserve"> on our Consolidated Statements of Operations, when a service is performed or merchandise is delivered. Trust management fees charged by CSV RIA are included as revenue in the period in which they are earned. Our investments are diversified across multiple industry segments using a balanced allocation strategy to minimize long-term risk. We do not intend to sell and it is likely that we will not be required to sell the securities prior to their anticipated recovery.</w:t>
      </w:r>
    </w:p>
    <w:p>
      <w:pPr>
        <w:spacing w:after="0" w:line="81" w:lineRule="exact"/>
        <w:rPr>
          <w:sz w:val="20"/>
          <w:szCs w:val="20"/>
          <w:color w:val="auto"/>
        </w:rPr>
      </w:pPr>
    </w:p>
    <w:p>
      <w:pPr>
        <w:jc w:val="both"/>
        <w:ind w:right="100" w:firstLine="387"/>
        <w:spacing w:after="0" w:line="266" w:lineRule="auto"/>
        <w:rPr>
          <w:sz w:val="20"/>
          <w:szCs w:val="20"/>
          <w:color w:val="auto"/>
        </w:rPr>
      </w:pPr>
      <w:r>
        <w:rPr>
          <w:rFonts w:ascii="Arial" w:cs="Arial" w:eastAsia="Arial" w:hAnsi="Arial"/>
          <w:sz w:val="17"/>
          <w:szCs w:val="17"/>
          <w:color w:val="auto"/>
        </w:rPr>
        <w:t xml:space="preserve">Cemetery perpetual care trust investments represent a portion of the proceeds from the sale of cemetery property interment rights which we are required by various state laws to deposit into perpetual care trust funds. The income earned from these perpetual care trusts offsets maintenance expenses for cemetery property and memorials. This trust fund income is recognized in </w:t>
      </w:r>
      <w:r>
        <w:rPr>
          <w:rFonts w:ascii="Arial" w:cs="Arial" w:eastAsia="Arial" w:hAnsi="Arial"/>
          <w:sz w:val="17"/>
          <w:szCs w:val="17"/>
          <w:i w:val="1"/>
          <w:iCs w:val="1"/>
          <w:color w:val="auto"/>
        </w:rPr>
        <w:t>Other revenue.</w:t>
      </w:r>
    </w:p>
    <w:p>
      <w:pPr>
        <w:spacing w:after="0" w:line="73" w:lineRule="exact"/>
        <w:rPr>
          <w:sz w:val="20"/>
          <w:szCs w:val="20"/>
          <w:color w:val="auto"/>
        </w:rPr>
      </w:pPr>
    </w:p>
    <w:p>
      <w:pPr>
        <w:jc w:val="both"/>
        <w:ind w:right="100" w:firstLine="387"/>
        <w:spacing w:after="0" w:line="308" w:lineRule="auto"/>
        <w:rPr>
          <w:sz w:val="20"/>
          <w:szCs w:val="20"/>
          <w:color w:val="auto"/>
        </w:rPr>
      </w:pPr>
      <w:r>
        <w:rPr>
          <w:rFonts w:ascii="Arial" w:cs="Arial" w:eastAsia="Arial" w:hAnsi="Arial"/>
          <w:sz w:val="15"/>
          <w:szCs w:val="15"/>
          <w:color w:val="auto"/>
        </w:rPr>
        <w:t>Where quoted prices are available in an active market, investments held by the trusts are classified as Level 1 investments pursuant to the three-level valuation hierarchy. Our Level 1 investments include cash, U.S. treasury debt, common stock and equity mutual funds. Where quoted market prices are not available for the specific security, then fair values are estimated by using quoted prices of similar securities in active markets or inputs other than quoted prices that can corroborate observable market data. These investments are fixed income securities, including foreign debt, corporate debt, preferred stocks, mortgage-</w:t>
      </w:r>
    </w:p>
    <w:p>
      <w:pPr>
        <w:spacing w:after="0" w:line="200" w:lineRule="exact"/>
        <w:rPr>
          <w:sz w:val="20"/>
          <w:szCs w:val="20"/>
          <w:color w:val="auto"/>
        </w:rPr>
      </w:pPr>
    </w:p>
    <w:p>
      <w:pPr>
        <w:spacing w:after="0" w:line="27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018" w:right="239" w:bottom="1440" w:gutter="0" w:footer="0" w:header="0"/>
        </w:sectPr>
      </w:pPr>
    </w:p>
    <w:bookmarkStart w:id="17" w:name="page18"/>
    <w:bookmarkEnd w:id="17"/>
    <w:p>
      <w:pPr>
        <w:jc w:val="both"/>
        <w:spacing w:after="0" w:line="266" w:lineRule="auto"/>
        <w:rPr>
          <w:sz w:val="20"/>
          <w:szCs w:val="20"/>
          <w:color w:val="auto"/>
        </w:rPr>
      </w:pPr>
      <w:r>
        <w:rPr>
          <w:rFonts w:ascii="Arial" w:cs="Arial" w:eastAsia="Arial" w:hAnsi="Arial"/>
          <w:sz w:val="17"/>
          <w:szCs w:val="17"/>
          <w:color w:val="auto"/>
        </w:rPr>
        <w:t>backed securities and fixed income mutual funds and other investments, all of which are classified within Level 2 of the valuation hierarchy. We review and update our fair value hierarchy classifications quarterly. See Note 8 to the Consolidated Financial Statements included herein for further information of the fair value measurement.</w:t>
      </w:r>
    </w:p>
    <w:p>
      <w:pPr>
        <w:spacing w:after="0" w:line="73"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Changes in the fair value of our trust fund assets (</w:t>
      </w:r>
      <w:r>
        <w:rPr>
          <w:rFonts w:ascii="Arial" w:cs="Arial" w:eastAsia="Arial" w:hAnsi="Arial"/>
          <w:sz w:val="17"/>
          <w:szCs w:val="17"/>
          <w:i w:val="1"/>
          <w:iCs w:val="1"/>
          <w:color w:val="auto"/>
        </w:rPr>
        <w:t>Preneed funeral, cemetery and perpetual care trust investments</w:t>
      </w:r>
      <w:r>
        <w:rPr>
          <w:rFonts w:ascii="Arial" w:cs="Arial" w:eastAsia="Arial" w:hAnsi="Arial"/>
          <w:sz w:val="17"/>
          <w:szCs w:val="17"/>
          <w:color w:val="auto"/>
        </w:rPr>
        <w:t>) are offset by changes in the fair value of our trust fund liabilities (</w:t>
      </w:r>
      <w:r>
        <w:rPr>
          <w:rFonts w:ascii="Arial" w:cs="Arial" w:eastAsia="Arial" w:hAnsi="Arial"/>
          <w:sz w:val="17"/>
          <w:szCs w:val="17"/>
          <w:i w:val="1"/>
          <w:iCs w:val="1"/>
          <w:color w:val="auto"/>
        </w:rPr>
        <w:t>Deferred preneed funeral and cemetery receipts held in trust</w:t>
      </w:r>
      <w:r>
        <w:rPr>
          <w:rFonts w:ascii="Arial" w:cs="Arial" w:eastAsia="Arial" w:hAnsi="Arial"/>
          <w:sz w:val="17"/>
          <w:szCs w:val="17"/>
          <w:color w:val="auto"/>
        </w:rPr>
        <w:t xml:space="preserve"> and </w:t>
      </w:r>
      <w:r>
        <w:rPr>
          <w:rFonts w:ascii="Arial" w:cs="Arial" w:eastAsia="Arial" w:hAnsi="Arial"/>
          <w:sz w:val="17"/>
          <w:szCs w:val="17"/>
          <w:i w:val="1"/>
          <w:iCs w:val="1"/>
          <w:color w:val="auto"/>
        </w:rPr>
        <w:t>Care trusts’ corpus</w:t>
      </w:r>
      <w:r>
        <w:rPr>
          <w:rFonts w:ascii="Arial" w:cs="Arial" w:eastAsia="Arial" w:hAnsi="Arial"/>
          <w:sz w:val="17"/>
          <w:szCs w:val="17"/>
          <w:color w:val="auto"/>
        </w:rPr>
        <w:t xml:space="preserve">) and reflected in </w:t>
      </w:r>
      <w:r>
        <w:rPr>
          <w:rFonts w:ascii="Arial" w:cs="Arial" w:eastAsia="Arial" w:hAnsi="Arial"/>
          <w:sz w:val="17"/>
          <w:szCs w:val="17"/>
          <w:i w:val="1"/>
          <w:iCs w:val="1"/>
          <w:color w:val="auto"/>
        </w:rPr>
        <w:t>Other, net</w:t>
      </w:r>
      <w:r>
        <w:rPr>
          <w:rFonts w:ascii="Arial" w:cs="Arial" w:eastAsia="Arial" w:hAnsi="Arial"/>
          <w:sz w:val="17"/>
          <w:szCs w:val="17"/>
          <w:color w:val="auto"/>
        </w:rPr>
        <w:t>. There is no impact on earnings until such time the services are performed or the merchandise is delivered, causing the contract to be withdrawn from the trust in accordance with state regulations and the gain or loss is allocated to the contract.</w:t>
      </w:r>
    </w:p>
    <w:p>
      <w:pPr>
        <w:spacing w:after="0" w:line="76" w:lineRule="exact"/>
        <w:rPr>
          <w:sz w:val="20"/>
          <w:szCs w:val="20"/>
          <w:color w:val="auto"/>
        </w:rPr>
      </w:pPr>
    </w:p>
    <w:p>
      <w:pPr>
        <w:jc w:val="both"/>
        <w:ind w:firstLine="387"/>
        <w:spacing w:after="0" w:line="275" w:lineRule="auto"/>
        <w:rPr>
          <w:sz w:val="20"/>
          <w:szCs w:val="20"/>
          <w:color w:val="auto"/>
        </w:rPr>
      </w:pPr>
      <w:r>
        <w:rPr>
          <w:rFonts w:ascii="Arial" w:cs="Arial" w:eastAsia="Arial" w:hAnsi="Arial"/>
          <w:sz w:val="16"/>
          <w:szCs w:val="16"/>
          <w:color w:val="auto"/>
        </w:rPr>
        <w:t>For fixed income securities in an unrealized loss position, we first assess whether we intend to sell or it is more likely than not that we will be required to sell the security before recovery of its amortized cost basis. If either of the criteria regarding intent or requirement to sell is met, the security's amortized cost basis is written down to fair value through income. For fixed income securities that do not meet the aforementioned criteria, we evaluate whether the decline in fair value has resulted from credit losses or other factors. In making this assessment, we consider the extent to which fair value is less than amortized cost, any changes to the rating of the security by a rating agency, and adverse conditions specifically related to the security, among other factors. If our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exists and an allowance for credit losses is recorded for the credit loss, limited by the amount that the fair value is less than the amortized cost basis.</w:t>
      </w:r>
    </w:p>
    <w:p>
      <w:pPr>
        <w:spacing w:after="0" w:line="69"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We rely on our trust investments to provide funding for the various contractual obligations that arise upon maturity of the underlying preneed contracts. Because of the long-term relationship between the establishment of trust investments and the required performance of the underlying contractual obligations, the impact of current market conditions that may exist at any given time is not necessarily indicative of our ability to generate profit on our future performance obligations.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Preneed Cemetery Trust Investments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The components of </w:t>
      </w:r>
      <w:r>
        <w:rPr>
          <w:rFonts w:ascii="Arial" w:cs="Arial" w:eastAsia="Arial" w:hAnsi="Arial"/>
          <w:sz w:val="17"/>
          <w:szCs w:val="17"/>
          <w:i w:val="1"/>
          <w:iCs w:val="1"/>
          <w:color w:val="auto"/>
        </w:rPr>
        <w:t>Preneed cemetery trust investments</w:t>
      </w:r>
      <w:r>
        <w:rPr>
          <w:rFonts w:ascii="Arial" w:cs="Arial" w:eastAsia="Arial" w:hAnsi="Arial"/>
          <w:sz w:val="17"/>
          <w:szCs w:val="17"/>
          <w:color w:val="auto"/>
        </w:rPr>
        <w:t xml:space="preserve"> on our Consolidated Balance Sheet are as follows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8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December 31, 2020</w:t>
            </w:r>
          </w:p>
        </w:tc>
        <w:tc>
          <w:tcPr>
            <w:tcW w:w="2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w w:val="95"/>
              </w:rPr>
              <w:t>September 30, 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Preneed cemetery trust investments, at market value</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7"/>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1"/>
              <w:spacing w:after="0"/>
              <w:rPr>
                <w:sz w:val="20"/>
                <w:szCs w:val="20"/>
                <w:color w:val="auto"/>
              </w:rPr>
            </w:pPr>
            <w:r>
              <w:rPr>
                <w:rFonts w:ascii="Arial" w:cs="Arial" w:eastAsia="Arial" w:hAnsi="Arial"/>
                <w:sz w:val="17"/>
                <w:szCs w:val="17"/>
                <w:color w:val="auto"/>
              </w:rPr>
              <w:t>89,081</w:t>
            </w:r>
          </w:p>
        </w:tc>
        <w:tc>
          <w:tcPr>
            <w:tcW w:w="700" w:type="dxa"/>
            <w:vAlign w:val="bottom"/>
            <w:gridSpan w:val="2"/>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100,318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allowance for contract cancellation</w:t>
            </w: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ind w:left="200"/>
              <w:spacing w:after="0"/>
              <w:rPr>
                <w:sz w:val="20"/>
                <w:szCs w:val="20"/>
                <w:color w:val="auto"/>
              </w:rPr>
            </w:pPr>
            <w:r>
              <w:rPr>
                <w:rFonts w:ascii="Arial" w:cs="Arial" w:eastAsia="Arial" w:hAnsi="Arial"/>
                <w:sz w:val="17"/>
                <w:szCs w:val="17"/>
                <w:color w:val="auto"/>
                <w:w w:val="96"/>
              </w:rPr>
              <w:t>(2,477)</w:t>
            </w:r>
          </w:p>
        </w:tc>
        <w:tc>
          <w:tcPr>
            <w:tcW w:w="2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Preneed cemetery trust investments</w:t>
            </w: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37"/>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gridSpan w:val="2"/>
            <w:shd w:val="clear" w:color="auto" w:fill="CCEEFF"/>
          </w:tcPr>
          <w:p>
            <w:pPr>
              <w:ind w:left="200"/>
              <w:spacing w:after="0"/>
              <w:rPr>
                <w:sz w:val="20"/>
                <w:szCs w:val="20"/>
                <w:color w:val="auto"/>
              </w:rPr>
            </w:pPr>
            <w:r>
              <w:rPr>
                <w:rFonts w:ascii="Arial" w:cs="Arial" w:eastAsia="Arial" w:hAnsi="Arial"/>
                <w:sz w:val="17"/>
                <w:szCs w:val="17"/>
                <w:color w:val="auto"/>
                <w:w w:val="99"/>
              </w:rPr>
              <w:t>86,604</w:t>
            </w:r>
          </w:p>
        </w:tc>
        <w:tc>
          <w:tcPr>
            <w:tcW w:w="2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97,489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820" w:type="dxa"/>
            <w:vAlign w:val="bottom"/>
            <w:gridSpan w:val="13"/>
          </w:tcPr>
          <w:p>
            <w:pPr>
              <w:ind w:left="400"/>
              <w:spacing w:after="0"/>
              <w:rPr>
                <w:sz w:val="20"/>
                <w:szCs w:val="20"/>
                <w:color w:val="auto"/>
              </w:rPr>
            </w:pPr>
            <w:r>
              <w:rPr>
                <w:rFonts w:ascii="Arial" w:cs="Arial" w:eastAsia="Arial" w:hAnsi="Arial"/>
                <w:sz w:val="17"/>
                <w:szCs w:val="17"/>
                <w:color w:val="auto"/>
                <w:w w:val="90"/>
              </w:rPr>
              <w:t>The cost and market values associated with preneed cemetery trust investments at September 30, 2021 are detailed below (in thousands):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4280" w:type="dxa"/>
            <w:vAlign w:val="bottom"/>
          </w:tcPr>
          <w:p>
            <w:pPr>
              <w:spacing w:after="0"/>
              <w:rPr>
                <w:sz w:val="13"/>
                <w:szCs w:val="13"/>
                <w:color w:val="auto"/>
              </w:rPr>
            </w:pPr>
          </w:p>
        </w:tc>
        <w:tc>
          <w:tcPr>
            <w:tcW w:w="1120" w:type="dxa"/>
            <w:vAlign w:val="bottom"/>
          </w:tcPr>
          <w:p>
            <w:pPr>
              <w:jc w:val="center"/>
              <w:ind w:left="38"/>
              <w:spacing w:after="0" w:line="157" w:lineRule="exact"/>
              <w:rPr>
                <w:sz w:val="20"/>
                <w:szCs w:val="20"/>
                <w:color w:val="auto"/>
              </w:rPr>
            </w:pPr>
            <w:r>
              <w:rPr>
                <w:rFonts w:ascii="Arial" w:cs="Arial" w:eastAsia="Arial" w:hAnsi="Arial"/>
                <w:sz w:val="14"/>
                <w:szCs w:val="14"/>
                <w:b w:val="1"/>
                <w:bCs w:val="1"/>
                <w:color w:val="auto"/>
                <w:w w:val="89"/>
              </w:rPr>
              <w:t>Fair Value</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ind w:right="217"/>
              <w:spacing w:after="0" w:line="157" w:lineRule="exact"/>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3"/>
                <w:szCs w:val="13"/>
                <w:color w:val="auto"/>
              </w:rPr>
            </w:pPr>
          </w:p>
        </w:tc>
        <w:tc>
          <w:tcPr>
            <w:tcW w:w="1240" w:type="dxa"/>
            <w:vAlign w:val="bottom"/>
            <w:gridSpan w:val="3"/>
          </w:tcPr>
          <w:p>
            <w:pPr>
              <w:jc w:val="right"/>
              <w:ind w:right="214"/>
              <w:spacing w:after="0" w:line="157" w:lineRule="exact"/>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9"/>
              </w:rPr>
              <w:t>Fair Market</w:t>
            </w:r>
          </w:p>
        </w:tc>
        <w:tc>
          <w:tcPr>
            <w:tcW w:w="0" w:type="dxa"/>
            <w:vAlign w:val="bottom"/>
          </w:tcPr>
          <w:p>
            <w:pPr>
              <w:spacing w:after="0"/>
              <w:rPr>
                <w:sz w:val="1"/>
                <w:szCs w:val="1"/>
                <w:color w:val="auto"/>
              </w:rPr>
            </w:pPr>
          </w:p>
        </w:tc>
      </w:tr>
      <w:tr>
        <w:trPr>
          <w:trHeight w:val="180"/>
        </w:trPr>
        <w:tc>
          <w:tcPr>
            <w:tcW w:w="42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w w:val="92"/>
              </w:rPr>
              <w:t>Hierarchy Level</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Gains</w:t>
            </w:r>
          </w:p>
        </w:tc>
        <w:tc>
          <w:tcPr>
            <w:tcW w:w="2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gridSpan w:val="3"/>
          </w:tcPr>
          <w:p>
            <w:pPr>
              <w:jc w:val="right"/>
              <w:ind w:right="334"/>
              <w:spacing w:after="0"/>
              <w:rPr>
                <w:sz w:val="20"/>
                <w:szCs w:val="20"/>
                <w:color w:val="auto"/>
              </w:rPr>
            </w:pPr>
            <w:r>
              <w:rPr>
                <w:rFonts w:ascii="Arial" w:cs="Arial" w:eastAsia="Arial" w:hAnsi="Arial"/>
                <w:sz w:val="14"/>
                <w:szCs w:val="14"/>
                <w:b w:val="1"/>
                <w:bCs w:val="1"/>
                <w:color w:val="auto"/>
              </w:rPr>
              <w:t>Losses</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3"/>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money market accounts</w:t>
            </w:r>
          </w:p>
        </w:tc>
        <w:tc>
          <w:tcPr>
            <w:tcW w:w="1120" w:type="dxa"/>
            <w:vAlign w:val="bottom"/>
            <w:shd w:val="clear" w:color="auto" w:fill="CCEEFF"/>
          </w:tcPr>
          <w:p>
            <w:pPr>
              <w:jc w:val="center"/>
              <w:ind w:left="38"/>
              <w:spacing w:after="0"/>
              <w:rPr>
                <w:sz w:val="20"/>
                <w:szCs w:val="20"/>
                <w:color w:val="auto"/>
              </w:rPr>
            </w:pPr>
            <w:r>
              <w:rPr>
                <w:rFonts w:ascii="Arial" w:cs="Arial" w:eastAsia="Arial" w:hAnsi="Arial"/>
                <w:sz w:val="17"/>
                <w:szCs w:val="17"/>
                <w:color w:val="auto"/>
                <w:w w:val="84"/>
              </w:rPr>
              <w:t>1</w:t>
            </w:r>
          </w:p>
        </w:tc>
        <w:tc>
          <w:tcPr>
            <w:tcW w:w="620" w:type="dxa"/>
            <w:vAlign w:val="bottom"/>
            <w:gridSpan w:val="3"/>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tcPr>
          <w:p>
            <w:pPr>
              <w:ind w:left="20"/>
              <w:spacing w:after="0"/>
              <w:rPr>
                <w:sz w:val="20"/>
                <w:szCs w:val="20"/>
                <w:color w:val="auto"/>
              </w:rPr>
            </w:pPr>
            <w:r>
              <w:rPr>
                <w:rFonts w:ascii="Arial" w:cs="Arial" w:eastAsia="Arial" w:hAnsi="Arial"/>
                <w:sz w:val="17"/>
                <w:szCs w:val="17"/>
                <w:color w:val="auto"/>
              </w:rPr>
              <w:t>Fixed income securities: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Foreign debt</w:t>
            </w:r>
          </w:p>
        </w:tc>
        <w:tc>
          <w:tcPr>
            <w:tcW w:w="1120" w:type="dxa"/>
            <w:vAlign w:val="bottom"/>
            <w:shd w:val="clear" w:color="auto" w:fill="CCEEFF"/>
          </w:tcPr>
          <w:p>
            <w:pPr>
              <w:jc w:val="center"/>
              <w:ind w:left="38"/>
              <w:spacing w:after="0"/>
              <w:rPr>
                <w:sz w:val="20"/>
                <w:szCs w:val="20"/>
                <w:color w:val="auto"/>
              </w:rPr>
            </w:pPr>
            <w:r>
              <w:rPr>
                <w:rFonts w:ascii="Arial" w:cs="Arial" w:eastAsia="Arial" w:hAnsi="Arial"/>
                <w:sz w:val="17"/>
                <w:szCs w:val="17"/>
                <w:color w:val="auto"/>
                <w:w w:val="84"/>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17,434</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2,381</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(801)</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19,014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80" w:type="dxa"/>
            <w:vAlign w:val="bottom"/>
          </w:tcPr>
          <w:p>
            <w:pPr>
              <w:ind w:left="220"/>
              <w:spacing w:after="0"/>
              <w:rPr>
                <w:sz w:val="20"/>
                <w:szCs w:val="20"/>
                <w:color w:val="auto"/>
              </w:rPr>
            </w:pPr>
            <w:r>
              <w:rPr>
                <w:rFonts w:ascii="Arial" w:cs="Arial" w:eastAsia="Arial" w:hAnsi="Arial"/>
                <w:sz w:val="17"/>
                <w:szCs w:val="17"/>
                <w:color w:val="auto"/>
              </w:rPr>
              <w:t>Corporate debt</w:t>
            </w:r>
          </w:p>
        </w:tc>
        <w:tc>
          <w:tcPr>
            <w:tcW w:w="1120" w:type="dxa"/>
            <w:vAlign w:val="bottom"/>
          </w:tcPr>
          <w:p>
            <w:pPr>
              <w:jc w:val="center"/>
              <w:ind w:left="38"/>
              <w:spacing w:after="0"/>
              <w:rPr>
                <w:sz w:val="20"/>
                <w:szCs w:val="20"/>
                <w:color w:val="auto"/>
              </w:rPr>
            </w:pPr>
            <w:r>
              <w:rPr>
                <w:rFonts w:ascii="Arial" w:cs="Arial" w:eastAsia="Arial" w:hAnsi="Arial"/>
                <w:sz w:val="17"/>
                <w:szCs w:val="17"/>
                <w:color w:val="auto"/>
                <w:w w:val="84"/>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12,101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1,484</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13,567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Preferred stock</w:t>
            </w:r>
          </w:p>
        </w:tc>
        <w:tc>
          <w:tcPr>
            <w:tcW w:w="1120" w:type="dxa"/>
            <w:vAlign w:val="bottom"/>
            <w:shd w:val="clear" w:color="auto" w:fill="CCEEFF"/>
          </w:tcPr>
          <w:p>
            <w:pPr>
              <w:jc w:val="center"/>
              <w:ind w:left="38"/>
              <w:spacing w:after="0"/>
              <w:rPr>
                <w:sz w:val="20"/>
                <w:szCs w:val="20"/>
                <w:color w:val="auto"/>
              </w:rPr>
            </w:pPr>
            <w:r>
              <w:rPr>
                <w:rFonts w:ascii="Arial" w:cs="Arial" w:eastAsia="Arial" w:hAnsi="Arial"/>
                <w:sz w:val="17"/>
                <w:szCs w:val="17"/>
                <w:color w:val="auto"/>
                <w:w w:val="84"/>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12,366</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1,241</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(422)</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13,185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80" w:type="dxa"/>
            <w:vAlign w:val="bottom"/>
          </w:tcPr>
          <w:p>
            <w:pPr>
              <w:ind w:left="20"/>
              <w:spacing w:after="0"/>
              <w:rPr>
                <w:sz w:val="20"/>
                <w:szCs w:val="20"/>
                <w:color w:val="auto"/>
              </w:rPr>
            </w:pPr>
            <w:r>
              <w:rPr>
                <w:rFonts w:ascii="Arial" w:cs="Arial" w:eastAsia="Arial" w:hAnsi="Arial"/>
                <w:sz w:val="17"/>
                <w:szCs w:val="17"/>
                <w:color w:val="auto"/>
              </w:rPr>
              <w:t>Common stock</w:t>
            </w:r>
          </w:p>
        </w:tc>
        <w:tc>
          <w:tcPr>
            <w:tcW w:w="1120" w:type="dxa"/>
            <w:vAlign w:val="bottom"/>
          </w:tcPr>
          <w:p>
            <w:pPr>
              <w:jc w:val="center"/>
              <w:ind w:left="38"/>
              <w:spacing w:after="0"/>
              <w:rPr>
                <w:sz w:val="20"/>
                <w:szCs w:val="20"/>
                <w:color w:val="auto"/>
              </w:rPr>
            </w:pPr>
            <w:r>
              <w:rPr>
                <w:rFonts w:ascii="Arial" w:cs="Arial" w:eastAsia="Arial" w:hAnsi="Arial"/>
                <w:sz w:val="17"/>
                <w:szCs w:val="17"/>
                <w:color w:val="auto"/>
                <w:w w:val="84"/>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39,372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4,411</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(3,750)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40,033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Mutual funds:</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80" w:type="dxa"/>
            <w:vAlign w:val="bottom"/>
          </w:tcPr>
          <w:p>
            <w:pPr>
              <w:ind w:left="220"/>
              <w:spacing w:after="0"/>
              <w:rPr>
                <w:sz w:val="20"/>
                <w:szCs w:val="20"/>
                <w:color w:val="auto"/>
              </w:rPr>
            </w:pPr>
            <w:r>
              <w:rPr>
                <w:rFonts w:ascii="Arial" w:cs="Arial" w:eastAsia="Arial" w:hAnsi="Arial"/>
                <w:sz w:val="17"/>
                <w:szCs w:val="17"/>
                <w:color w:val="auto"/>
              </w:rPr>
              <w:t>Equity</w:t>
            </w:r>
          </w:p>
        </w:tc>
        <w:tc>
          <w:tcPr>
            <w:tcW w:w="1120" w:type="dxa"/>
            <w:vAlign w:val="bottom"/>
          </w:tcPr>
          <w:p>
            <w:pPr>
              <w:jc w:val="center"/>
              <w:ind w:left="38"/>
              <w:spacing w:after="0"/>
              <w:rPr>
                <w:sz w:val="20"/>
                <w:szCs w:val="20"/>
                <w:color w:val="auto"/>
              </w:rPr>
            </w:pPr>
            <w:r>
              <w:rPr>
                <w:rFonts w:ascii="Arial" w:cs="Arial" w:eastAsia="Arial" w:hAnsi="Arial"/>
                <w:sz w:val="17"/>
                <w:szCs w:val="17"/>
                <w:color w:val="auto"/>
                <w:w w:val="84"/>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Fixed Income</w:t>
            </w:r>
          </w:p>
        </w:tc>
        <w:tc>
          <w:tcPr>
            <w:tcW w:w="1120" w:type="dxa"/>
            <w:vAlign w:val="bottom"/>
            <w:shd w:val="clear" w:color="auto" w:fill="CCEEFF"/>
          </w:tcPr>
          <w:p>
            <w:pPr>
              <w:jc w:val="center"/>
              <w:ind w:left="38"/>
              <w:spacing w:after="0"/>
              <w:rPr>
                <w:sz w:val="20"/>
                <w:szCs w:val="20"/>
                <w:color w:val="auto"/>
              </w:rPr>
            </w:pPr>
            <w:r>
              <w:rPr>
                <w:rFonts w:ascii="Arial" w:cs="Arial" w:eastAsia="Arial" w:hAnsi="Arial"/>
                <w:sz w:val="17"/>
                <w:szCs w:val="17"/>
                <w:color w:val="auto"/>
                <w:w w:val="84"/>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11,358</w:t>
            </w: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706</w:t>
            </w:r>
          </w:p>
        </w:tc>
        <w:tc>
          <w:tcPr>
            <w:tcW w:w="2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(344)</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11,720</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280" w:type="dxa"/>
            <w:vAlign w:val="bottom"/>
          </w:tcPr>
          <w:p>
            <w:pPr>
              <w:ind w:left="20"/>
              <w:spacing w:after="0"/>
              <w:rPr>
                <w:sz w:val="20"/>
                <w:szCs w:val="20"/>
                <w:color w:val="auto"/>
              </w:rPr>
            </w:pPr>
            <w:r>
              <w:rPr>
                <w:rFonts w:ascii="Arial" w:cs="Arial" w:eastAsia="Arial" w:hAnsi="Arial"/>
                <w:sz w:val="17"/>
                <w:szCs w:val="17"/>
                <w:color w:val="auto"/>
              </w:rPr>
              <w:t>Trust securities</w:t>
            </w:r>
          </w:p>
        </w:tc>
        <w:tc>
          <w:tcPr>
            <w:tcW w:w="1120" w:type="dxa"/>
            <w:vAlign w:val="bottom"/>
          </w:tcPr>
          <w:p>
            <w:pPr>
              <w:spacing w:after="0"/>
              <w:rPr>
                <w:sz w:val="18"/>
                <w:szCs w:val="18"/>
                <w:color w:val="auto"/>
              </w:rPr>
            </w:pPr>
          </w:p>
        </w:tc>
        <w:tc>
          <w:tcPr>
            <w:tcW w:w="620" w:type="dxa"/>
            <w:vAlign w:val="bottom"/>
            <w:gridSpan w:val="3"/>
          </w:tcPr>
          <w:p>
            <w:pPr>
              <w:jc w:val="right"/>
              <w:ind w:right="11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94,304</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10,228</w:t>
            </w:r>
          </w:p>
        </w:tc>
        <w:tc>
          <w:tcPr>
            <w:tcW w:w="74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(5,335)</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99,197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Accrued investment income</w:t>
            </w:r>
          </w:p>
        </w:tc>
        <w:tc>
          <w:tcPr>
            <w:tcW w:w="1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gridSpan w:val="2"/>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1,121</w:t>
            </w: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1,121</w:t>
            </w:r>
          </w:p>
        </w:tc>
        <w:tc>
          <w:tcPr>
            <w:tcW w:w="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280" w:type="dxa"/>
            <w:vAlign w:val="bottom"/>
          </w:tcPr>
          <w:p>
            <w:pPr>
              <w:ind w:left="20"/>
              <w:spacing w:after="0" w:line="177" w:lineRule="exact"/>
              <w:rPr>
                <w:sz w:val="20"/>
                <w:szCs w:val="20"/>
                <w:color w:val="auto"/>
              </w:rPr>
            </w:pPr>
            <w:r>
              <w:rPr>
                <w:rFonts w:ascii="Arial" w:cs="Arial" w:eastAsia="Arial" w:hAnsi="Arial"/>
                <w:sz w:val="17"/>
                <w:szCs w:val="17"/>
                <w:color w:val="auto"/>
              </w:rPr>
              <w:t>Preneed cemetery trust investments</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gridSpan w:val="2"/>
          </w:tcPr>
          <w:p>
            <w:pPr>
              <w:jc w:val="right"/>
              <w:spacing w:after="0" w:line="177" w:lineRule="exact"/>
              <w:rPr>
                <w:sz w:val="20"/>
                <w:szCs w:val="20"/>
                <w:color w:val="auto"/>
              </w:rPr>
            </w:pPr>
            <w:r>
              <w:rPr>
                <w:rFonts w:ascii="Arial" w:cs="Arial" w:eastAsia="Arial" w:hAnsi="Arial"/>
                <w:sz w:val="17"/>
                <w:szCs w:val="17"/>
                <w:color w:val="auto"/>
              </w:rPr>
              <w:t>$</w:t>
            </w:r>
          </w:p>
        </w:tc>
        <w:tc>
          <w:tcPr>
            <w:tcW w:w="1000" w:type="dxa"/>
            <w:vAlign w:val="bottom"/>
          </w:tcPr>
          <w:p>
            <w:pPr>
              <w:jc w:val="right"/>
              <w:spacing w:after="0" w:line="177" w:lineRule="exact"/>
              <w:rPr>
                <w:sz w:val="20"/>
                <w:szCs w:val="20"/>
                <w:color w:val="auto"/>
              </w:rPr>
            </w:pPr>
            <w:r>
              <w:rPr>
                <w:rFonts w:ascii="Arial" w:cs="Arial" w:eastAsia="Arial" w:hAnsi="Arial"/>
                <w:sz w:val="17"/>
                <w:szCs w:val="17"/>
                <w:color w:val="auto"/>
              </w:rPr>
              <w:t>100,318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Market value as a percentage of cost</w:t>
            </w: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105.2%</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CCEEFF"/>
            </w:tcBorders>
            <w:gridSpan w:val="3"/>
            <w:vMerge w:val="restart"/>
          </w:tcPr>
          <w:p>
            <w:pPr>
              <w:jc w:val="right"/>
              <w:ind w:right="114"/>
              <w:spacing w:after="0"/>
              <w:rPr>
                <w:sz w:val="20"/>
                <w:szCs w:val="20"/>
                <w:color w:val="auto"/>
              </w:rPr>
            </w:pPr>
            <w:r>
              <w:rPr>
                <w:rFonts w:ascii="Arial" w:cs="Arial" w:eastAsia="Arial" w:hAnsi="Arial"/>
                <w:sz w:val="17"/>
                <w:szCs w:val="17"/>
                <w:color w:val="auto"/>
              </w:rPr>
              <w:t>- 18 -</w:t>
            </w: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4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gridSpan w:val="3"/>
            <w:vMerge w:val="continue"/>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2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7"/>
        </w:trPr>
        <w:tc>
          <w:tcPr>
            <w:tcW w:w="9900" w:type="dxa"/>
            <w:vAlign w:val="bottom"/>
            <w:gridSpan w:val="12"/>
          </w:tcPr>
          <w:p>
            <w:pPr>
              <w:ind w:left="400"/>
              <w:spacing w:after="0"/>
              <w:rPr>
                <w:sz w:val="20"/>
                <w:szCs w:val="20"/>
                <w:color w:val="auto"/>
              </w:rPr>
            </w:pPr>
            <w:r>
              <w:rPr>
                <w:rFonts w:ascii="Arial" w:cs="Arial" w:eastAsia="Arial" w:hAnsi="Arial"/>
                <w:sz w:val="17"/>
                <w:szCs w:val="17"/>
                <w:color w:val="auto"/>
              </w:rPr>
              <w:t>The estimated maturities of the fixed income securities (excluding mutual funds) included above are as follows (in thousands):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Due in one year or less</w:t>
            </w: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80" w:type="dxa"/>
            <w:vAlign w:val="bottom"/>
          </w:tcPr>
          <w:p>
            <w:pPr>
              <w:ind w:left="20"/>
              <w:spacing w:after="0"/>
              <w:rPr>
                <w:sz w:val="20"/>
                <w:szCs w:val="20"/>
                <w:color w:val="auto"/>
              </w:rPr>
            </w:pPr>
            <w:r>
              <w:rPr>
                <w:rFonts w:ascii="Arial" w:cs="Arial" w:eastAsia="Arial" w:hAnsi="Arial"/>
                <w:sz w:val="17"/>
                <w:szCs w:val="17"/>
                <w:color w:val="auto"/>
              </w:rPr>
              <w:t>Due in one to five years</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11,492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Due in five to ten years</w:t>
            </w: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12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fixed income securities</w:t>
            </w:r>
          </w:p>
        </w:tc>
        <w:tc>
          <w:tcPr>
            <w:tcW w:w="1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45,766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900" w:type="dxa"/>
            <w:vAlign w:val="bottom"/>
            <w:tcBorders>
              <w:top w:val="single" w:sz="8" w:color="CCEEFF"/>
              <w:bottom w:val="single" w:sz="8" w:color="CCEEFF"/>
            </w:tcBorders>
            <w:gridSpan w:val="12"/>
            <w:vMerge w:val="restart"/>
          </w:tcPr>
          <w:p>
            <w:pPr>
              <w:ind w:left="400"/>
              <w:spacing w:after="0"/>
              <w:rPr>
                <w:sz w:val="20"/>
                <w:szCs w:val="20"/>
                <w:color w:val="auto"/>
              </w:rPr>
            </w:pPr>
            <w:r>
              <w:rPr>
                <w:rFonts w:ascii="Arial" w:cs="Arial" w:eastAsia="Arial" w:hAnsi="Arial"/>
                <w:sz w:val="17"/>
                <w:szCs w:val="17"/>
                <w:color w:val="auto"/>
                <w:w w:val="91"/>
              </w:rPr>
              <w:t>The cost and market values associated with preneed cemetery trust investments at December 31, 2020 are detailed below (in thousands):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900" w:type="dxa"/>
            <w:vAlign w:val="bottom"/>
            <w:gridSpan w:val="12"/>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4280" w:type="dxa"/>
            <w:vAlign w:val="bottom"/>
          </w:tcPr>
          <w:p>
            <w:pPr>
              <w:spacing w:after="0"/>
              <w:rPr>
                <w:sz w:val="13"/>
                <w:szCs w:val="13"/>
                <w:color w:val="auto"/>
              </w:rPr>
            </w:pPr>
          </w:p>
        </w:tc>
        <w:tc>
          <w:tcPr>
            <w:tcW w:w="144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89"/>
              </w:rPr>
              <w:t>Fair Value</w:t>
            </w:r>
          </w:p>
        </w:tc>
        <w:tc>
          <w:tcPr>
            <w:tcW w:w="300" w:type="dxa"/>
            <w:vAlign w:val="bottom"/>
          </w:tcPr>
          <w:p>
            <w:pPr>
              <w:spacing w:after="0"/>
              <w:rPr>
                <w:sz w:val="13"/>
                <w:szCs w:val="13"/>
                <w:color w:val="auto"/>
              </w:rPr>
            </w:pPr>
          </w:p>
        </w:tc>
        <w:tc>
          <w:tcPr>
            <w:tcW w:w="92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ind w:left="80"/>
              <w:spacing w:after="0" w:line="157" w:lineRule="exact"/>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3"/>
                <w:szCs w:val="13"/>
                <w:color w:val="auto"/>
              </w:rPr>
            </w:pPr>
          </w:p>
        </w:tc>
        <w:tc>
          <w:tcPr>
            <w:tcW w:w="1120" w:type="dxa"/>
            <w:vAlign w:val="bottom"/>
            <w:gridSpan w:val="2"/>
          </w:tcPr>
          <w:p>
            <w:pPr>
              <w:ind w:left="100"/>
              <w:spacing w:after="0" w:line="157"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ind w:right="136"/>
              <w:spacing w:after="0" w:line="157" w:lineRule="exact"/>
              <w:rPr>
                <w:sz w:val="20"/>
                <w:szCs w:val="20"/>
                <w:color w:val="auto"/>
              </w:rPr>
            </w:pPr>
            <w:r>
              <w:rPr>
                <w:rFonts w:ascii="Arial" w:cs="Arial" w:eastAsia="Arial" w:hAnsi="Arial"/>
                <w:sz w:val="14"/>
                <w:szCs w:val="14"/>
                <w:b w:val="1"/>
                <w:bCs w:val="1"/>
                <w:color w:val="auto"/>
              </w:rPr>
              <w:t>Fair Market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28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Hierarchy Level</w:t>
            </w:r>
          </w:p>
        </w:tc>
        <w:tc>
          <w:tcPr>
            <w:tcW w:w="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Gains</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Losses</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Value</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money market accounts</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1,859</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tcPr>
          <w:p>
            <w:pPr>
              <w:ind w:left="20"/>
              <w:spacing w:after="0"/>
              <w:rPr>
                <w:sz w:val="20"/>
                <w:szCs w:val="20"/>
                <w:color w:val="auto"/>
              </w:rPr>
            </w:pPr>
            <w:r>
              <w:rPr>
                <w:rFonts w:ascii="Arial" w:cs="Arial" w:eastAsia="Arial" w:hAnsi="Arial"/>
                <w:sz w:val="17"/>
                <w:szCs w:val="17"/>
                <w:color w:val="auto"/>
              </w:rPr>
              <w:t>Fixed income securities:</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Foreign debt</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2</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15,953</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2,083</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17,334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80" w:type="dxa"/>
            <w:vAlign w:val="bottom"/>
          </w:tcPr>
          <w:p>
            <w:pPr>
              <w:ind w:left="220"/>
              <w:spacing w:after="0"/>
              <w:rPr>
                <w:sz w:val="20"/>
                <w:szCs w:val="20"/>
                <w:color w:val="auto"/>
              </w:rPr>
            </w:pPr>
            <w:r>
              <w:rPr>
                <w:rFonts w:ascii="Arial" w:cs="Arial" w:eastAsia="Arial" w:hAnsi="Arial"/>
                <w:sz w:val="17"/>
                <w:szCs w:val="17"/>
                <w:color w:val="auto"/>
              </w:rPr>
              <w:t>Corporate debt</w:t>
            </w:r>
          </w:p>
        </w:tc>
        <w:tc>
          <w:tcPr>
            <w:tcW w:w="1240" w:type="dxa"/>
            <w:vAlign w:val="bottom"/>
          </w:tcPr>
          <w:p>
            <w:pPr>
              <w:jc w:val="center"/>
              <w:spacing w:after="0"/>
              <w:rPr>
                <w:sz w:val="20"/>
                <w:szCs w:val="20"/>
                <w:color w:val="auto"/>
              </w:rPr>
            </w:pPr>
            <w:r>
              <w:rPr>
                <w:rFonts w:ascii="Arial" w:cs="Arial" w:eastAsia="Arial" w:hAnsi="Arial"/>
                <w:sz w:val="17"/>
                <w:szCs w:val="17"/>
                <w:color w:val="auto"/>
                <w:w w:val="84"/>
              </w:rPr>
              <w:t>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14,856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1,820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(358)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16,318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Preferred stock</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2</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11,886</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980</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12,530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80" w:type="dxa"/>
            <w:vAlign w:val="bottom"/>
          </w:tcPr>
          <w:p>
            <w:pPr>
              <w:ind w:left="220"/>
              <w:spacing w:after="0"/>
              <w:rPr>
                <w:sz w:val="20"/>
                <w:szCs w:val="20"/>
                <w:color w:val="auto"/>
              </w:rPr>
            </w:pPr>
            <w:r>
              <w:rPr>
                <w:rFonts w:ascii="Arial" w:cs="Arial" w:eastAsia="Arial" w:hAnsi="Arial"/>
                <w:sz w:val="17"/>
                <w:szCs w:val="17"/>
                <w:color w:val="auto"/>
              </w:rPr>
              <w:t>Mortgage-backed securities</w:t>
            </w:r>
          </w:p>
        </w:tc>
        <w:tc>
          <w:tcPr>
            <w:tcW w:w="1240" w:type="dxa"/>
            <w:vAlign w:val="bottom"/>
          </w:tcPr>
          <w:p>
            <w:pPr>
              <w:jc w:val="center"/>
              <w:spacing w:after="0"/>
              <w:rPr>
                <w:sz w:val="20"/>
                <w:szCs w:val="20"/>
                <w:color w:val="auto"/>
              </w:rPr>
            </w:pPr>
            <w:r>
              <w:rPr>
                <w:rFonts w:ascii="Arial" w:cs="Arial" w:eastAsia="Arial" w:hAnsi="Arial"/>
                <w:sz w:val="17"/>
                <w:szCs w:val="17"/>
                <w:color w:val="auto"/>
                <w:w w:val="84"/>
              </w:rPr>
              <w:t>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272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Common stock</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30,253</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7,642</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31,294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80" w:type="dxa"/>
            <w:vAlign w:val="bottom"/>
          </w:tcPr>
          <w:p>
            <w:pPr>
              <w:ind w:left="20"/>
              <w:spacing w:after="0"/>
              <w:rPr>
                <w:sz w:val="20"/>
                <w:szCs w:val="20"/>
                <w:color w:val="auto"/>
              </w:rPr>
            </w:pPr>
            <w:r>
              <w:rPr>
                <w:rFonts w:ascii="Arial" w:cs="Arial" w:eastAsia="Arial" w:hAnsi="Arial"/>
                <w:sz w:val="17"/>
                <w:szCs w:val="17"/>
                <w:color w:val="auto"/>
              </w:rPr>
              <w:t>Mutual funds:</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Fixed income</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2</w:t>
            </w:r>
          </w:p>
        </w:tc>
        <w:tc>
          <w:tcPr>
            <w:tcW w:w="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7,494</w:t>
            </w:r>
          </w:p>
        </w:tc>
        <w:tc>
          <w:tcPr>
            <w:tcW w:w="2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1,331</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8,640</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280" w:type="dxa"/>
            <w:vAlign w:val="bottom"/>
          </w:tcPr>
          <w:p>
            <w:pPr>
              <w:ind w:left="20"/>
              <w:spacing w:after="0"/>
              <w:rPr>
                <w:sz w:val="20"/>
                <w:szCs w:val="20"/>
                <w:color w:val="auto"/>
              </w:rPr>
            </w:pPr>
            <w:r>
              <w:rPr>
                <w:rFonts w:ascii="Arial" w:cs="Arial" w:eastAsia="Arial" w:hAnsi="Arial"/>
                <w:sz w:val="17"/>
                <w:szCs w:val="17"/>
                <w:color w:val="auto"/>
              </w:rPr>
              <w:t>Trust Securities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82,573</w:t>
            </w:r>
          </w:p>
        </w:tc>
        <w:tc>
          <w:tcPr>
            <w:tcW w:w="4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13,856</w:t>
            </w:r>
          </w:p>
        </w:tc>
        <w:tc>
          <w:tcPr>
            <w:tcW w:w="2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(8,341)</w:t>
            </w:r>
          </w:p>
        </w:tc>
        <w:tc>
          <w:tcPr>
            <w:tcW w:w="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88,088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Accrued investment income</w:t>
            </w:r>
          </w:p>
        </w:tc>
        <w:tc>
          <w:tcPr>
            <w:tcW w:w="12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993</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993</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280" w:type="dxa"/>
            <w:vAlign w:val="bottom"/>
            <w:tcBorders>
              <w:top w:val="single" w:sz="8" w:color="CCEEFF"/>
            </w:tcBorders>
          </w:tcPr>
          <w:p>
            <w:pPr>
              <w:ind w:left="20"/>
              <w:spacing w:after="0" w:line="177" w:lineRule="exact"/>
              <w:rPr>
                <w:sz w:val="20"/>
                <w:szCs w:val="20"/>
                <w:color w:val="auto"/>
              </w:rPr>
            </w:pPr>
            <w:r>
              <w:rPr>
                <w:rFonts w:ascii="Arial" w:cs="Arial" w:eastAsia="Arial" w:hAnsi="Arial"/>
                <w:sz w:val="17"/>
                <w:szCs w:val="17"/>
                <w:color w:val="auto"/>
              </w:rPr>
              <w:t>Preneed cemetery trust investments</w:t>
            </w:r>
          </w:p>
        </w:tc>
        <w:tc>
          <w:tcPr>
            <w:tcW w:w="124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7"/>
                <w:szCs w:val="17"/>
                <w:color w:val="auto"/>
              </w:rPr>
              <w:t>89,081</w:t>
            </w:r>
          </w:p>
        </w:tc>
        <w:tc>
          <w:tcPr>
            <w:tcW w:w="2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Market value as a percentage of cost</w:t>
            </w:r>
          </w:p>
        </w:tc>
        <w:tc>
          <w:tcPr>
            <w:tcW w:w="1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106.7%</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ind w:firstLine="387"/>
        <w:spacing w:after="0" w:line="293" w:lineRule="auto"/>
        <w:rPr>
          <w:sz w:val="20"/>
          <w:szCs w:val="20"/>
          <w:color w:val="auto"/>
        </w:rPr>
      </w:pPr>
      <w:r>
        <w:rPr>
          <w:rFonts w:ascii="Arial" w:cs="Arial" w:eastAsia="Arial" w:hAnsi="Arial"/>
          <w:sz w:val="16"/>
          <w:szCs w:val="16"/>
          <w:color w:val="auto"/>
        </w:rPr>
        <w:t>The following table summarized our fixed income securities (excluding mutual funds) within our preneed cemetery trust investments in an unrealized loss position at September 30, 2021, aggregated by major security type and length of time in a continuous unrealized loss position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5"/>
          </w:tcPr>
          <w:p>
            <w:pPr>
              <w:jc w:val="center"/>
              <w:ind w:right="500"/>
              <w:spacing w:after="0"/>
              <w:rPr>
                <w:sz w:val="20"/>
                <w:szCs w:val="20"/>
                <w:color w:val="auto"/>
              </w:rPr>
            </w:pPr>
            <w:r>
              <w:rPr>
                <w:rFonts w:ascii="Arial" w:cs="Arial" w:eastAsia="Arial" w:hAnsi="Arial"/>
                <w:sz w:val="15"/>
                <w:szCs w:val="15"/>
                <w:b w:val="1"/>
                <w:bCs w:val="1"/>
                <w:color w:val="auto"/>
                <w:w w:val="92"/>
              </w:rPr>
              <w:t>September 30, 2021</w:t>
            </w:r>
          </w:p>
        </w:tc>
        <w:tc>
          <w:tcPr>
            <w:tcW w:w="3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4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00" w:type="dxa"/>
            <w:vAlign w:val="bottom"/>
            <w:gridSpan w:val="5"/>
          </w:tcPr>
          <w:p>
            <w:pPr>
              <w:ind w:left="20"/>
              <w:spacing w:after="0" w:line="151" w:lineRule="exact"/>
              <w:rPr>
                <w:sz w:val="20"/>
                <w:szCs w:val="20"/>
                <w:color w:val="auto"/>
              </w:rPr>
            </w:pPr>
            <w:r>
              <w:rPr>
                <w:rFonts w:ascii="Arial" w:cs="Arial" w:eastAsia="Arial" w:hAnsi="Arial"/>
                <w:sz w:val="15"/>
                <w:szCs w:val="15"/>
                <w:b w:val="1"/>
                <w:bCs w:val="1"/>
                <w:color w:val="auto"/>
              </w:rPr>
              <w:t>In Loss Position Less than 12</w:t>
            </w:r>
          </w:p>
        </w:tc>
        <w:tc>
          <w:tcPr>
            <w:tcW w:w="2460" w:type="dxa"/>
            <w:vAlign w:val="bottom"/>
            <w:gridSpan w:val="6"/>
          </w:tcPr>
          <w:p>
            <w:pPr>
              <w:jc w:val="center"/>
              <w:ind w:right="220"/>
              <w:spacing w:after="0" w:line="151" w:lineRule="exact"/>
              <w:rPr>
                <w:sz w:val="20"/>
                <w:szCs w:val="20"/>
                <w:color w:val="auto"/>
              </w:rPr>
            </w:pPr>
            <w:r>
              <w:rPr>
                <w:rFonts w:ascii="Arial" w:cs="Arial" w:eastAsia="Arial" w:hAnsi="Arial"/>
                <w:sz w:val="15"/>
                <w:szCs w:val="15"/>
                <w:b w:val="1"/>
                <w:bCs w:val="1"/>
                <w:color w:val="auto"/>
                <w:w w:val="93"/>
              </w:rPr>
              <w:t>In Loss Position Greater than 12</w:t>
            </w: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gridSpan w:val="3"/>
            <w:vMerge w:val="restart"/>
          </w:tcPr>
          <w:p>
            <w:pPr>
              <w:jc w:val="right"/>
              <w:ind w:right="100"/>
              <w:spacing w:after="0"/>
              <w:rPr>
                <w:sz w:val="20"/>
                <w:szCs w:val="20"/>
                <w:color w:val="auto"/>
              </w:rPr>
            </w:pPr>
            <w:r>
              <w:rPr>
                <w:rFonts w:ascii="Arial" w:cs="Arial" w:eastAsia="Arial" w:hAnsi="Arial"/>
                <w:sz w:val="15"/>
                <w:szCs w:val="15"/>
                <w:b w:val="1"/>
                <w:bCs w:val="1"/>
                <w:color w:val="auto"/>
                <w:w w:val="89"/>
              </w:rPr>
              <w:t>Total</w:t>
            </w: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4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3"/>
            <w:vMerge w:val="restart"/>
          </w:tcPr>
          <w:p>
            <w:pPr>
              <w:jc w:val="right"/>
              <w:spacing w:after="0"/>
              <w:rPr>
                <w:sz w:val="20"/>
                <w:szCs w:val="20"/>
                <w:color w:val="auto"/>
              </w:rPr>
            </w:pPr>
            <w:r>
              <w:rPr>
                <w:rFonts w:ascii="Arial" w:cs="Arial" w:eastAsia="Arial" w:hAnsi="Arial"/>
                <w:sz w:val="15"/>
                <w:szCs w:val="15"/>
                <w:b w:val="1"/>
                <w:bCs w:val="1"/>
                <w:color w:val="auto"/>
              </w:rPr>
              <w:t>months</w:t>
            </w: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gridSpan w:val="3"/>
            <w:vMerge w:val="restart"/>
          </w:tcPr>
          <w:p>
            <w:pPr>
              <w:jc w:val="center"/>
              <w:ind w:left="457"/>
              <w:spacing w:after="0"/>
              <w:rPr>
                <w:sz w:val="20"/>
                <w:szCs w:val="20"/>
                <w:color w:val="auto"/>
              </w:rPr>
            </w:pPr>
            <w:r>
              <w:rPr>
                <w:rFonts w:ascii="Arial" w:cs="Arial" w:eastAsia="Arial" w:hAnsi="Arial"/>
                <w:sz w:val="15"/>
                <w:szCs w:val="15"/>
                <w:b w:val="1"/>
                <w:bCs w:val="1"/>
                <w:color w:val="auto"/>
                <w:w w:val="88"/>
              </w:rPr>
              <w:t>months</w:t>
            </w: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0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gridSpan w:val="3"/>
            <w:vMerge w:val="continue"/>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gridSpan w:val="3"/>
            <w:vMerge w:val="continue"/>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4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360"/>
              <w:spacing w:after="0" w:line="125" w:lineRule="exact"/>
              <w:rPr>
                <w:sz w:val="20"/>
                <w:szCs w:val="20"/>
                <w:color w:val="auto"/>
              </w:rPr>
            </w:pPr>
            <w:r>
              <w:rPr>
                <w:rFonts w:ascii="Arial" w:cs="Arial" w:eastAsia="Arial" w:hAnsi="Arial"/>
                <w:sz w:val="14"/>
                <w:szCs w:val="14"/>
                <w:color w:val="auto"/>
                <w:w w:val="90"/>
              </w:rPr>
              <w:t>Fair market</w:t>
            </w:r>
          </w:p>
        </w:tc>
        <w:tc>
          <w:tcPr>
            <w:tcW w:w="160" w:type="dxa"/>
            <w:vAlign w:val="bottom"/>
          </w:tcPr>
          <w:p>
            <w:pPr>
              <w:spacing w:after="0"/>
              <w:rPr>
                <w:sz w:val="10"/>
                <w:szCs w:val="10"/>
                <w:color w:val="auto"/>
              </w:rPr>
            </w:pPr>
          </w:p>
        </w:tc>
        <w:tc>
          <w:tcPr>
            <w:tcW w:w="840" w:type="dxa"/>
            <w:vAlign w:val="bottom"/>
          </w:tcPr>
          <w:p>
            <w:pPr>
              <w:jc w:val="center"/>
              <w:ind w:right="79"/>
              <w:spacing w:after="0" w:line="125" w:lineRule="exact"/>
              <w:rPr>
                <w:sz w:val="20"/>
                <w:szCs w:val="20"/>
                <w:color w:val="auto"/>
              </w:rPr>
            </w:pPr>
            <w:r>
              <w:rPr>
                <w:rFonts w:ascii="Arial" w:cs="Arial" w:eastAsia="Arial" w:hAnsi="Arial"/>
                <w:sz w:val="14"/>
                <w:szCs w:val="14"/>
                <w:color w:val="auto"/>
                <w:w w:val="89"/>
              </w:rPr>
              <w:t>Unrealized</w:t>
            </w:r>
          </w:p>
        </w:tc>
        <w:tc>
          <w:tcPr>
            <w:tcW w:w="220" w:type="dxa"/>
            <w:vAlign w:val="bottom"/>
          </w:tcPr>
          <w:p>
            <w:pPr>
              <w:spacing w:after="0"/>
              <w:rPr>
                <w:sz w:val="10"/>
                <w:szCs w:val="10"/>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color w:val="auto"/>
              </w:rPr>
              <w:t>Fair market value</w:t>
            </w:r>
          </w:p>
        </w:tc>
        <w:tc>
          <w:tcPr>
            <w:tcW w:w="160" w:type="dxa"/>
            <w:vAlign w:val="bottom"/>
          </w:tcPr>
          <w:p>
            <w:pPr>
              <w:spacing w:after="0"/>
              <w:rPr>
                <w:sz w:val="10"/>
                <w:szCs w:val="10"/>
                <w:color w:val="auto"/>
              </w:rPr>
            </w:pPr>
          </w:p>
        </w:tc>
        <w:tc>
          <w:tcPr>
            <w:tcW w:w="840" w:type="dxa"/>
            <w:vAlign w:val="bottom"/>
          </w:tcPr>
          <w:p>
            <w:pPr>
              <w:jc w:val="center"/>
              <w:ind w:right="80"/>
              <w:spacing w:after="0" w:line="125" w:lineRule="exact"/>
              <w:rPr>
                <w:sz w:val="20"/>
                <w:szCs w:val="20"/>
                <w:color w:val="auto"/>
              </w:rPr>
            </w:pPr>
            <w:r>
              <w:rPr>
                <w:rFonts w:ascii="Arial" w:cs="Arial" w:eastAsia="Arial" w:hAnsi="Arial"/>
                <w:sz w:val="14"/>
                <w:szCs w:val="14"/>
                <w:color w:val="auto"/>
                <w:w w:val="89"/>
              </w:rPr>
              <w:t>Unrealized</w:t>
            </w:r>
          </w:p>
        </w:tc>
        <w:tc>
          <w:tcPr>
            <w:tcW w:w="220" w:type="dxa"/>
            <w:vAlign w:val="bottom"/>
          </w:tcPr>
          <w:p>
            <w:pPr>
              <w:spacing w:after="0"/>
              <w:rPr>
                <w:sz w:val="10"/>
                <w:szCs w:val="10"/>
                <w:color w:val="auto"/>
              </w:rPr>
            </w:pPr>
          </w:p>
        </w:tc>
        <w:tc>
          <w:tcPr>
            <w:tcW w:w="1380" w:type="dxa"/>
            <w:vAlign w:val="bottom"/>
            <w:gridSpan w:val="5"/>
            <w:vMerge w:val="restart"/>
          </w:tcPr>
          <w:p>
            <w:pPr>
              <w:ind w:left="20"/>
              <w:spacing w:after="0"/>
              <w:rPr>
                <w:sz w:val="20"/>
                <w:szCs w:val="20"/>
                <w:color w:val="auto"/>
              </w:rPr>
            </w:pPr>
            <w:r>
              <w:rPr>
                <w:rFonts w:ascii="Arial" w:cs="Arial" w:eastAsia="Arial" w:hAnsi="Arial"/>
                <w:sz w:val="14"/>
                <w:szCs w:val="14"/>
                <w:color w:val="auto"/>
              </w:rPr>
              <w:t>Fair market value</w:t>
            </w:r>
          </w:p>
        </w:tc>
        <w:tc>
          <w:tcPr>
            <w:tcW w:w="860" w:type="dxa"/>
            <w:vAlign w:val="bottom"/>
          </w:tcPr>
          <w:p>
            <w:pPr>
              <w:jc w:val="center"/>
              <w:ind w:right="80"/>
              <w:spacing w:after="0" w:line="125" w:lineRule="exact"/>
              <w:rPr>
                <w:sz w:val="20"/>
                <w:szCs w:val="20"/>
                <w:color w:val="auto"/>
              </w:rPr>
            </w:pPr>
            <w:r>
              <w:rPr>
                <w:rFonts w:ascii="Arial" w:cs="Arial" w:eastAsia="Arial" w:hAnsi="Arial"/>
                <w:sz w:val="14"/>
                <w:szCs w:val="14"/>
                <w:color w:val="auto"/>
                <w:w w:val="92"/>
              </w:rPr>
              <w:t>Unrealized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4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color w:val="auto"/>
                <w:w w:val="89"/>
              </w:rPr>
              <w:t>value</w:t>
            </w:r>
          </w:p>
        </w:tc>
        <w:tc>
          <w:tcPr>
            <w:tcW w:w="160" w:type="dxa"/>
            <w:vAlign w:val="bottom"/>
          </w:tcPr>
          <w:p>
            <w:pPr>
              <w:spacing w:after="0"/>
              <w:rPr>
                <w:sz w:val="15"/>
                <w:szCs w:val="15"/>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color w:val="auto"/>
                <w:w w:val="85"/>
              </w:rPr>
              <w:t>Losses</w:t>
            </w:r>
          </w:p>
        </w:tc>
        <w:tc>
          <w:tcPr>
            <w:tcW w:w="12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color w:val="auto"/>
                <w:w w:val="81"/>
              </w:rPr>
              <w:t>Losses</w:t>
            </w:r>
          </w:p>
        </w:tc>
        <w:tc>
          <w:tcPr>
            <w:tcW w:w="1380" w:type="dxa"/>
            <w:vAlign w:val="bottom"/>
            <w:gridSpan w:val="5"/>
            <w:vMerge w:val="continue"/>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color w:val="auto"/>
                <w:w w:val="85"/>
              </w:rPr>
              <w:t>Losses</w:t>
            </w:r>
          </w:p>
        </w:tc>
        <w:tc>
          <w:tcPr>
            <w:tcW w:w="0" w:type="dxa"/>
            <w:vAlign w:val="bottom"/>
          </w:tcPr>
          <w:p>
            <w:pPr>
              <w:spacing w:after="0"/>
              <w:rPr>
                <w:sz w:val="1"/>
                <w:szCs w:val="1"/>
                <w:color w:val="auto"/>
              </w:rPr>
            </w:pPr>
          </w:p>
        </w:tc>
      </w:tr>
      <w:tr>
        <w:trPr>
          <w:trHeight w:val="202"/>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Fixed income securities:</w:t>
            </w: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60" w:type="dxa"/>
            <w:vAlign w:val="bottom"/>
          </w:tcPr>
          <w:p>
            <w:pPr>
              <w:ind w:left="20"/>
              <w:spacing w:after="0"/>
              <w:rPr>
                <w:sz w:val="20"/>
                <w:szCs w:val="20"/>
                <w:color w:val="auto"/>
              </w:rPr>
            </w:pPr>
            <w:r>
              <w:rPr>
                <w:rFonts w:ascii="Arial" w:cs="Arial" w:eastAsia="Arial" w:hAnsi="Arial"/>
                <w:sz w:val="17"/>
                <w:szCs w:val="17"/>
                <w:color w:val="auto"/>
              </w:rPr>
              <w:t>Foreign debt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4,280</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(427)</w:t>
            </w:r>
          </w:p>
        </w:tc>
        <w:tc>
          <w:tcPr>
            <w:tcW w:w="22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682</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(374)</w:t>
            </w:r>
          </w:p>
        </w:tc>
        <w:tc>
          <w:tcPr>
            <w:tcW w:w="22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4,962</w:t>
            </w:r>
          </w:p>
        </w:tc>
        <w:tc>
          <w:tcPr>
            <w:tcW w:w="44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(801)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Corporate debt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746</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746</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Preferred stock</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4,059</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(394)</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4,100</w:t>
            </w: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fixed income securities with an unrealized loss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5,067</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4,741</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(768)</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9,808</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6"/>
        </w:trPr>
        <w:tc>
          <w:tcPr>
            <w:tcW w:w="4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379"/>
              <w:spacing w:after="0"/>
              <w:rPr>
                <w:sz w:val="20"/>
                <w:szCs w:val="20"/>
                <w:color w:val="auto"/>
              </w:rPr>
            </w:pPr>
            <w:r>
              <w:rPr>
                <w:rFonts w:ascii="Arial" w:cs="Arial" w:eastAsia="Arial" w:hAnsi="Arial"/>
                <w:sz w:val="17"/>
                <w:szCs w:val="17"/>
                <w:color w:val="auto"/>
                <w:w w:val="90"/>
              </w:rPr>
              <w:t>- 19 -</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0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9" w:name="page20"/>
    <w:bookmarkEnd w:id="19"/>
    <w:p>
      <w:pPr>
        <w:ind w:firstLine="387"/>
        <w:spacing w:after="0" w:line="293" w:lineRule="auto"/>
        <w:rPr>
          <w:sz w:val="20"/>
          <w:szCs w:val="20"/>
          <w:color w:val="auto"/>
        </w:rPr>
      </w:pPr>
      <w:r>
        <w:rPr>
          <w:rFonts w:ascii="Arial" w:cs="Arial" w:eastAsia="Arial" w:hAnsi="Arial"/>
          <w:sz w:val="16"/>
          <w:szCs w:val="16"/>
          <w:color w:val="auto"/>
        </w:rPr>
        <w:t>The following table summarized our fixed income securities (excluding mutual funds) within our preneed cemetery trust investments in an unrealized loss position at December 31, 2020, aggregated by major security type and length of time in a continuous unrealized loss position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5"/>
          </w:tcPr>
          <w:p>
            <w:pPr>
              <w:ind w:left="360"/>
              <w:spacing w:after="0"/>
              <w:rPr>
                <w:sz w:val="20"/>
                <w:szCs w:val="20"/>
                <w:color w:val="auto"/>
              </w:rPr>
            </w:pPr>
            <w:r>
              <w:rPr>
                <w:rFonts w:ascii="Arial" w:cs="Arial" w:eastAsia="Arial" w:hAnsi="Arial"/>
                <w:sz w:val="15"/>
                <w:szCs w:val="15"/>
                <w:b w:val="1"/>
                <w:bCs w:val="1"/>
                <w:color w:val="auto"/>
              </w:rPr>
              <w:t>December 31, 2020</w:t>
            </w:r>
          </w:p>
        </w:tc>
        <w:tc>
          <w:tcPr>
            <w:tcW w:w="3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4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gridSpan w:val="5"/>
          </w:tcPr>
          <w:p>
            <w:pPr>
              <w:ind w:left="40"/>
              <w:spacing w:after="0" w:line="151" w:lineRule="exact"/>
              <w:rPr>
                <w:sz w:val="20"/>
                <w:szCs w:val="20"/>
                <w:color w:val="auto"/>
              </w:rPr>
            </w:pPr>
            <w:r>
              <w:rPr>
                <w:rFonts w:ascii="Arial" w:cs="Arial" w:eastAsia="Arial" w:hAnsi="Arial"/>
                <w:sz w:val="15"/>
                <w:szCs w:val="15"/>
                <w:b w:val="1"/>
                <w:bCs w:val="1"/>
                <w:color w:val="auto"/>
              </w:rPr>
              <w:t>In Loss Position Less than 12</w:t>
            </w:r>
          </w:p>
        </w:tc>
        <w:tc>
          <w:tcPr>
            <w:tcW w:w="2440" w:type="dxa"/>
            <w:vAlign w:val="bottom"/>
            <w:gridSpan w:val="6"/>
          </w:tcPr>
          <w:p>
            <w:pPr>
              <w:ind w:left="40"/>
              <w:spacing w:after="0" w:line="151" w:lineRule="exact"/>
              <w:rPr>
                <w:sz w:val="20"/>
                <w:szCs w:val="20"/>
                <w:color w:val="auto"/>
              </w:rPr>
            </w:pPr>
            <w:r>
              <w:rPr>
                <w:rFonts w:ascii="Arial" w:cs="Arial" w:eastAsia="Arial" w:hAnsi="Arial"/>
                <w:sz w:val="15"/>
                <w:szCs w:val="15"/>
                <w:b w:val="1"/>
                <w:bCs w:val="1"/>
                <w:color w:val="auto"/>
              </w:rPr>
              <w:t>In Loss Position Greater than 12</w:t>
            </w: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gridSpan w:val="3"/>
            <w:vMerge w:val="restart"/>
          </w:tcPr>
          <w:p>
            <w:pPr>
              <w:jc w:val="right"/>
              <w:ind w:right="100"/>
              <w:spacing w:after="0"/>
              <w:rPr>
                <w:sz w:val="20"/>
                <w:szCs w:val="20"/>
                <w:color w:val="auto"/>
              </w:rPr>
            </w:pPr>
            <w:r>
              <w:rPr>
                <w:rFonts w:ascii="Arial" w:cs="Arial" w:eastAsia="Arial" w:hAnsi="Arial"/>
                <w:sz w:val="15"/>
                <w:szCs w:val="15"/>
                <w:b w:val="1"/>
                <w:bCs w:val="1"/>
                <w:color w:val="auto"/>
                <w:w w:val="89"/>
              </w:rPr>
              <w:t>Total</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4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5"/>
                <w:szCs w:val="15"/>
                <w:b w:val="1"/>
                <w:bCs w:val="1"/>
                <w:color w:val="auto"/>
              </w:rPr>
              <w:t>months</w:t>
            </w: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3"/>
            <w:vMerge w:val="restart"/>
          </w:tcPr>
          <w:p>
            <w:pPr>
              <w:jc w:val="right"/>
              <w:spacing w:after="0"/>
              <w:rPr>
                <w:sz w:val="20"/>
                <w:szCs w:val="20"/>
                <w:color w:val="auto"/>
              </w:rPr>
            </w:pPr>
            <w:r>
              <w:rPr>
                <w:rFonts w:ascii="Arial" w:cs="Arial" w:eastAsia="Arial" w:hAnsi="Arial"/>
                <w:sz w:val="15"/>
                <w:szCs w:val="15"/>
                <w:b w:val="1"/>
                <w:bCs w:val="1"/>
                <w:color w:val="auto"/>
              </w:rPr>
              <w:t>months</w:t>
            </w: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0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gridSpan w:val="3"/>
            <w:vMerge w:val="continue"/>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gridSpan w:val="3"/>
            <w:vMerge w:val="continue"/>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4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340"/>
              <w:spacing w:after="0" w:line="125" w:lineRule="exact"/>
              <w:rPr>
                <w:sz w:val="20"/>
                <w:szCs w:val="20"/>
                <w:color w:val="auto"/>
              </w:rPr>
            </w:pPr>
            <w:r>
              <w:rPr>
                <w:rFonts w:ascii="Arial" w:cs="Arial" w:eastAsia="Arial" w:hAnsi="Arial"/>
                <w:sz w:val="14"/>
                <w:szCs w:val="14"/>
                <w:color w:val="auto"/>
                <w:w w:val="90"/>
              </w:rPr>
              <w:t>Fair market</w:t>
            </w:r>
          </w:p>
        </w:tc>
        <w:tc>
          <w:tcPr>
            <w:tcW w:w="160" w:type="dxa"/>
            <w:vAlign w:val="bottom"/>
          </w:tcPr>
          <w:p>
            <w:pPr>
              <w:spacing w:after="0"/>
              <w:rPr>
                <w:sz w:val="10"/>
                <w:szCs w:val="10"/>
                <w:color w:val="auto"/>
              </w:rPr>
            </w:pPr>
          </w:p>
        </w:tc>
        <w:tc>
          <w:tcPr>
            <w:tcW w:w="840" w:type="dxa"/>
            <w:vAlign w:val="bottom"/>
          </w:tcPr>
          <w:p>
            <w:pPr>
              <w:jc w:val="center"/>
              <w:ind w:right="79"/>
              <w:spacing w:after="0" w:line="125" w:lineRule="exact"/>
              <w:rPr>
                <w:sz w:val="20"/>
                <w:szCs w:val="20"/>
                <w:color w:val="auto"/>
              </w:rPr>
            </w:pPr>
            <w:r>
              <w:rPr>
                <w:rFonts w:ascii="Arial" w:cs="Arial" w:eastAsia="Arial" w:hAnsi="Arial"/>
                <w:sz w:val="14"/>
                <w:szCs w:val="14"/>
                <w:color w:val="auto"/>
                <w:w w:val="89"/>
              </w:rPr>
              <w:t>Unrealized</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360"/>
              <w:spacing w:after="0" w:line="125" w:lineRule="exact"/>
              <w:rPr>
                <w:sz w:val="20"/>
                <w:szCs w:val="20"/>
                <w:color w:val="auto"/>
              </w:rPr>
            </w:pPr>
            <w:r>
              <w:rPr>
                <w:rFonts w:ascii="Arial" w:cs="Arial" w:eastAsia="Arial" w:hAnsi="Arial"/>
                <w:sz w:val="14"/>
                <w:szCs w:val="14"/>
                <w:color w:val="auto"/>
                <w:w w:val="90"/>
              </w:rPr>
              <w:t>Fair market</w:t>
            </w:r>
          </w:p>
        </w:tc>
        <w:tc>
          <w:tcPr>
            <w:tcW w:w="160" w:type="dxa"/>
            <w:vAlign w:val="bottom"/>
          </w:tcPr>
          <w:p>
            <w:pPr>
              <w:spacing w:after="0"/>
              <w:rPr>
                <w:sz w:val="10"/>
                <w:szCs w:val="10"/>
                <w:color w:val="auto"/>
              </w:rPr>
            </w:pPr>
          </w:p>
        </w:tc>
        <w:tc>
          <w:tcPr>
            <w:tcW w:w="840" w:type="dxa"/>
            <w:vAlign w:val="bottom"/>
          </w:tcPr>
          <w:p>
            <w:pPr>
              <w:jc w:val="center"/>
              <w:ind w:right="79"/>
              <w:spacing w:after="0" w:line="125" w:lineRule="exact"/>
              <w:rPr>
                <w:sz w:val="20"/>
                <w:szCs w:val="20"/>
                <w:color w:val="auto"/>
              </w:rPr>
            </w:pPr>
            <w:r>
              <w:rPr>
                <w:rFonts w:ascii="Arial" w:cs="Arial" w:eastAsia="Arial" w:hAnsi="Arial"/>
                <w:sz w:val="14"/>
                <w:szCs w:val="14"/>
                <w:color w:val="auto"/>
                <w:w w:val="89"/>
              </w:rPr>
              <w:t>Unrealized</w:t>
            </w:r>
          </w:p>
        </w:tc>
        <w:tc>
          <w:tcPr>
            <w:tcW w:w="220" w:type="dxa"/>
            <w:vAlign w:val="bottom"/>
          </w:tcPr>
          <w:p>
            <w:pPr>
              <w:spacing w:after="0"/>
              <w:rPr>
                <w:sz w:val="10"/>
                <w:szCs w:val="10"/>
                <w:color w:val="auto"/>
              </w:rPr>
            </w:pPr>
          </w:p>
        </w:tc>
        <w:tc>
          <w:tcPr>
            <w:tcW w:w="1380" w:type="dxa"/>
            <w:vAlign w:val="bottom"/>
            <w:gridSpan w:val="5"/>
            <w:vMerge w:val="restart"/>
          </w:tcPr>
          <w:p>
            <w:pPr>
              <w:ind w:left="20"/>
              <w:spacing w:after="0"/>
              <w:rPr>
                <w:sz w:val="20"/>
                <w:szCs w:val="20"/>
                <w:color w:val="auto"/>
              </w:rPr>
            </w:pPr>
            <w:r>
              <w:rPr>
                <w:rFonts w:ascii="Arial" w:cs="Arial" w:eastAsia="Arial" w:hAnsi="Arial"/>
                <w:sz w:val="14"/>
                <w:szCs w:val="14"/>
                <w:color w:val="auto"/>
              </w:rPr>
              <w:t>Fair market value</w:t>
            </w:r>
          </w:p>
        </w:tc>
        <w:tc>
          <w:tcPr>
            <w:tcW w:w="860" w:type="dxa"/>
            <w:vAlign w:val="bottom"/>
          </w:tcPr>
          <w:p>
            <w:pPr>
              <w:jc w:val="right"/>
              <w:ind w:right="119"/>
              <w:spacing w:after="0" w:line="125" w:lineRule="exact"/>
              <w:rPr>
                <w:sz w:val="20"/>
                <w:szCs w:val="20"/>
                <w:color w:val="auto"/>
              </w:rPr>
            </w:pPr>
            <w:r>
              <w:rPr>
                <w:rFonts w:ascii="Arial" w:cs="Arial" w:eastAsia="Arial" w:hAnsi="Arial"/>
                <w:sz w:val="14"/>
                <w:szCs w:val="14"/>
                <w:color w:val="auto"/>
                <w:w w:val="95"/>
              </w:rPr>
              <w:t>Unrealized</w:t>
            </w:r>
          </w:p>
        </w:tc>
        <w:tc>
          <w:tcPr>
            <w:tcW w:w="0" w:type="dxa"/>
            <w:vAlign w:val="bottom"/>
          </w:tcPr>
          <w:p>
            <w:pPr>
              <w:spacing w:after="0"/>
              <w:rPr>
                <w:sz w:val="1"/>
                <w:szCs w:val="1"/>
                <w:color w:val="auto"/>
              </w:rPr>
            </w:pPr>
          </w:p>
        </w:tc>
      </w:tr>
      <w:tr>
        <w:trPr>
          <w:trHeight w:val="178"/>
        </w:trPr>
        <w:tc>
          <w:tcPr>
            <w:tcW w:w="4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color w:val="auto"/>
                <w:w w:val="89"/>
              </w:rPr>
              <w:t>value</w:t>
            </w:r>
          </w:p>
        </w:tc>
        <w:tc>
          <w:tcPr>
            <w:tcW w:w="160" w:type="dxa"/>
            <w:vAlign w:val="bottom"/>
          </w:tcPr>
          <w:p>
            <w:pPr>
              <w:spacing w:after="0"/>
              <w:rPr>
                <w:sz w:val="15"/>
                <w:szCs w:val="15"/>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color w:val="auto"/>
                <w:w w:val="81"/>
              </w:rPr>
              <w:t>Losses</w:t>
            </w:r>
          </w:p>
        </w:tc>
        <w:tc>
          <w:tcPr>
            <w:tcW w:w="140" w:type="dxa"/>
            <w:vAlign w:val="bottom"/>
          </w:tcPr>
          <w:p>
            <w:pPr>
              <w:spacing w:after="0"/>
              <w:rPr>
                <w:sz w:val="15"/>
                <w:szCs w:val="15"/>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color w:val="auto"/>
                <w:w w:val="89"/>
              </w:rPr>
              <w:t>value</w:t>
            </w:r>
          </w:p>
        </w:tc>
        <w:tc>
          <w:tcPr>
            <w:tcW w:w="160" w:type="dxa"/>
            <w:vAlign w:val="bottom"/>
          </w:tcPr>
          <w:p>
            <w:pPr>
              <w:spacing w:after="0"/>
              <w:rPr>
                <w:sz w:val="15"/>
                <w:szCs w:val="15"/>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color w:val="auto"/>
                <w:w w:val="81"/>
              </w:rPr>
              <w:t>Losses</w:t>
            </w:r>
          </w:p>
        </w:tc>
        <w:tc>
          <w:tcPr>
            <w:tcW w:w="1380" w:type="dxa"/>
            <w:vAlign w:val="bottom"/>
            <w:gridSpan w:val="5"/>
            <w:vMerge w:val="continue"/>
          </w:tcPr>
          <w:p>
            <w:pPr>
              <w:spacing w:after="0"/>
              <w:rPr>
                <w:sz w:val="15"/>
                <w:szCs w:val="15"/>
                <w:color w:val="auto"/>
              </w:rPr>
            </w:pPr>
          </w:p>
        </w:tc>
        <w:tc>
          <w:tcPr>
            <w:tcW w:w="860" w:type="dxa"/>
            <w:vAlign w:val="bottom"/>
          </w:tcPr>
          <w:p>
            <w:pPr>
              <w:jc w:val="right"/>
              <w:ind w:right="239"/>
              <w:spacing w:after="0"/>
              <w:rPr>
                <w:sz w:val="20"/>
                <w:szCs w:val="20"/>
                <w:color w:val="auto"/>
              </w:rPr>
            </w:pPr>
            <w:r>
              <w:rPr>
                <w:rFonts w:ascii="Arial" w:cs="Arial" w:eastAsia="Arial" w:hAnsi="Arial"/>
                <w:sz w:val="14"/>
                <w:szCs w:val="14"/>
                <w:color w:val="auto"/>
              </w:rPr>
              <w:t>Losses</w:t>
            </w:r>
          </w:p>
        </w:tc>
        <w:tc>
          <w:tcPr>
            <w:tcW w:w="0" w:type="dxa"/>
            <w:vAlign w:val="bottom"/>
          </w:tcPr>
          <w:p>
            <w:pPr>
              <w:spacing w:after="0"/>
              <w:rPr>
                <w:sz w:val="1"/>
                <w:szCs w:val="1"/>
                <w:color w:val="auto"/>
              </w:rPr>
            </w:pPr>
          </w:p>
        </w:tc>
      </w:tr>
      <w:tr>
        <w:trPr>
          <w:trHeight w:val="202"/>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Fixed income securities:</w:t>
            </w: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80" w:type="dxa"/>
            <w:vAlign w:val="bottom"/>
          </w:tcPr>
          <w:p>
            <w:pPr>
              <w:ind w:left="220"/>
              <w:spacing w:after="0"/>
              <w:rPr>
                <w:sz w:val="20"/>
                <w:szCs w:val="20"/>
                <w:color w:val="auto"/>
              </w:rPr>
            </w:pPr>
            <w:r>
              <w:rPr>
                <w:rFonts w:ascii="Arial" w:cs="Arial" w:eastAsia="Arial" w:hAnsi="Arial"/>
                <w:sz w:val="17"/>
                <w:szCs w:val="17"/>
                <w:color w:val="auto"/>
              </w:rPr>
              <w:t>Foreign debt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2,517</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(57)</w:t>
            </w:r>
          </w:p>
        </w:tc>
        <w:tc>
          <w:tcPr>
            <w:tcW w:w="2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371</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(645)</w:t>
            </w:r>
          </w:p>
        </w:tc>
        <w:tc>
          <w:tcPr>
            <w:tcW w:w="22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2,888</w:t>
            </w:r>
          </w:p>
        </w:tc>
        <w:tc>
          <w:tcPr>
            <w:tcW w:w="44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(702)</w:t>
            </w:r>
          </w:p>
        </w:tc>
        <w:tc>
          <w:tcPr>
            <w:tcW w:w="0" w:type="dxa"/>
            <w:vAlign w:val="bottom"/>
          </w:tcPr>
          <w:p>
            <w:pPr>
              <w:spacing w:after="0"/>
              <w:rPr>
                <w:sz w:val="1"/>
                <w:szCs w:val="1"/>
                <w:color w:val="auto"/>
              </w:rPr>
            </w:pPr>
          </w:p>
        </w:tc>
      </w:tr>
      <w:tr>
        <w:trPr>
          <w:trHeight w:val="220"/>
        </w:trPr>
        <w:tc>
          <w:tcPr>
            <w:tcW w:w="4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Corporate debt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1,326</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w:t>
            </w:r>
          </w:p>
        </w:tc>
        <w:tc>
          <w:tcPr>
            <w:tcW w:w="0" w:type="dxa"/>
            <w:vAlign w:val="bottom"/>
          </w:tcPr>
          <w:p>
            <w:pPr>
              <w:spacing w:after="0"/>
              <w:rPr>
                <w:sz w:val="1"/>
                <w:szCs w:val="1"/>
                <w:color w:val="auto"/>
              </w:rPr>
            </w:pPr>
          </w:p>
        </w:tc>
      </w:tr>
      <w:tr>
        <w:trPr>
          <w:trHeight w:val="219"/>
        </w:trPr>
        <w:tc>
          <w:tcPr>
            <w:tcW w:w="4080" w:type="dxa"/>
            <w:vAlign w:val="bottom"/>
          </w:tcPr>
          <w:p>
            <w:pPr>
              <w:ind w:left="220"/>
              <w:spacing w:after="0"/>
              <w:rPr>
                <w:sz w:val="20"/>
                <w:szCs w:val="20"/>
                <w:color w:val="auto"/>
              </w:rPr>
            </w:pPr>
            <w:r>
              <w:rPr>
                <w:rFonts w:ascii="Arial" w:cs="Arial" w:eastAsia="Arial" w:hAnsi="Arial"/>
                <w:sz w:val="17"/>
                <w:szCs w:val="17"/>
                <w:color w:val="auto"/>
              </w:rPr>
              <w:t>Preferred stock</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709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4,049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(218)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4,758</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(336)</w:t>
            </w:r>
          </w:p>
        </w:tc>
        <w:tc>
          <w:tcPr>
            <w:tcW w:w="0" w:type="dxa"/>
            <w:vAlign w:val="bottom"/>
          </w:tcPr>
          <w:p>
            <w:pPr>
              <w:spacing w:after="0"/>
              <w:rPr>
                <w:sz w:val="1"/>
                <w:szCs w:val="1"/>
                <w:color w:val="auto"/>
              </w:rPr>
            </w:pPr>
          </w:p>
        </w:tc>
      </w:tr>
      <w:tr>
        <w:trPr>
          <w:trHeight w:val="220"/>
        </w:trPr>
        <w:tc>
          <w:tcPr>
            <w:tcW w:w="4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Mortgage-backed securities</w:t>
            </w: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6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0" w:type="dxa"/>
            <w:vAlign w:val="bottom"/>
          </w:tcPr>
          <w:p>
            <w:pPr>
              <w:spacing w:after="0"/>
              <w:rPr>
                <w:sz w:val="1"/>
                <w:szCs w:val="1"/>
                <w:color w:val="auto"/>
              </w:rPr>
            </w:pPr>
          </w:p>
        </w:tc>
      </w:tr>
      <w:tr>
        <w:trPr>
          <w:trHeight w:val="212"/>
        </w:trPr>
        <w:tc>
          <w:tcPr>
            <w:tcW w:w="4080" w:type="dxa"/>
            <w:vAlign w:val="bottom"/>
          </w:tcPr>
          <w:p>
            <w:pPr>
              <w:ind w:left="20"/>
              <w:spacing w:after="0"/>
              <w:rPr>
                <w:sz w:val="20"/>
                <w:szCs w:val="20"/>
                <w:color w:val="auto"/>
              </w:rPr>
            </w:pPr>
            <w:r>
              <w:rPr>
                <w:rFonts w:ascii="Arial" w:cs="Arial" w:eastAsia="Arial" w:hAnsi="Arial"/>
                <w:sz w:val="17"/>
                <w:szCs w:val="17"/>
                <w:color w:val="auto"/>
              </w:rPr>
              <w:t>Total fixed income securities with an unrealized loss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4,010</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(274)</w:t>
            </w:r>
          </w:p>
        </w:tc>
        <w:tc>
          <w:tcPr>
            <w:tcW w:w="22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5,074</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(1,281)</w:t>
            </w:r>
          </w:p>
        </w:tc>
        <w:tc>
          <w:tcPr>
            <w:tcW w:w="22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9,084</w:t>
            </w:r>
          </w:p>
        </w:tc>
        <w:tc>
          <w:tcPr>
            <w:tcW w:w="44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(1,555)</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400"/>
        <w:spacing w:after="0"/>
        <w:rPr>
          <w:sz w:val="20"/>
          <w:szCs w:val="20"/>
          <w:color w:val="auto"/>
        </w:rPr>
      </w:pPr>
      <w:r>
        <w:rPr>
          <w:rFonts w:ascii="Arial" w:cs="Arial" w:eastAsia="Arial" w:hAnsi="Arial"/>
          <w:sz w:val="15"/>
          <w:szCs w:val="15"/>
          <w:color w:val="auto"/>
        </w:rPr>
        <w:t xml:space="preserve">Preneed cemetery trust investment security transactions recorded in </w:t>
      </w:r>
      <w:r>
        <w:rPr>
          <w:rFonts w:ascii="Arial" w:cs="Arial" w:eastAsia="Arial" w:hAnsi="Arial"/>
          <w:sz w:val="15"/>
          <w:szCs w:val="15"/>
          <w:i w:val="1"/>
          <w:iCs w:val="1"/>
          <w:color w:val="auto"/>
        </w:rPr>
        <w:t>Other, net</w:t>
      </w:r>
      <w:r>
        <w:rPr>
          <w:rFonts w:ascii="Arial" w:cs="Arial" w:eastAsia="Arial" w:hAnsi="Arial"/>
          <w:sz w:val="15"/>
          <w:szCs w:val="15"/>
          <w:color w:val="auto"/>
        </w:rPr>
        <w:t xml:space="preserve"> on our Consolidated Statements of Operations are as follows (in thousands):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0" w:type="dxa"/>
            <w:vAlign w:val="bottom"/>
            <w:gridSpan w:val="5"/>
          </w:tcPr>
          <w:p>
            <w:pPr>
              <w:ind w:left="60"/>
              <w:spacing w:after="0"/>
              <w:rPr>
                <w:sz w:val="20"/>
                <w:szCs w:val="20"/>
                <w:color w:val="auto"/>
              </w:rPr>
            </w:pPr>
            <w:r>
              <w:rPr>
                <w:rFonts w:ascii="Arial" w:cs="Arial" w:eastAsia="Arial" w:hAnsi="Arial"/>
                <w:sz w:val="15"/>
                <w:szCs w:val="15"/>
                <w:b w:val="1"/>
                <w:bCs w:val="1"/>
                <w:color w:val="auto"/>
              </w:rPr>
              <w:t>Three months ended September 30,</w:t>
            </w:r>
          </w:p>
        </w:tc>
        <w:tc>
          <w:tcPr>
            <w:tcW w:w="160" w:type="dxa"/>
            <w:vAlign w:val="bottom"/>
          </w:tcPr>
          <w:p>
            <w:pPr>
              <w:spacing w:after="0"/>
              <w:rPr>
                <w:sz w:val="17"/>
                <w:szCs w:val="17"/>
                <w:color w:val="auto"/>
              </w:rPr>
            </w:pPr>
          </w:p>
        </w:tc>
        <w:tc>
          <w:tcPr>
            <w:tcW w:w="2540" w:type="dxa"/>
            <w:vAlign w:val="bottom"/>
            <w:gridSpan w:val="4"/>
          </w:tcPr>
          <w:p>
            <w:pPr>
              <w:jc w:val="right"/>
              <w:ind w:right="136"/>
              <w:spacing w:after="0"/>
              <w:rPr>
                <w:sz w:val="20"/>
                <w:szCs w:val="20"/>
                <w:color w:val="auto"/>
              </w:rPr>
            </w:pPr>
            <w:r>
              <w:rPr>
                <w:rFonts w:ascii="Arial" w:cs="Arial" w:eastAsia="Arial" w:hAnsi="Arial"/>
                <w:sz w:val="15"/>
                <w:szCs w:val="15"/>
                <w:b w:val="1"/>
                <w:bCs w:val="1"/>
                <w:color w:val="auto"/>
                <w:w w:val="93"/>
              </w:rPr>
              <w:t>Nine months ended September 30,</w:t>
            </w:r>
          </w:p>
        </w:tc>
      </w:tr>
      <w:tr>
        <w:trPr>
          <w:trHeight w:val="200"/>
        </w:trPr>
        <w:tc>
          <w:tcPr>
            <w:tcW w:w="55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160" w:type="dxa"/>
            <w:vAlign w:val="bottom"/>
            <w:tcBorders>
              <w:top w:val="single" w:sz="8" w:color="auto"/>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1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16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r>
      <w:tr>
        <w:trPr>
          <w:trHeight w:val="215"/>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1,421</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1,570</w:t>
            </w:r>
          </w:p>
        </w:tc>
      </w:tr>
      <w:tr>
        <w:trPr>
          <w:trHeight w:val="219"/>
        </w:trPr>
        <w:tc>
          <w:tcPr>
            <w:tcW w:w="5580" w:type="dxa"/>
            <w:vAlign w:val="bottom"/>
          </w:tcPr>
          <w:p>
            <w:pPr>
              <w:ind w:left="20"/>
              <w:spacing w:after="0"/>
              <w:rPr>
                <w:sz w:val="20"/>
                <w:szCs w:val="20"/>
                <w:color w:val="auto"/>
              </w:rPr>
            </w:pPr>
            <w:r>
              <w:rPr>
                <w:rFonts w:ascii="Arial" w:cs="Arial" w:eastAsia="Arial" w:hAnsi="Arial"/>
                <w:sz w:val="17"/>
                <w:szCs w:val="17"/>
                <w:color w:val="auto"/>
              </w:rPr>
              <w:t>Realized gains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2,857</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2,207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6,392</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16,315</w:t>
            </w:r>
          </w:p>
        </w:tc>
      </w:tr>
      <w:tr>
        <w:trPr>
          <w:trHeight w:val="220"/>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losses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(918)</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(4,490)</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(6,563)</w:t>
            </w:r>
          </w:p>
        </w:tc>
      </w:tr>
      <w:tr>
        <w:trPr>
          <w:trHeight w:val="219"/>
        </w:trPr>
        <w:tc>
          <w:tcPr>
            <w:tcW w:w="5580" w:type="dxa"/>
            <w:vAlign w:val="bottom"/>
          </w:tcPr>
          <w:p>
            <w:pPr>
              <w:ind w:left="20"/>
              <w:spacing w:after="0"/>
              <w:rPr>
                <w:sz w:val="20"/>
                <w:szCs w:val="20"/>
                <w:color w:val="auto"/>
              </w:rPr>
            </w:pPr>
            <w:r>
              <w:rPr>
                <w:rFonts w:ascii="Arial" w:cs="Arial" w:eastAsia="Arial" w:hAnsi="Arial"/>
                <w:sz w:val="17"/>
                <w:szCs w:val="17"/>
                <w:color w:val="auto"/>
              </w:rPr>
              <w:t>Unrealized gains (losses), net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1,235</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(3,966)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(2,726)</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4,893</w:t>
            </w:r>
          </w:p>
        </w:tc>
      </w:tr>
      <w:tr>
        <w:trPr>
          <w:trHeight w:val="220"/>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Expenses and taxes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(546)</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(982)</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(1,308)</w:t>
            </w:r>
          </w:p>
        </w:tc>
      </w:tr>
      <w:tr>
        <w:trPr>
          <w:trHeight w:val="219"/>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change in deferred preneed cemetery receipts held in trust</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(3,266)</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2,078</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385</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(14,907)</w:t>
            </w:r>
          </w:p>
        </w:tc>
      </w:tr>
      <w:tr>
        <w:trPr>
          <w:trHeight w:val="232"/>
        </w:trPr>
        <w:tc>
          <w:tcPr>
            <w:tcW w:w="55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
        </w:trPr>
        <w:tc>
          <w:tcPr>
            <w:tcW w:w="55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58"/>
        </w:trPr>
        <w:tc>
          <w:tcPr>
            <w:tcW w:w="7060" w:type="dxa"/>
            <w:vAlign w:val="bottom"/>
            <w:gridSpan w:val="4"/>
          </w:tcPr>
          <w:p>
            <w:pPr>
              <w:ind w:left="400"/>
              <w:spacing w:after="0"/>
              <w:rPr>
                <w:sz w:val="20"/>
                <w:szCs w:val="20"/>
                <w:color w:val="auto"/>
              </w:rPr>
            </w:pPr>
            <w:r>
              <w:rPr>
                <w:rFonts w:ascii="Arial" w:cs="Arial" w:eastAsia="Arial" w:hAnsi="Arial"/>
                <w:sz w:val="17"/>
                <w:szCs w:val="17"/>
                <w:color w:val="auto"/>
                <w:w w:val="90"/>
              </w:rPr>
              <w:t>Purchases and sales of investments in the preneed cemetery trusts are as follows (in thousands):</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1"/>
        </w:trPr>
        <w:tc>
          <w:tcPr>
            <w:tcW w:w="5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0" w:type="dxa"/>
            <w:vAlign w:val="bottom"/>
            <w:gridSpan w:val="5"/>
          </w:tcPr>
          <w:p>
            <w:pPr>
              <w:ind w:left="60"/>
              <w:spacing w:after="0"/>
              <w:rPr>
                <w:sz w:val="20"/>
                <w:szCs w:val="20"/>
                <w:color w:val="auto"/>
              </w:rPr>
            </w:pPr>
            <w:r>
              <w:rPr>
                <w:rFonts w:ascii="Arial" w:cs="Arial" w:eastAsia="Arial" w:hAnsi="Arial"/>
                <w:sz w:val="15"/>
                <w:szCs w:val="15"/>
                <w:b w:val="1"/>
                <w:bCs w:val="1"/>
                <w:color w:val="auto"/>
              </w:rPr>
              <w:t>Three months ended September 30,</w:t>
            </w:r>
          </w:p>
        </w:tc>
        <w:tc>
          <w:tcPr>
            <w:tcW w:w="160" w:type="dxa"/>
            <w:vAlign w:val="bottom"/>
          </w:tcPr>
          <w:p>
            <w:pPr>
              <w:spacing w:after="0"/>
              <w:rPr>
                <w:sz w:val="20"/>
                <w:szCs w:val="20"/>
                <w:color w:val="auto"/>
              </w:rPr>
            </w:pPr>
          </w:p>
        </w:tc>
        <w:tc>
          <w:tcPr>
            <w:tcW w:w="2540" w:type="dxa"/>
            <w:vAlign w:val="bottom"/>
            <w:gridSpan w:val="4"/>
          </w:tcPr>
          <w:p>
            <w:pPr>
              <w:jc w:val="right"/>
              <w:ind w:right="136"/>
              <w:spacing w:after="0"/>
              <w:rPr>
                <w:sz w:val="20"/>
                <w:szCs w:val="20"/>
                <w:color w:val="auto"/>
              </w:rPr>
            </w:pPr>
            <w:r>
              <w:rPr>
                <w:rFonts w:ascii="Arial" w:cs="Arial" w:eastAsia="Arial" w:hAnsi="Arial"/>
                <w:sz w:val="15"/>
                <w:szCs w:val="15"/>
                <w:b w:val="1"/>
                <w:bCs w:val="1"/>
                <w:color w:val="auto"/>
                <w:w w:val="93"/>
              </w:rPr>
              <w:t>Nine months ended September 30,</w:t>
            </w:r>
          </w:p>
        </w:tc>
      </w:tr>
      <w:tr>
        <w:trPr>
          <w:trHeight w:val="200"/>
        </w:trPr>
        <w:tc>
          <w:tcPr>
            <w:tcW w:w="55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160" w:type="dxa"/>
            <w:vAlign w:val="bottom"/>
            <w:tcBorders>
              <w:top w:val="single" w:sz="8" w:color="auto"/>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1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16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r>
      <w:tr>
        <w:trPr>
          <w:trHeight w:val="215"/>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(10,297)</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(7,532)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(42,750)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(34,740)</w:t>
            </w:r>
          </w:p>
        </w:tc>
      </w:tr>
      <w:tr>
        <w:trPr>
          <w:trHeight w:val="218"/>
        </w:trPr>
        <w:tc>
          <w:tcPr>
            <w:tcW w:w="5580" w:type="dxa"/>
            <w:vAlign w:val="bottom"/>
          </w:tcPr>
          <w:p>
            <w:pPr>
              <w:ind w:left="20"/>
              <w:spacing w:after="0"/>
              <w:rPr>
                <w:sz w:val="20"/>
                <w:szCs w:val="20"/>
                <w:color w:val="auto"/>
              </w:rPr>
            </w:pPr>
            <w:r>
              <w:rPr>
                <w:rFonts w:ascii="Arial" w:cs="Arial" w:eastAsia="Arial" w:hAnsi="Arial"/>
                <w:sz w:val="17"/>
                <w:szCs w:val="17"/>
                <w:color w:val="auto"/>
              </w:rPr>
              <w:t>Sales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9,200</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6,446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34,566</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33,847</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Preneed Funeral Trust Investments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Preneed funeral trust investments represent trust fund assets that we are permitted to withdraw as services and merchandise are provided to customers.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Preneed funeral contracts are secured by payments from customers, less retained amounts not required to be deposited into trust.</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The components of </w:t>
      </w:r>
      <w:r>
        <w:rPr>
          <w:rFonts w:ascii="Arial" w:cs="Arial" w:eastAsia="Arial" w:hAnsi="Arial"/>
          <w:sz w:val="17"/>
          <w:szCs w:val="17"/>
          <w:i w:val="1"/>
          <w:iCs w:val="1"/>
          <w:color w:val="auto"/>
        </w:rPr>
        <w:t>Preneed funeral trust investments</w:t>
      </w:r>
      <w:r>
        <w:rPr>
          <w:rFonts w:ascii="Arial" w:cs="Arial" w:eastAsia="Arial" w:hAnsi="Arial"/>
          <w:sz w:val="17"/>
          <w:szCs w:val="17"/>
          <w:color w:val="auto"/>
        </w:rPr>
        <w:t xml:space="preserve"> on our Consolidated Balance Sheet are as follows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460" w:type="dxa"/>
            <w:vAlign w:val="bottom"/>
            <w:tcBorders>
              <w:bottom w:val="single" w:sz="8" w:color="CCEEFF"/>
            </w:tcBorders>
          </w:tcPr>
          <w:p>
            <w:pPr>
              <w:spacing w:after="0"/>
              <w:rPr>
                <w:sz w:val="17"/>
                <w:szCs w:val="17"/>
                <w:color w:val="auto"/>
              </w:rPr>
            </w:pPr>
          </w:p>
        </w:tc>
        <w:tc>
          <w:tcPr>
            <w:tcW w:w="28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December 31, 2020</w:t>
            </w:r>
          </w:p>
        </w:tc>
        <w:tc>
          <w:tcPr>
            <w:tcW w:w="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September 30, 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Preneed funeral trust investments, at market value</w:t>
            </w:r>
          </w:p>
        </w:tc>
        <w:tc>
          <w:tcPr>
            <w:tcW w:w="3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104,166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111,587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allowance for contract cancellation</w:t>
            </w:r>
          </w:p>
        </w:tc>
        <w:tc>
          <w:tcPr>
            <w:tcW w:w="28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(2,931)</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Preneed funeral trust investments</w:t>
            </w:r>
          </w:p>
        </w:tc>
        <w:tc>
          <w:tcPr>
            <w:tcW w:w="3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101,235</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108,404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bottom w:val="single" w:sz="8" w:color="CCEEFF"/>
            </w:tcBorders>
            <w:vMerge w:val="restart"/>
          </w:tcPr>
          <w:p>
            <w:pPr>
              <w:jc w:val="right"/>
              <w:ind w:right="1354"/>
              <w:spacing w:after="0"/>
              <w:rPr>
                <w:sz w:val="20"/>
                <w:szCs w:val="20"/>
                <w:color w:val="auto"/>
              </w:rPr>
            </w:pPr>
            <w:r>
              <w:rPr>
                <w:rFonts w:ascii="Arial" w:cs="Arial" w:eastAsia="Arial" w:hAnsi="Arial"/>
                <w:sz w:val="17"/>
                <w:szCs w:val="17"/>
                <w:color w:val="auto"/>
              </w:rPr>
              <w:t>- 20 -</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446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460" w:type="dxa"/>
            <w:vAlign w:val="bottom"/>
            <w:tcBorders>
              <w:bottom w:val="single" w:sz="8" w:color="9A9A9A"/>
            </w:tcBorders>
          </w:tcPr>
          <w:p>
            <w:pPr>
              <w:spacing w:after="0"/>
              <w:rPr>
                <w:sz w:val="9"/>
                <w:szCs w:val="9"/>
                <w:color w:val="auto"/>
              </w:rPr>
            </w:pPr>
          </w:p>
        </w:tc>
        <w:tc>
          <w:tcPr>
            <w:tcW w:w="28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20" w:name="page21"/>
    <w:bookmarkEnd w:id="20"/>
    <w:p>
      <w:pPr>
        <w:ind w:left="400"/>
        <w:spacing w:after="0"/>
        <w:rPr>
          <w:sz w:val="20"/>
          <w:szCs w:val="20"/>
          <w:color w:val="auto"/>
        </w:rPr>
      </w:pPr>
      <w:r>
        <w:rPr>
          <w:rFonts w:ascii="Arial" w:cs="Arial" w:eastAsia="Arial" w:hAnsi="Arial"/>
          <w:sz w:val="17"/>
          <w:szCs w:val="17"/>
          <w:color w:val="auto"/>
        </w:rPr>
        <w:t>The cost and market values associated with preneed funeral trust investments at September 30, 2021 are detailed below (in thousands):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120" w:type="dxa"/>
            <w:vAlign w:val="bottom"/>
          </w:tcPr>
          <w:p>
            <w:pPr>
              <w:jc w:val="center"/>
              <w:ind w:left="37"/>
              <w:spacing w:after="0"/>
              <w:rPr>
                <w:sz w:val="20"/>
                <w:szCs w:val="20"/>
                <w:color w:val="auto"/>
              </w:rPr>
            </w:pPr>
            <w:r>
              <w:rPr>
                <w:rFonts w:ascii="Arial" w:cs="Arial" w:eastAsia="Arial" w:hAnsi="Arial"/>
                <w:sz w:val="14"/>
                <w:szCs w:val="14"/>
                <w:b w:val="1"/>
                <w:bCs w:val="1"/>
                <w:color w:val="auto"/>
                <w:w w:val="89"/>
              </w:rPr>
              <w:t>Fair Value</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Unrealized</w:t>
            </w:r>
          </w:p>
        </w:tc>
        <w:tc>
          <w:tcPr>
            <w:tcW w:w="200" w:type="dxa"/>
            <w:vAlign w:val="bottom"/>
          </w:tcPr>
          <w:p>
            <w:pPr>
              <w:spacing w:after="0"/>
              <w:rPr>
                <w:sz w:val="14"/>
                <w:szCs w:val="14"/>
                <w:color w:val="auto"/>
              </w:rPr>
            </w:pPr>
          </w:p>
        </w:tc>
        <w:tc>
          <w:tcPr>
            <w:tcW w:w="1040" w:type="dxa"/>
            <w:vAlign w:val="bottom"/>
          </w:tcPr>
          <w:p>
            <w:pPr>
              <w:jc w:val="center"/>
              <w:ind w:right="117"/>
              <w:spacing w:after="0"/>
              <w:rPr>
                <w:sz w:val="20"/>
                <w:szCs w:val="20"/>
                <w:color w:val="auto"/>
              </w:rPr>
            </w:pPr>
            <w:r>
              <w:rPr>
                <w:rFonts w:ascii="Arial" w:cs="Arial" w:eastAsia="Arial" w:hAnsi="Arial"/>
                <w:sz w:val="14"/>
                <w:szCs w:val="14"/>
                <w:b w:val="1"/>
                <w:bCs w:val="1"/>
                <w:color w:val="auto"/>
                <w:w w:val="90"/>
              </w:rPr>
              <w:t>Unrealized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Fair Market</w:t>
            </w:r>
          </w:p>
        </w:tc>
        <w:tc>
          <w:tcPr>
            <w:tcW w:w="0" w:type="dxa"/>
            <w:vAlign w:val="bottom"/>
          </w:tcPr>
          <w:p>
            <w:pPr>
              <w:spacing w:after="0"/>
              <w:rPr>
                <w:sz w:val="1"/>
                <w:szCs w:val="1"/>
                <w:color w:val="auto"/>
              </w:rPr>
            </w:pPr>
          </w:p>
        </w:tc>
      </w:tr>
      <w:tr>
        <w:trPr>
          <w:trHeight w:val="180"/>
        </w:trPr>
        <w:tc>
          <w:tcPr>
            <w:tcW w:w="42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ind w:left="37"/>
              <w:spacing w:after="0"/>
              <w:rPr>
                <w:sz w:val="20"/>
                <w:szCs w:val="20"/>
                <w:color w:val="auto"/>
              </w:rPr>
            </w:pPr>
            <w:r>
              <w:rPr>
                <w:rFonts w:ascii="Arial" w:cs="Arial" w:eastAsia="Arial" w:hAnsi="Arial"/>
                <w:sz w:val="14"/>
                <w:szCs w:val="14"/>
                <w:b w:val="1"/>
                <w:bCs w:val="1"/>
                <w:color w:val="auto"/>
                <w:w w:val="92"/>
              </w:rPr>
              <w:t>Hierarchy Level</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7"/>
              </w:rPr>
              <w:t>Gains</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3"/>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money market accounts</w:t>
            </w:r>
          </w:p>
        </w:tc>
        <w:tc>
          <w:tcPr>
            <w:tcW w:w="1120" w:type="dxa"/>
            <w:vAlign w:val="bottom"/>
            <w:shd w:val="clear" w:color="auto" w:fill="CCEEFF"/>
          </w:tcPr>
          <w:p>
            <w:pPr>
              <w:jc w:val="center"/>
              <w:ind w:left="37"/>
              <w:spacing w:after="0"/>
              <w:rPr>
                <w:sz w:val="20"/>
                <w:szCs w:val="20"/>
                <w:color w:val="auto"/>
              </w:rPr>
            </w:pPr>
            <w:r>
              <w:rPr>
                <w:rFonts w:ascii="Arial" w:cs="Arial" w:eastAsia="Arial" w:hAnsi="Arial"/>
                <w:sz w:val="17"/>
                <w:szCs w:val="17"/>
                <w:color w:val="auto"/>
                <w:w w:val="84"/>
              </w:rPr>
              <w:t>1</w:t>
            </w:r>
          </w:p>
        </w:tc>
        <w:tc>
          <w:tcPr>
            <w:tcW w:w="620" w:type="dxa"/>
            <w:vAlign w:val="bottom"/>
            <w:gridSpan w:val="3"/>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19,132</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19,132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tcPr>
          <w:p>
            <w:pPr>
              <w:ind w:left="20"/>
              <w:spacing w:after="0"/>
              <w:rPr>
                <w:sz w:val="20"/>
                <w:szCs w:val="20"/>
                <w:color w:val="auto"/>
              </w:rPr>
            </w:pPr>
            <w:r>
              <w:rPr>
                <w:rFonts w:ascii="Arial" w:cs="Arial" w:eastAsia="Arial" w:hAnsi="Arial"/>
                <w:sz w:val="17"/>
                <w:szCs w:val="17"/>
                <w:color w:val="auto"/>
              </w:rPr>
              <w:t>Fixed income securities: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U.S treasury debt</w:t>
            </w:r>
          </w:p>
        </w:tc>
        <w:tc>
          <w:tcPr>
            <w:tcW w:w="1120" w:type="dxa"/>
            <w:vAlign w:val="bottom"/>
            <w:shd w:val="clear" w:color="auto" w:fill="CCEEFF"/>
          </w:tcPr>
          <w:p>
            <w:pPr>
              <w:jc w:val="center"/>
              <w:ind w:left="37"/>
              <w:spacing w:after="0"/>
              <w:rPr>
                <w:sz w:val="20"/>
                <w:szCs w:val="20"/>
                <w:color w:val="auto"/>
              </w:rPr>
            </w:pPr>
            <w:r>
              <w:rPr>
                <w:rFonts w:ascii="Arial" w:cs="Arial" w:eastAsia="Arial" w:hAnsi="Arial"/>
                <w:sz w:val="17"/>
                <w:szCs w:val="17"/>
                <w:color w:val="auto"/>
                <w:w w:val="84"/>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16,554</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2,224</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18,029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80" w:type="dxa"/>
            <w:vAlign w:val="bottom"/>
          </w:tcPr>
          <w:p>
            <w:pPr>
              <w:ind w:left="220"/>
              <w:spacing w:after="0"/>
              <w:rPr>
                <w:sz w:val="20"/>
                <w:szCs w:val="20"/>
                <w:color w:val="auto"/>
              </w:rPr>
            </w:pPr>
            <w:r>
              <w:rPr>
                <w:rFonts w:ascii="Arial" w:cs="Arial" w:eastAsia="Arial" w:hAnsi="Arial"/>
                <w:sz w:val="17"/>
                <w:szCs w:val="17"/>
                <w:color w:val="auto"/>
              </w:rPr>
              <w:t>Foreign debt</w:t>
            </w:r>
          </w:p>
        </w:tc>
        <w:tc>
          <w:tcPr>
            <w:tcW w:w="1120" w:type="dxa"/>
            <w:vAlign w:val="bottom"/>
          </w:tcPr>
          <w:p>
            <w:pPr>
              <w:jc w:val="center"/>
              <w:ind w:left="37"/>
              <w:spacing w:after="0"/>
              <w:rPr>
                <w:sz w:val="20"/>
                <w:szCs w:val="20"/>
                <w:color w:val="auto"/>
              </w:rPr>
            </w:pPr>
            <w:r>
              <w:rPr>
                <w:rFonts w:ascii="Arial" w:cs="Arial" w:eastAsia="Arial" w:hAnsi="Arial"/>
                <w:sz w:val="17"/>
                <w:szCs w:val="17"/>
                <w:color w:val="auto"/>
                <w:w w:val="84"/>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10,518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1,325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11,826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Corporate debt</w:t>
            </w:r>
          </w:p>
        </w:tc>
        <w:tc>
          <w:tcPr>
            <w:tcW w:w="1120" w:type="dxa"/>
            <w:vAlign w:val="bottom"/>
            <w:shd w:val="clear" w:color="auto" w:fill="CCEEFF"/>
          </w:tcPr>
          <w:p>
            <w:pPr>
              <w:jc w:val="center"/>
              <w:ind w:left="37"/>
              <w:spacing w:after="0"/>
              <w:rPr>
                <w:sz w:val="20"/>
                <w:szCs w:val="20"/>
                <w:color w:val="auto"/>
              </w:rPr>
            </w:pPr>
            <w:r>
              <w:rPr>
                <w:rFonts w:ascii="Arial" w:cs="Arial" w:eastAsia="Arial" w:hAnsi="Arial"/>
                <w:sz w:val="17"/>
                <w:szCs w:val="17"/>
                <w:color w:val="auto"/>
                <w:w w:val="84"/>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11,011</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1,119</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11,734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80" w:type="dxa"/>
            <w:vAlign w:val="bottom"/>
          </w:tcPr>
          <w:p>
            <w:pPr>
              <w:ind w:left="220"/>
              <w:spacing w:after="0"/>
              <w:rPr>
                <w:sz w:val="20"/>
                <w:szCs w:val="20"/>
                <w:color w:val="auto"/>
              </w:rPr>
            </w:pPr>
            <w:r>
              <w:rPr>
                <w:rFonts w:ascii="Arial" w:cs="Arial" w:eastAsia="Arial" w:hAnsi="Arial"/>
                <w:sz w:val="17"/>
                <w:szCs w:val="17"/>
                <w:color w:val="auto"/>
              </w:rPr>
              <w:t>Preferred stock</w:t>
            </w:r>
          </w:p>
        </w:tc>
        <w:tc>
          <w:tcPr>
            <w:tcW w:w="1120" w:type="dxa"/>
            <w:vAlign w:val="bottom"/>
          </w:tcPr>
          <w:p>
            <w:pPr>
              <w:jc w:val="center"/>
              <w:ind w:left="37"/>
              <w:spacing w:after="0"/>
              <w:rPr>
                <w:sz w:val="20"/>
                <w:szCs w:val="20"/>
                <w:color w:val="auto"/>
              </w:rPr>
            </w:pPr>
            <w:r>
              <w:rPr>
                <w:rFonts w:ascii="Arial" w:cs="Arial" w:eastAsia="Arial" w:hAnsi="Arial"/>
                <w:sz w:val="17"/>
                <w:szCs w:val="17"/>
                <w:color w:val="auto"/>
                <w:w w:val="84"/>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Common stock</w:t>
            </w:r>
          </w:p>
        </w:tc>
        <w:tc>
          <w:tcPr>
            <w:tcW w:w="1120" w:type="dxa"/>
            <w:vAlign w:val="bottom"/>
            <w:shd w:val="clear" w:color="auto" w:fill="CCEEFF"/>
          </w:tcPr>
          <w:p>
            <w:pPr>
              <w:jc w:val="center"/>
              <w:ind w:left="37"/>
              <w:spacing w:after="0"/>
              <w:rPr>
                <w:sz w:val="20"/>
                <w:szCs w:val="20"/>
                <w:color w:val="auto"/>
              </w:rPr>
            </w:pPr>
            <w:r>
              <w:rPr>
                <w:rFonts w:ascii="Arial" w:cs="Arial" w:eastAsia="Arial" w:hAnsi="Arial"/>
                <w:sz w:val="17"/>
                <w:szCs w:val="17"/>
                <w:color w:val="auto"/>
                <w:w w:val="84"/>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35,602</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4,055</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36,300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80" w:type="dxa"/>
            <w:vAlign w:val="bottom"/>
          </w:tcPr>
          <w:p>
            <w:pPr>
              <w:ind w:left="20"/>
              <w:spacing w:after="0"/>
              <w:rPr>
                <w:sz w:val="20"/>
                <w:szCs w:val="20"/>
                <w:color w:val="auto"/>
              </w:rPr>
            </w:pPr>
            <w:r>
              <w:rPr>
                <w:rFonts w:ascii="Arial" w:cs="Arial" w:eastAsia="Arial" w:hAnsi="Arial"/>
                <w:sz w:val="17"/>
                <w:szCs w:val="17"/>
                <w:color w:val="auto"/>
              </w:rPr>
              <w:t>Mutual funds: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Equity</w:t>
            </w:r>
          </w:p>
        </w:tc>
        <w:tc>
          <w:tcPr>
            <w:tcW w:w="1120" w:type="dxa"/>
            <w:vAlign w:val="bottom"/>
            <w:shd w:val="clear" w:color="auto" w:fill="CCEEFF"/>
          </w:tcPr>
          <w:p>
            <w:pPr>
              <w:jc w:val="center"/>
              <w:ind w:left="37"/>
              <w:spacing w:after="0"/>
              <w:rPr>
                <w:sz w:val="20"/>
                <w:szCs w:val="20"/>
                <w:color w:val="auto"/>
              </w:rPr>
            </w:pPr>
            <w:r>
              <w:rPr>
                <w:rFonts w:ascii="Arial" w:cs="Arial" w:eastAsia="Arial" w:hAnsi="Arial"/>
                <w:sz w:val="17"/>
                <w:szCs w:val="17"/>
                <w:color w:val="auto"/>
                <w:w w:val="84"/>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80" w:type="dxa"/>
            <w:vAlign w:val="bottom"/>
          </w:tcPr>
          <w:p>
            <w:pPr>
              <w:ind w:left="220"/>
              <w:spacing w:after="0"/>
              <w:rPr>
                <w:sz w:val="20"/>
                <w:szCs w:val="20"/>
                <w:color w:val="auto"/>
              </w:rPr>
            </w:pPr>
            <w:r>
              <w:rPr>
                <w:rFonts w:ascii="Arial" w:cs="Arial" w:eastAsia="Arial" w:hAnsi="Arial"/>
                <w:sz w:val="17"/>
                <w:szCs w:val="17"/>
                <w:color w:val="auto"/>
              </w:rPr>
              <w:t>Fixed income</w:t>
            </w:r>
          </w:p>
        </w:tc>
        <w:tc>
          <w:tcPr>
            <w:tcW w:w="1120" w:type="dxa"/>
            <w:vAlign w:val="bottom"/>
          </w:tcPr>
          <w:p>
            <w:pPr>
              <w:jc w:val="center"/>
              <w:ind w:left="37"/>
              <w:spacing w:after="0"/>
              <w:rPr>
                <w:sz w:val="20"/>
                <w:szCs w:val="20"/>
                <w:color w:val="auto"/>
              </w:rPr>
            </w:pPr>
            <w:r>
              <w:rPr>
                <w:rFonts w:ascii="Arial" w:cs="Arial" w:eastAsia="Arial" w:hAnsi="Arial"/>
                <w:sz w:val="17"/>
                <w:szCs w:val="17"/>
                <w:color w:val="auto"/>
                <w:w w:val="84"/>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9,398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539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(269)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9,668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investments</w:t>
            </w:r>
          </w:p>
        </w:tc>
        <w:tc>
          <w:tcPr>
            <w:tcW w:w="1120" w:type="dxa"/>
            <w:vAlign w:val="bottom"/>
            <w:shd w:val="clear" w:color="auto" w:fill="CCEEFF"/>
          </w:tcPr>
          <w:p>
            <w:pPr>
              <w:jc w:val="center"/>
              <w:ind w:left="37"/>
              <w:spacing w:after="0"/>
              <w:rPr>
                <w:sz w:val="20"/>
                <w:szCs w:val="20"/>
                <w:color w:val="auto"/>
              </w:rPr>
            </w:pPr>
            <w:r>
              <w:rPr>
                <w:rFonts w:ascii="Arial" w:cs="Arial" w:eastAsia="Arial" w:hAnsi="Arial"/>
                <w:sz w:val="17"/>
                <w:szCs w:val="17"/>
                <w:color w:val="auto"/>
                <w:w w:val="84"/>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3,846</w:t>
            </w:r>
          </w:p>
        </w:tc>
        <w:tc>
          <w:tcPr>
            <w:tcW w:w="2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3,846</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280" w:type="dxa"/>
            <w:vAlign w:val="bottom"/>
          </w:tcPr>
          <w:p>
            <w:pPr>
              <w:ind w:left="20"/>
              <w:spacing w:after="0"/>
              <w:rPr>
                <w:sz w:val="20"/>
                <w:szCs w:val="20"/>
                <w:color w:val="auto"/>
              </w:rPr>
            </w:pPr>
            <w:r>
              <w:rPr>
                <w:rFonts w:ascii="Arial" w:cs="Arial" w:eastAsia="Arial" w:hAnsi="Arial"/>
                <w:sz w:val="17"/>
                <w:szCs w:val="17"/>
                <w:color w:val="auto"/>
              </w:rPr>
              <w:t>Trust securities</w:t>
            </w:r>
          </w:p>
        </w:tc>
        <w:tc>
          <w:tcPr>
            <w:tcW w:w="1120" w:type="dxa"/>
            <w:vAlign w:val="bottom"/>
          </w:tcPr>
          <w:p>
            <w:pPr>
              <w:spacing w:after="0"/>
              <w:rPr>
                <w:sz w:val="18"/>
                <w:szCs w:val="18"/>
                <w:color w:val="auto"/>
              </w:rPr>
            </w:pPr>
          </w:p>
        </w:tc>
        <w:tc>
          <w:tcPr>
            <w:tcW w:w="620" w:type="dxa"/>
            <w:vAlign w:val="bottom"/>
            <w:gridSpan w:val="3"/>
          </w:tcPr>
          <w:p>
            <w:pPr>
              <w:jc w:val="right"/>
              <w:ind w:right="11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106,087</w:t>
            </w:r>
          </w:p>
        </w:tc>
        <w:tc>
          <w:tcPr>
            <w:tcW w:w="4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9,266</w:t>
            </w:r>
          </w:p>
        </w:tc>
        <w:tc>
          <w:tcPr>
            <w:tcW w:w="2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(4,788)</w:t>
            </w:r>
          </w:p>
        </w:tc>
        <w:tc>
          <w:tcPr>
            <w:tcW w:w="3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110,565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Accrued investment income</w:t>
            </w:r>
          </w:p>
        </w:tc>
        <w:tc>
          <w:tcPr>
            <w:tcW w:w="1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gridSpan w:val="2"/>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1,022</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gridSpan w:val="2"/>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1,022</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280" w:type="dxa"/>
            <w:vAlign w:val="bottom"/>
          </w:tcPr>
          <w:p>
            <w:pPr>
              <w:ind w:left="20"/>
              <w:spacing w:after="0" w:line="177" w:lineRule="exact"/>
              <w:rPr>
                <w:sz w:val="20"/>
                <w:szCs w:val="20"/>
                <w:color w:val="auto"/>
              </w:rPr>
            </w:pPr>
            <w:r>
              <w:rPr>
                <w:rFonts w:ascii="Arial" w:cs="Arial" w:eastAsia="Arial" w:hAnsi="Arial"/>
                <w:sz w:val="17"/>
                <w:szCs w:val="17"/>
                <w:color w:val="auto"/>
              </w:rPr>
              <w:t>Preneed funeral trust investments</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gridSpan w:val="3"/>
          </w:tcPr>
          <w:p>
            <w:pPr>
              <w:jc w:val="right"/>
              <w:spacing w:after="0" w:line="177" w:lineRule="exact"/>
              <w:rPr>
                <w:sz w:val="20"/>
                <w:szCs w:val="20"/>
                <w:color w:val="auto"/>
              </w:rPr>
            </w:pPr>
            <w:r>
              <w:rPr>
                <w:rFonts w:ascii="Arial" w:cs="Arial" w:eastAsia="Arial" w:hAnsi="Arial"/>
                <w:sz w:val="17"/>
                <w:szCs w:val="17"/>
                <w:color w:val="auto"/>
              </w:rPr>
              <w:t>$</w:t>
            </w:r>
          </w:p>
        </w:tc>
        <w:tc>
          <w:tcPr>
            <w:tcW w:w="1020" w:type="dxa"/>
            <w:vAlign w:val="bottom"/>
          </w:tcPr>
          <w:p>
            <w:pPr>
              <w:jc w:val="right"/>
              <w:spacing w:after="0" w:line="177" w:lineRule="exact"/>
              <w:rPr>
                <w:sz w:val="20"/>
                <w:szCs w:val="20"/>
                <w:color w:val="auto"/>
              </w:rPr>
            </w:pPr>
            <w:r>
              <w:rPr>
                <w:rFonts w:ascii="Arial" w:cs="Arial" w:eastAsia="Arial" w:hAnsi="Arial"/>
                <w:sz w:val="17"/>
                <w:szCs w:val="17"/>
                <w:color w:val="auto"/>
              </w:rPr>
              <w:t>111,587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Market value as a percentage of cost</w:t>
            </w: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104.2%</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820" w:type="dxa"/>
            <w:vAlign w:val="bottom"/>
            <w:tcBorders>
              <w:top w:val="single" w:sz="8" w:color="CCEEFF"/>
              <w:bottom w:val="single" w:sz="8" w:color="CCEEFF"/>
            </w:tcBorders>
            <w:gridSpan w:val="12"/>
            <w:vMerge w:val="restart"/>
          </w:tcPr>
          <w:p>
            <w:pPr>
              <w:ind w:left="400"/>
              <w:spacing w:after="0"/>
              <w:rPr>
                <w:sz w:val="20"/>
                <w:szCs w:val="20"/>
                <w:color w:val="auto"/>
              </w:rPr>
            </w:pPr>
            <w:r>
              <w:rPr>
                <w:rFonts w:ascii="Arial" w:cs="Arial" w:eastAsia="Arial" w:hAnsi="Arial"/>
                <w:sz w:val="17"/>
                <w:szCs w:val="17"/>
                <w:color w:val="auto"/>
                <w:w w:val="99"/>
              </w:rPr>
              <w:t>The estimated maturities of the fixed income securities (excluding mutual funds) included above are as follows (in thousands):</w:t>
            </w: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820" w:type="dxa"/>
            <w:vAlign w:val="bottom"/>
            <w:gridSpan w:val="12"/>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Due in one year or less</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80" w:type="dxa"/>
            <w:vAlign w:val="bottom"/>
          </w:tcPr>
          <w:p>
            <w:pPr>
              <w:ind w:left="20"/>
              <w:spacing w:after="0"/>
              <w:rPr>
                <w:sz w:val="20"/>
                <w:szCs w:val="20"/>
                <w:color w:val="auto"/>
              </w:rPr>
            </w:pPr>
            <w:r>
              <w:rPr>
                <w:rFonts w:ascii="Arial" w:cs="Arial" w:eastAsia="Arial" w:hAnsi="Arial"/>
                <w:sz w:val="17"/>
                <w:szCs w:val="17"/>
                <w:color w:val="auto"/>
              </w:rPr>
              <w:t>Due in one to five years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10,164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Due in five to ten years</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fixed income securities</w:t>
            </w: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820" w:type="dxa"/>
            <w:vAlign w:val="bottom"/>
            <w:tcBorders>
              <w:top w:val="single" w:sz="8" w:color="CCEEFF"/>
              <w:bottom w:val="single" w:sz="8" w:color="CCEEFF"/>
            </w:tcBorders>
            <w:gridSpan w:val="12"/>
            <w:vMerge w:val="restart"/>
          </w:tcPr>
          <w:p>
            <w:pPr>
              <w:ind w:left="400"/>
              <w:spacing w:after="0"/>
              <w:rPr>
                <w:sz w:val="20"/>
                <w:szCs w:val="20"/>
                <w:color w:val="auto"/>
              </w:rPr>
            </w:pPr>
            <w:r>
              <w:rPr>
                <w:rFonts w:ascii="Arial" w:cs="Arial" w:eastAsia="Arial" w:hAnsi="Arial"/>
                <w:sz w:val="17"/>
                <w:szCs w:val="17"/>
                <w:color w:val="auto"/>
                <w:w w:val="92"/>
              </w:rPr>
              <w:t>The cost and market values associated with preneed funeral trust investments at December 31, 2020 are detailed below (in thousands):</w:t>
            </w: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820" w:type="dxa"/>
            <w:vAlign w:val="bottom"/>
            <w:gridSpan w:val="12"/>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4280" w:type="dxa"/>
            <w:vAlign w:val="bottom"/>
          </w:tcPr>
          <w:p>
            <w:pPr>
              <w:spacing w:after="0"/>
              <w:rPr>
                <w:sz w:val="13"/>
                <w:szCs w:val="13"/>
                <w:color w:val="auto"/>
              </w:rPr>
            </w:pPr>
          </w:p>
        </w:tc>
        <w:tc>
          <w:tcPr>
            <w:tcW w:w="1120" w:type="dxa"/>
            <w:vAlign w:val="bottom"/>
          </w:tcPr>
          <w:p>
            <w:pPr>
              <w:jc w:val="center"/>
              <w:ind w:left="37"/>
              <w:spacing w:after="0" w:line="157" w:lineRule="exact"/>
              <w:rPr>
                <w:sz w:val="20"/>
                <w:szCs w:val="20"/>
                <w:color w:val="auto"/>
              </w:rPr>
            </w:pPr>
            <w:r>
              <w:rPr>
                <w:rFonts w:ascii="Arial" w:cs="Arial" w:eastAsia="Arial" w:hAnsi="Arial"/>
                <w:sz w:val="14"/>
                <w:szCs w:val="14"/>
                <w:b w:val="1"/>
                <w:bCs w:val="1"/>
                <w:color w:val="auto"/>
                <w:w w:val="89"/>
              </w:rPr>
              <w:t>Fair Value</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420"/>
              <w:spacing w:after="0" w:line="157" w:lineRule="exact"/>
              <w:rPr>
                <w:sz w:val="20"/>
                <w:szCs w:val="20"/>
                <w:color w:val="auto"/>
              </w:rPr>
            </w:pPr>
            <w:r>
              <w:rPr>
                <w:rFonts w:ascii="Arial" w:cs="Arial" w:eastAsia="Arial" w:hAnsi="Arial"/>
                <w:sz w:val="14"/>
                <w:szCs w:val="14"/>
                <w:b w:val="1"/>
                <w:bCs w:val="1"/>
                <w:color w:val="auto"/>
                <w:w w:val="90"/>
              </w:rPr>
              <w:t>Unrealized</w:t>
            </w:r>
          </w:p>
        </w:tc>
        <w:tc>
          <w:tcPr>
            <w:tcW w:w="200" w:type="dxa"/>
            <w:vAlign w:val="bottom"/>
          </w:tcPr>
          <w:p>
            <w:pPr>
              <w:spacing w:after="0"/>
              <w:rPr>
                <w:sz w:val="13"/>
                <w:szCs w:val="13"/>
                <w:color w:val="auto"/>
              </w:rPr>
            </w:pPr>
          </w:p>
        </w:tc>
        <w:tc>
          <w:tcPr>
            <w:tcW w:w="1040" w:type="dxa"/>
            <w:vAlign w:val="bottom"/>
          </w:tcPr>
          <w:p>
            <w:pPr>
              <w:jc w:val="center"/>
              <w:ind w:right="117"/>
              <w:spacing w:after="0" w:line="157" w:lineRule="exact"/>
              <w:rPr>
                <w:sz w:val="20"/>
                <w:szCs w:val="20"/>
                <w:color w:val="auto"/>
              </w:rPr>
            </w:pPr>
            <w:r>
              <w:rPr>
                <w:rFonts w:ascii="Arial" w:cs="Arial" w:eastAsia="Arial" w:hAnsi="Arial"/>
                <w:sz w:val="14"/>
                <w:szCs w:val="14"/>
                <w:b w:val="1"/>
                <w:bCs w:val="1"/>
                <w:color w:val="auto"/>
                <w:w w:val="90"/>
              </w:rPr>
              <w:t>Unrealized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9"/>
              </w:rPr>
              <w:t>Fair Market</w:t>
            </w:r>
          </w:p>
        </w:tc>
        <w:tc>
          <w:tcPr>
            <w:tcW w:w="0" w:type="dxa"/>
            <w:vAlign w:val="bottom"/>
          </w:tcPr>
          <w:p>
            <w:pPr>
              <w:spacing w:after="0"/>
              <w:rPr>
                <w:sz w:val="1"/>
                <w:szCs w:val="1"/>
                <w:color w:val="auto"/>
              </w:rPr>
            </w:pPr>
          </w:p>
        </w:tc>
      </w:tr>
      <w:tr>
        <w:trPr>
          <w:trHeight w:val="180"/>
        </w:trPr>
        <w:tc>
          <w:tcPr>
            <w:tcW w:w="42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ind w:left="37"/>
              <w:spacing w:after="0"/>
              <w:rPr>
                <w:sz w:val="20"/>
                <w:szCs w:val="20"/>
                <w:color w:val="auto"/>
              </w:rPr>
            </w:pPr>
            <w:r>
              <w:rPr>
                <w:rFonts w:ascii="Arial" w:cs="Arial" w:eastAsia="Arial" w:hAnsi="Arial"/>
                <w:sz w:val="14"/>
                <w:szCs w:val="14"/>
                <w:b w:val="1"/>
                <w:bCs w:val="1"/>
                <w:color w:val="auto"/>
                <w:w w:val="92"/>
              </w:rPr>
              <w:t>Hierarchy Level</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7"/>
              </w:rPr>
              <w:t>Gains</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3"/>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money market accounts</w:t>
            </w:r>
          </w:p>
        </w:tc>
        <w:tc>
          <w:tcPr>
            <w:tcW w:w="1120" w:type="dxa"/>
            <w:vAlign w:val="bottom"/>
            <w:shd w:val="clear" w:color="auto" w:fill="CCEEFF"/>
          </w:tcPr>
          <w:p>
            <w:pPr>
              <w:jc w:val="center"/>
              <w:ind w:left="37"/>
              <w:spacing w:after="0"/>
              <w:rPr>
                <w:sz w:val="20"/>
                <w:szCs w:val="20"/>
                <w:color w:val="auto"/>
              </w:rPr>
            </w:pPr>
            <w:r>
              <w:rPr>
                <w:rFonts w:ascii="Arial" w:cs="Arial" w:eastAsia="Arial" w:hAnsi="Arial"/>
                <w:sz w:val="17"/>
                <w:szCs w:val="17"/>
                <w:color w:val="auto"/>
                <w:w w:val="84"/>
              </w:rPr>
              <w:t>1</w:t>
            </w:r>
          </w:p>
        </w:tc>
        <w:tc>
          <w:tcPr>
            <w:tcW w:w="620" w:type="dxa"/>
            <w:vAlign w:val="bottom"/>
            <w:gridSpan w:val="3"/>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18,478</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18,478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tcPr>
          <w:p>
            <w:pPr>
              <w:ind w:left="20"/>
              <w:spacing w:after="0"/>
              <w:rPr>
                <w:sz w:val="20"/>
                <w:szCs w:val="20"/>
                <w:color w:val="auto"/>
              </w:rPr>
            </w:pPr>
            <w:r>
              <w:rPr>
                <w:rFonts w:ascii="Arial" w:cs="Arial" w:eastAsia="Arial" w:hAnsi="Arial"/>
                <w:sz w:val="17"/>
                <w:szCs w:val="17"/>
                <w:color w:val="auto"/>
              </w:rPr>
              <w:t>Fixed income securities: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U.S. treasury debt</w:t>
            </w:r>
          </w:p>
        </w:tc>
        <w:tc>
          <w:tcPr>
            <w:tcW w:w="1120" w:type="dxa"/>
            <w:vAlign w:val="bottom"/>
            <w:shd w:val="clear" w:color="auto" w:fill="CCEEFF"/>
          </w:tcPr>
          <w:p>
            <w:pPr>
              <w:jc w:val="center"/>
              <w:ind w:left="37"/>
              <w:spacing w:after="0"/>
              <w:rPr>
                <w:sz w:val="20"/>
                <w:szCs w:val="20"/>
                <w:color w:val="auto"/>
              </w:rPr>
            </w:pPr>
            <w:r>
              <w:rPr>
                <w:rFonts w:ascii="Arial" w:cs="Arial" w:eastAsia="Arial" w:hAnsi="Arial"/>
                <w:sz w:val="17"/>
                <w:szCs w:val="17"/>
                <w:color w:val="auto"/>
                <w:w w:val="84"/>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819</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80" w:type="dxa"/>
            <w:vAlign w:val="bottom"/>
          </w:tcPr>
          <w:p>
            <w:pPr>
              <w:ind w:left="220"/>
              <w:spacing w:after="0"/>
              <w:rPr>
                <w:sz w:val="20"/>
                <w:szCs w:val="20"/>
                <w:color w:val="auto"/>
              </w:rPr>
            </w:pPr>
            <w:r>
              <w:rPr>
                <w:rFonts w:ascii="Arial" w:cs="Arial" w:eastAsia="Arial" w:hAnsi="Arial"/>
                <w:sz w:val="17"/>
                <w:szCs w:val="17"/>
                <w:color w:val="auto"/>
              </w:rPr>
              <w:t>Foreign debt</w:t>
            </w:r>
          </w:p>
        </w:tc>
        <w:tc>
          <w:tcPr>
            <w:tcW w:w="1120" w:type="dxa"/>
            <w:vAlign w:val="bottom"/>
          </w:tcPr>
          <w:p>
            <w:pPr>
              <w:jc w:val="center"/>
              <w:ind w:left="37"/>
              <w:spacing w:after="0"/>
              <w:rPr>
                <w:sz w:val="20"/>
                <w:szCs w:val="20"/>
                <w:color w:val="auto"/>
              </w:rPr>
            </w:pPr>
            <w:r>
              <w:rPr>
                <w:rFonts w:ascii="Arial" w:cs="Arial" w:eastAsia="Arial" w:hAnsi="Arial"/>
                <w:sz w:val="17"/>
                <w:szCs w:val="17"/>
                <w:color w:val="auto"/>
                <w:w w:val="84"/>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15,144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2,018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(634)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16,528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Corporate debt</w:t>
            </w:r>
          </w:p>
        </w:tc>
        <w:tc>
          <w:tcPr>
            <w:tcW w:w="1120" w:type="dxa"/>
            <w:vAlign w:val="bottom"/>
            <w:shd w:val="clear" w:color="auto" w:fill="CCEEFF"/>
          </w:tcPr>
          <w:p>
            <w:pPr>
              <w:jc w:val="center"/>
              <w:ind w:left="37"/>
              <w:spacing w:after="0"/>
              <w:rPr>
                <w:sz w:val="20"/>
                <w:szCs w:val="20"/>
                <w:color w:val="auto"/>
              </w:rPr>
            </w:pPr>
            <w:r>
              <w:rPr>
                <w:rFonts w:ascii="Arial" w:cs="Arial" w:eastAsia="Arial" w:hAnsi="Arial"/>
                <w:sz w:val="17"/>
                <w:szCs w:val="17"/>
                <w:color w:val="auto"/>
                <w:w w:val="84"/>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13,292</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1,638</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14,620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80" w:type="dxa"/>
            <w:vAlign w:val="bottom"/>
          </w:tcPr>
          <w:p>
            <w:pPr>
              <w:ind w:left="220"/>
              <w:spacing w:after="0"/>
              <w:rPr>
                <w:sz w:val="20"/>
                <w:szCs w:val="20"/>
                <w:color w:val="auto"/>
              </w:rPr>
            </w:pPr>
            <w:r>
              <w:rPr>
                <w:rFonts w:ascii="Arial" w:cs="Arial" w:eastAsia="Arial" w:hAnsi="Arial"/>
                <w:sz w:val="17"/>
                <w:szCs w:val="17"/>
                <w:color w:val="auto"/>
              </w:rPr>
              <w:t>Preferred stock</w:t>
            </w:r>
          </w:p>
        </w:tc>
        <w:tc>
          <w:tcPr>
            <w:tcW w:w="1120" w:type="dxa"/>
            <w:vAlign w:val="bottom"/>
          </w:tcPr>
          <w:p>
            <w:pPr>
              <w:jc w:val="center"/>
              <w:ind w:left="37"/>
              <w:spacing w:after="0"/>
              <w:rPr>
                <w:sz w:val="20"/>
                <w:szCs w:val="20"/>
                <w:color w:val="auto"/>
              </w:rPr>
            </w:pPr>
            <w:r>
              <w:rPr>
                <w:rFonts w:ascii="Arial" w:cs="Arial" w:eastAsia="Arial" w:hAnsi="Arial"/>
                <w:sz w:val="17"/>
                <w:szCs w:val="17"/>
                <w:color w:val="auto"/>
                <w:w w:val="84"/>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10,944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900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(298)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11,546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Mortgage-backed securities</w:t>
            </w:r>
          </w:p>
        </w:tc>
        <w:tc>
          <w:tcPr>
            <w:tcW w:w="1120" w:type="dxa"/>
            <w:vAlign w:val="bottom"/>
            <w:shd w:val="clear" w:color="auto" w:fill="CCEEFF"/>
          </w:tcPr>
          <w:p>
            <w:pPr>
              <w:jc w:val="center"/>
              <w:ind w:left="37"/>
              <w:spacing w:after="0"/>
              <w:rPr>
                <w:sz w:val="20"/>
                <w:szCs w:val="20"/>
                <w:color w:val="auto"/>
              </w:rPr>
            </w:pPr>
            <w:r>
              <w:rPr>
                <w:rFonts w:ascii="Arial" w:cs="Arial" w:eastAsia="Arial" w:hAnsi="Arial"/>
                <w:sz w:val="17"/>
                <w:szCs w:val="17"/>
                <w:color w:val="auto"/>
                <w:w w:val="84"/>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80" w:type="dxa"/>
            <w:vAlign w:val="bottom"/>
          </w:tcPr>
          <w:p>
            <w:pPr>
              <w:ind w:left="20"/>
              <w:spacing w:after="0"/>
              <w:rPr>
                <w:sz w:val="20"/>
                <w:szCs w:val="20"/>
                <w:color w:val="auto"/>
              </w:rPr>
            </w:pPr>
            <w:r>
              <w:rPr>
                <w:rFonts w:ascii="Arial" w:cs="Arial" w:eastAsia="Arial" w:hAnsi="Arial"/>
                <w:sz w:val="17"/>
                <w:szCs w:val="17"/>
                <w:color w:val="auto"/>
              </w:rPr>
              <w:t>Common stock</w:t>
            </w:r>
          </w:p>
        </w:tc>
        <w:tc>
          <w:tcPr>
            <w:tcW w:w="1120" w:type="dxa"/>
            <w:vAlign w:val="bottom"/>
          </w:tcPr>
          <w:p>
            <w:pPr>
              <w:jc w:val="center"/>
              <w:ind w:left="37"/>
              <w:spacing w:after="0"/>
              <w:rPr>
                <w:sz w:val="20"/>
                <w:szCs w:val="20"/>
                <w:color w:val="auto"/>
              </w:rPr>
            </w:pPr>
            <w:r>
              <w:rPr>
                <w:rFonts w:ascii="Arial" w:cs="Arial" w:eastAsia="Arial" w:hAnsi="Arial"/>
                <w:sz w:val="17"/>
                <w:szCs w:val="17"/>
                <w:color w:val="auto"/>
                <w:w w:val="84"/>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28,327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7,364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(6,052)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29,639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Mutual funds:</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80" w:type="dxa"/>
            <w:vAlign w:val="bottom"/>
          </w:tcPr>
          <w:p>
            <w:pPr>
              <w:ind w:left="220"/>
              <w:spacing w:after="0"/>
              <w:rPr>
                <w:sz w:val="20"/>
                <w:szCs w:val="20"/>
                <w:color w:val="auto"/>
              </w:rPr>
            </w:pPr>
            <w:r>
              <w:rPr>
                <w:rFonts w:ascii="Arial" w:cs="Arial" w:eastAsia="Arial" w:hAnsi="Arial"/>
                <w:sz w:val="17"/>
                <w:szCs w:val="17"/>
                <w:color w:val="auto"/>
              </w:rPr>
              <w:t>Fixed income</w:t>
            </w:r>
          </w:p>
        </w:tc>
        <w:tc>
          <w:tcPr>
            <w:tcW w:w="1120" w:type="dxa"/>
            <w:vAlign w:val="bottom"/>
          </w:tcPr>
          <w:p>
            <w:pPr>
              <w:jc w:val="center"/>
              <w:ind w:left="37"/>
              <w:spacing w:after="0"/>
              <w:rPr>
                <w:sz w:val="20"/>
                <w:szCs w:val="20"/>
                <w:color w:val="auto"/>
              </w:rPr>
            </w:pPr>
            <w:r>
              <w:rPr>
                <w:rFonts w:ascii="Arial" w:cs="Arial" w:eastAsia="Arial" w:hAnsi="Arial"/>
                <w:sz w:val="17"/>
                <w:szCs w:val="17"/>
                <w:color w:val="auto"/>
                <w:w w:val="84"/>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6,475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1,198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7,552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investments</w:t>
            </w:r>
          </w:p>
        </w:tc>
        <w:tc>
          <w:tcPr>
            <w:tcW w:w="1120" w:type="dxa"/>
            <w:vAlign w:val="bottom"/>
            <w:shd w:val="clear" w:color="auto" w:fill="CCEEFF"/>
          </w:tcPr>
          <w:p>
            <w:pPr>
              <w:jc w:val="center"/>
              <w:ind w:left="37"/>
              <w:spacing w:after="0"/>
              <w:rPr>
                <w:sz w:val="20"/>
                <w:szCs w:val="20"/>
                <w:color w:val="auto"/>
              </w:rPr>
            </w:pPr>
            <w:r>
              <w:rPr>
                <w:rFonts w:ascii="Arial" w:cs="Arial" w:eastAsia="Arial" w:hAnsi="Arial"/>
                <w:sz w:val="17"/>
                <w:szCs w:val="17"/>
                <w:color w:val="auto"/>
                <w:w w:val="84"/>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3,928</w:t>
            </w:r>
          </w:p>
        </w:tc>
        <w:tc>
          <w:tcPr>
            <w:tcW w:w="2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3,928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280" w:type="dxa"/>
            <w:vAlign w:val="bottom"/>
          </w:tcPr>
          <w:p>
            <w:pPr>
              <w:ind w:left="20"/>
              <w:spacing w:after="0"/>
              <w:rPr>
                <w:sz w:val="20"/>
                <w:szCs w:val="20"/>
                <w:color w:val="auto"/>
              </w:rPr>
            </w:pPr>
            <w:r>
              <w:rPr>
                <w:rFonts w:ascii="Arial" w:cs="Arial" w:eastAsia="Arial" w:hAnsi="Arial"/>
                <w:sz w:val="17"/>
                <w:szCs w:val="17"/>
                <w:color w:val="auto"/>
              </w:rPr>
              <w:t>Trust securities</w:t>
            </w:r>
          </w:p>
        </w:tc>
        <w:tc>
          <w:tcPr>
            <w:tcW w:w="1120" w:type="dxa"/>
            <w:vAlign w:val="bottom"/>
          </w:tcPr>
          <w:p>
            <w:pPr>
              <w:spacing w:after="0"/>
              <w:rPr>
                <w:sz w:val="18"/>
                <w:szCs w:val="18"/>
                <w:color w:val="auto"/>
              </w:rPr>
            </w:pPr>
          </w:p>
        </w:tc>
        <w:tc>
          <w:tcPr>
            <w:tcW w:w="620" w:type="dxa"/>
            <w:vAlign w:val="bottom"/>
            <w:gridSpan w:val="3"/>
          </w:tcPr>
          <w:p>
            <w:pPr>
              <w:jc w:val="right"/>
              <w:ind w:right="11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97,700</w:t>
            </w:r>
          </w:p>
        </w:tc>
        <w:tc>
          <w:tcPr>
            <w:tcW w:w="4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13,125</w:t>
            </w:r>
          </w:p>
        </w:tc>
        <w:tc>
          <w:tcPr>
            <w:tcW w:w="2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(7,570)</w:t>
            </w:r>
          </w:p>
        </w:tc>
        <w:tc>
          <w:tcPr>
            <w:tcW w:w="3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103,255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Accrued investment income</w:t>
            </w:r>
          </w:p>
        </w:tc>
        <w:tc>
          <w:tcPr>
            <w:tcW w:w="1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gridSpan w:val="2"/>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911</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gridSpan w:val="2"/>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911</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280" w:type="dxa"/>
            <w:vAlign w:val="bottom"/>
          </w:tcPr>
          <w:p>
            <w:pPr>
              <w:ind w:left="20"/>
              <w:spacing w:after="0" w:line="177" w:lineRule="exact"/>
              <w:rPr>
                <w:sz w:val="20"/>
                <w:szCs w:val="20"/>
                <w:color w:val="auto"/>
              </w:rPr>
            </w:pPr>
            <w:r>
              <w:rPr>
                <w:rFonts w:ascii="Arial" w:cs="Arial" w:eastAsia="Arial" w:hAnsi="Arial"/>
                <w:sz w:val="17"/>
                <w:szCs w:val="17"/>
                <w:color w:val="auto"/>
              </w:rPr>
              <w:t>Preneed funeral trust investments</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gridSpan w:val="3"/>
          </w:tcPr>
          <w:p>
            <w:pPr>
              <w:jc w:val="right"/>
              <w:spacing w:after="0" w:line="177" w:lineRule="exact"/>
              <w:rPr>
                <w:sz w:val="20"/>
                <w:szCs w:val="20"/>
                <w:color w:val="auto"/>
              </w:rPr>
            </w:pPr>
            <w:r>
              <w:rPr>
                <w:rFonts w:ascii="Arial" w:cs="Arial" w:eastAsia="Arial" w:hAnsi="Arial"/>
                <w:sz w:val="17"/>
                <w:szCs w:val="17"/>
                <w:color w:val="auto"/>
              </w:rPr>
              <w:t>$</w:t>
            </w:r>
          </w:p>
        </w:tc>
        <w:tc>
          <w:tcPr>
            <w:tcW w:w="1020" w:type="dxa"/>
            <w:vAlign w:val="bottom"/>
          </w:tcPr>
          <w:p>
            <w:pPr>
              <w:jc w:val="right"/>
              <w:spacing w:after="0" w:line="177" w:lineRule="exact"/>
              <w:rPr>
                <w:sz w:val="20"/>
                <w:szCs w:val="20"/>
                <w:color w:val="auto"/>
              </w:rPr>
            </w:pPr>
            <w:r>
              <w:rPr>
                <w:rFonts w:ascii="Arial" w:cs="Arial" w:eastAsia="Arial" w:hAnsi="Arial"/>
                <w:sz w:val="17"/>
                <w:szCs w:val="17"/>
                <w:color w:val="auto"/>
              </w:rPr>
              <w:t>104,166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Market value as a percentage of cost</w:t>
            </w: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105.7%</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CCEEFF"/>
            </w:tcBorders>
            <w:gridSpan w:val="3"/>
            <w:vMerge w:val="restart"/>
          </w:tcPr>
          <w:p>
            <w:pPr>
              <w:jc w:val="right"/>
              <w:ind w:right="114"/>
              <w:spacing w:after="0"/>
              <w:rPr>
                <w:sz w:val="20"/>
                <w:szCs w:val="20"/>
                <w:color w:val="auto"/>
              </w:rPr>
            </w:pPr>
            <w:r>
              <w:rPr>
                <w:rFonts w:ascii="Arial" w:cs="Arial" w:eastAsia="Arial" w:hAnsi="Arial"/>
                <w:sz w:val="17"/>
                <w:szCs w:val="17"/>
                <w:color w:val="auto"/>
              </w:rPr>
              <w:t>- 21 -</w:t>
            </w: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4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gridSpan w:val="3"/>
            <w:vMerge w:val="continue"/>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2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21" w:name="page22"/>
    <w:bookmarkEnd w:id="21"/>
    <w:p>
      <w:pPr>
        <w:ind w:firstLine="387"/>
        <w:spacing w:after="0" w:line="293" w:lineRule="auto"/>
        <w:rPr>
          <w:sz w:val="20"/>
          <w:szCs w:val="20"/>
          <w:color w:val="auto"/>
        </w:rPr>
      </w:pPr>
      <w:r>
        <w:rPr>
          <w:rFonts w:ascii="Arial" w:cs="Arial" w:eastAsia="Arial" w:hAnsi="Arial"/>
          <w:sz w:val="16"/>
          <w:szCs w:val="16"/>
          <w:color w:val="auto"/>
        </w:rPr>
        <w:t>The following table summarized our fixed income securities (excluding mutual funds) within our preneed funeral trust investment in an unrealized loss position at September 30, 2021, aggregated by major security type and length of time in a continuous unrealized loss position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5"/>
          </w:tcPr>
          <w:p>
            <w:pPr>
              <w:ind w:left="340"/>
              <w:spacing w:after="0"/>
              <w:rPr>
                <w:sz w:val="20"/>
                <w:szCs w:val="20"/>
                <w:color w:val="auto"/>
              </w:rPr>
            </w:pPr>
            <w:r>
              <w:rPr>
                <w:rFonts w:ascii="Arial" w:cs="Arial" w:eastAsia="Arial" w:hAnsi="Arial"/>
                <w:sz w:val="15"/>
                <w:szCs w:val="15"/>
                <w:b w:val="1"/>
                <w:bCs w:val="1"/>
                <w:color w:val="auto"/>
              </w:rPr>
              <w:t>September 30, 2021</w:t>
            </w:r>
          </w:p>
        </w:tc>
        <w:tc>
          <w:tcPr>
            <w:tcW w:w="3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4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gridSpan w:val="5"/>
          </w:tcPr>
          <w:p>
            <w:pPr>
              <w:ind w:left="40"/>
              <w:spacing w:after="0" w:line="151" w:lineRule="exact"/>
              <w:rPr>
                <w:sz w:val="20"/>
                <w:szCs w:val="20"/>
                <w:color w:val="auto"/>
              </w:rPr>
            </w:pPr>
            <w:r>
              <w:rPr>
                <w:rFonts w:ascii="Arial" w:cs="Arial" w:eastAsia="Arial" w:hAnsi="Arial"/>
                <w:sz w:val="15"/>
                <w:szCs w:val="15"/>
                <w:b w:val="1"/>
                <w:bCs w:val="1"/>
                <w:color w:val="auto"/>
              </w:rPr>
              <w:t>In Loss Position Less than 12</w:t>
            </w:r>
          </w:p>
        </w:tc>
        <w:tc>
          <w:tcPr>
            <w:tcW w:w="2440" w:type="dxa"/>
            <w:vAlign w:val="bottom"/>
            <w:gridSpan w:val="6"/>
          </w:tcPr>
          <w:p>
            <w:pPr>
              <w:ind w:left="40"/>
              <w:spacing w:after="0" w:line="151" w:lineRule="exact"/>
              <w:rPr>
                <w:sz w:val="20"/>
                <w:szCs w:val="20"/>
                <w:color w:val="auto"/>
              </w:rPr>
            </w:pPr>
            <w:r>
              <w:rPr>
                <w:rFonts w:ascii="Arial" w:cs="Arial" w:eastAsia="Arial" w:hAnsi="Arial"/>
                <w:sz w:val="15"/>
                <w:szCs w:val="15"/>
                <w:b w:val="1"/>
                <w:bCs w:val="1"/>
                <w:color w:val="auto"/>
              </w:rPr>
              <w:t>In Loss Position Greater than 12</w:t>
            </w: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gridSpan w:val="3"/>
            <w:vMerge w:val="restart"/>
          </w:tcPr>
          <w:p>
            <w:pPr>
              <w:jc w:val="right"/>
              <w:ind w:right="100"/>
              <w:spacing w:after="0"/>
              <w:rPr>
                <w:sz w:val="20"/>
                <w:szCs w:val="20"/>
                <w:color w:val="auto"/>
              </w:rPr>
            </w:pPr>
            <w:r>
              <w:rPr>
                <w:rFonts w:ascii="Arial" w:cs="Arial" w:eastAsia="Arial" w:hAnsi="Arial"/>
                <w:sz w:val="15"/>
                <w:szCs w:val="15"/>
                <w:b w:val="1"/>
                <w:bCs w:val="1"/>
                <w:color w:val="auto"/>
                <w:w w:val="89"/>
              </w:rPr>
              <w:t>Total</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4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5"/>
                <w:szCs w:val="15"/>
                <w:b w:val="1"/>
                <w:bCs w:val="1"/>
                <w:color w:val="auto"/>
              </w:rPr>
              <w:t>months</w:t>
            </w: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3"/>
            <w:vMerge w:val="restart"/>
          </w:tcPr>
          <w:p>
            <w:pPr>
              <w:jc w:val="right"/>
              <w:spacing w:after="0"/>
              <w:rPr>
                <w:sz w:val="20"/>
                <w:szCs w:val="20"/>
                <w:color w:val="auto"/>
              </w:rPr>
            </w:pPr>
            <w:r>
              <w:rPr>
                <w:rFonts w:ascii="Arial" w:cs="Arial" w:eastAsia="Arial" w:hAnsi="Arial"/>
                <w:sz w:val="15"/>
                <w:szCs w:val="15"/>
                <w:b w:val="1"/>
                <w:bCs w:val="1"/>
                <w:color w:val="auto"/>
              </w:rPr>
              <w:t>months</w:t>
            </w: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0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gridSpan w:val="3"/>
            <w:vMerge w:val="continue"/>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gridSpan w:val="3"/>
            <w:vMerge w:val="continue"/>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4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340"/>
              <w:spacing w:after="0" w:line="125" w:lineRule="exact"/>
              <w:rPr>
                <w:sz w:val="20"/>
                <w:szCs w:val="20"/>
                <w:color w:val="auto"/>
              </w:rPr>
            </w:pPr>
            <w:r>
              <w:rPr>
                <w:rFonts w:ascii="Arial" w:cs="Arial" w:eastAsia="Arial" w:hAnsi="Arial"/>
                <w:sz w:val="14"/>
                <w:szCs w:val="14"/>
                <w:color w:val="auto"/>
                <w:w w:val="90"/>
              </w:rPr>
              <w:t>Fair market</w:t>
            </w:r>
          </w:p>
        </w:tc>
        <w:tc>
          <w:tcPr>
            <w:tcW w:w="160" w:type="dxa"/>
            <w:vAlign w:val="bottom"/>
          </w:tcPr>
          <w:p>
            <w:pPr>
              <w:spacing w:after="0"/>
              <w:rPr>
                <w:sz w:val="10"/>
                <w:szCs w:val="10"/>
                <w:color w:val="auto"/>
              </w:rPr>
            </w:pPr>
          </w:p>
        </w:tc>
        <w:tc>
          <w:tcPr>
            <w:tcW w:w="840" w:type="dxa"/>
            <w:vAlign w:val="bottom"/>
          </w:tcPr>
          <w:p>
            <w:pPr>
              <w:jc w:val="center"/>
              <w:ind w:right="80"/>
              <w:spacing w:after="0" w:line="125" w:lineRule="exact"/>
              <w:rPr>
                <w:sz w:val="20"/>
                <w:szCs w:val="20"/>
                <w:color w:val="auto"/>
              </w:rPr>
            </w:pPr>
            <w:r>
              <w:rPr>
                <w:rFonts w:ascii="Arial" w:cs="Arial" w:eastAsia="Arial" w:hAnsi="Arial"/>
                <w:sz w:val="14"/>
                <w:szCs w:val="14"/>
                <w:color w:val="auto"/>
                <w:w w:val="89"/>
              </w:rPr>
              <w:t>Unrealized</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360"/>
              <w:spacing w:after="0" w:line="125" w:lineRule="exact"/>
              <w:rPr>
                <w:sz w:val="20"/>
                <w:szCs w:val="20"/>
                <w:color w:val="auto"/>
              </w:rPr>
            </w:pPr>
            <w:r>
              <w:rPr>
                <w:rFonts w:ascii="Arial" w:cs="Arial" w:eastAsia="Arial" w:hAnsi="Arial"/>
                <w:sz w:val="14"/>
                <w:szCs w:val="14"/>
                <w:color w:val="auto"/>
                <w:w w:val="90"/>
              </w:rPr>
              <w:t>Fair market</w:t>
            </w:r>
          </w:p>
        </w:tc>
        <w:tc>
          <w:tcPr>
            <w:tcW w:w="160" w:type="dxa"/>
            <w:vAlign w:val="bottom"/>
          </w:tcPr>
          <w:p>
            <w:pPr>
              <w:spacing w:after="0"/>
              <w:rPr>
                <w:sz w:val="10"/>
                <w:szCs w:val="10"/>
                <w:color w:val="auto"/>
              </w:rPr>
            </w:pPr>
          </w:p>
        </w:tc>
        <w:tc>
          <w:tcPr>
            <w:tcW w:w="840" w:type="dxa"/>
            <w:vAlign w:val="bottom"/>
          </w:tcPr>
          <w:p>
            <w:pPr>
              <w:jc w:val="center"/>
              <w:ind w:right="80"/>
              <w:spacing w:after="0" w:line="125" w:lineRule="exact"/>
              <w:rPr>
                <w:sz w:val="20"/>
                <w:szCs w:val="20"/>
                <w:color w:val="auto"/>
              </w:rPr>
            </w:pPr>
            <w:r>
              <w:rPr>
                <w:rFonts w:ascii="Arial" w:cs="Arial" w:eastAsia="Arial" w:hAnsi="Arial"/>
                <w:sz w:val="14"/>
                <w:szCs w:val="14"/>
                <w:color w:val="auto"/>
                <w:w w:val="89"/>
              </w:rPr>
              <w:t>Unrealized</w:t>
            </w:r>
          </w:p>
        </w:tc>
        <w:tc>
          <w:tcPr>
            <w:tcW w:w="220" w:type="dxa"/>
            <w:vAlign w:val="bottom"/>
          </w:tcPr>
          <w:p>
            <w:pPr>
              <w:spacing w:after="0"/>
              <w:rPr>
                <w:sz w:val="10"/>
                <w:szCs w:val="10"/>
                <w:color w:val="auto"/>
              </w:rPr>
            </w:pPr>
          </w:p>
        </w:tc>
        <w:tc>
          <w:tcPr>
            <w:tcW w:w="1380" w:type="dxa"/>
            <w:vAlign w:val="bottom"/>
            <w:gridSpan w:val="5"/>
            <w:vMerge w:val="restart"/>
          </w:tcPr>
          <w:p>
            <w:pPr>
              <w:ind w:left="20"/>
              <w:spacing w:after="0"/>
              <w:rPr>
                <w:sz w:val="20"/>
                <w:szCs w:val="20"/>
                <w:color w:val="auto"/>
              </w:rPr>
            </w:pPr>
            <w:r>
              <w:rPr>
                <w:rFonts w:ascii="Arial" w:cs="Arial" w:eastAsia="Arial" w:hAnsi="Arial"/>
                <w:sz w:val="14"/>
                <w:szCs w:val="14"/>
                <w:color w:val="auto"/>
              </w:rPr>
              <w:t>Fair market value</w:t>
            </w:r>
          </w:p>
        </w:tc>
        <w:tc>
          <w:tcPr>
            <w:tcW w:w="860" w:type="dxa"/>
            <w:vAlign w:val="bottom"/>
          </w:tcPr>
          <w:p>
            <w:pPr>
              <w:jc w:val="right"/>
              <w:ind w:right="120"/>
              <w:spacing w:after="0" w:line="125" w:lineRule="exact"/>
              <w:rPr>
                <w:sz w:val="20"/>
                <w:szCs w:val="20"/>
                <w:color w:val="auto"/>
              </w:rPr>
            </w:pPr>
            <w:r>
              <w:rPr>
                <w:rFonts w:ascii="Arial" w:cs="Arial" w:eastAsia="Arial" w:hAnsi="Arial"/>
                <w:sz w:val="14"/>
                <w:szCs w:val="14"/>
                <w:color w:val="auto"/>
                <w:w w:val="95"/>
              </w:rPr>
              <w:t>Unrealized</w:t>
            </w:r>
          </w:p>
        </w:tc>
        <w:tc>
          <w:tcPr>
            <w:tcW w:w="0" w:type="dxa"/>
            <w:vAlign w:val="bottom"/>
          </w:tcPr>
          <w:p>
            <w:pPr>
              <w:spacing w:after="0"/>
              <w:rPr>
                <w:sz w:val="1"/>
                <w:szCs w:val="1"/>
                <w:color w:val="auto"/>
              </w:rPr>
            </w:pPr>
          </w:p>
        </w:tc>
      </w:tr>
      <w:tr>
        <w:trPr>
          <w:trHeight w:val="178"/>
        </w:trPr>
        <w:tc>
          <w:tcPr>
            <w:tcW w:w="4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color w:val="auto"/>
                <w:w w:val="89"/>
              </w:rPr>
              <w:t>value</w:t>
            </w:r>
          </w:p>
        </w:tc>
        <w:tc>
          <w:tcPr>
            <w:tcW w:w="160" w:type="dxa"/>
            <w:vAlign w:val="bottom"/>
          </w:tcPr>
          <w:p>
            <w:pPr>
              <w:spacing w:after="0"/>
              <w:rPr>
                <w:sz w:val="15"/>
                <w:szCs w:val="15"/>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color w:val="auto"/>
                <w:w w:val="81"/>
              </w:rPr>
              <w:t>Losses</w:t>
            </w:r>
          </w:p>
        </w:tc>
        <w:tc>
          <w:tcPr>
            <w:tcW w:w="140" w:type="dxa"/>
            <w:vAlign w:val="bottom"/>
          </w:tcPr>
          <w:p>
            <w:pPr>
              <w:spacing w:after="0"/>
              <w:rPr>
                <w:sz w:val="15"/>
                <w:szCs w:val="15"/>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color w:val="auto"/>
                <w:w w:val="89"/>
              </w:rPr>
              <w:t>value</w:t>
            </w:r>
          </w:p>
        </w:tc>
        <w:tc>
          <w:tcPr>
            <w:tcW w:w="160" w:type="dxa"/>
            <w:vAlign w:val="bottom"/>
          </w:tcPr>
          <w:p>
            <w:pPr>
              <w:spacing w:after="0"/>
              <w:rPr>
                <w:sz w:val="15"/>
                <w:szCs w:val="15"/>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color w:val="auto"/>
                <w:w w:val="81"/>
              </w:rPr>
              <w:t>Losses</w:t>
            </w:r>
          </w:p>
        </w:tc>
        <w:tc>
          <w:tcPr>
            <w:tcW w:w="1380" w:type="dxa"/>
            <w:vAlign w:val="bottom"/>
            <w:gridSpan w:val="5"/>
            <w:vMerge w:val="continue"/>
          </w:tcPr>
          <w:p>
            <w:pPr>
              <w:spacing w:after="0"/>
              <w:rPr>
                <w:sz w:val="15"/>
                <w:szCs w:val="15"/>
                <w:color w:val="auto"/>
              </w:rPr>
            </w:pPr>
          </w:p>
        </w:tc>
        <w:tc>
          <w:tcPr>
            <w:tcW w:w="860" w:type="dxa"/>
            <w:vAlign w:val="bottom"/>
          </w:tcPr>
          <w:p>
            <w:pPr>
              <w:jc w:val="right"/>
              <w:ind w:right="240"/>
              <w:spacing w:after="0"/>
              <w:rPr>
                <w:sz w:val="20"/>
                <w:szCs w:val="20"/>
                <w:color w:val="auto"/>
              </w:rPr>
            </w:pPr>
            <w:r>
              <w:rPr>
                <w:rFonts w:ascii="Arial" w:cs="Arial" w:eastAsia="Arial" w:hAnsi="Arial"/>
                <w:sz w:val="14"/>
                <w:szCs w:val="14"/>
                <w:color w:val="auto"/>
              </w:rPr>
              <w:t>Losses</w:t>
            </w:r>
          </w:p>
        </w:tc>
        <w:tc>
          <w:tcPr>
            <w:tcW w:w="0" w:type="dxa"/>
            <w:vAlign w:val="bottom"/>
          </w:tcPr>
          <w:p>
            <w:pPr>
              <w:spacing w:after="0"/>
              <w:rPr>
                <w:sz w:val="1"/>
                <w:szCs w:val="1"/>
                <w:color w:val="auto"/>
              </w:rPr>
            </w:pPr>
          </w:p>
        </w:tc>
      </w:tr>
      <w:tr>
        <w:trPr>
          <w:trHeight w:val="202"/>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Fixed income securities:</w:t>
            </w: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80" w:type="dxa"/>
            <w:vAlign w:val="bottom"/>
          </w:tcPr>
          <w:p>
            <w:pPr>
              <w:ind w:left="220"/>
              <w:spacing w:after="0"/>
              <w:rPr>
                <w:sz w:val="20"/>
                <w:szCs w:val="20"/>
                <w:color w:val="auto"/>
              </w:rPr>
            </w:pPr>
            <w:r>
              <w:rPr>
                <w:rFonts w:ascii="Arial" w:cs="Arial" w:eastAsia="Arial" w:hAnsi="Arial"/>
                <w:sz w:val="17"/>
                <w:szCs w:val="17"/>
                <w:color w:val="auto"/>
              </w:rPr>
              <w:t>Foreign debt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4,339</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(423)</w:t>
            </w:r>
          </w:p>
        </w:tc>
        <w:tc>
          <w:tcPr>
            <w:tcW w:w="2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599</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(326)</w:t>
            </w:r>
          </w:p>
        </w:tc>
        <w:tc>
          <w:tcPr>
            <w:tcW w:w="22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4,938</w:t>
            </w:r>
          </w:p>
        </w:tc>
        <w:tc>
          <w:tcPr>
            <w:tcW w:w="44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(749)</w:t>
            </w:r>
          </w:p>
        </w:tc>
        <w:tc>
          <w:tcPr>
            <w:tcW w:w="0" w:type="dxa"/>
            <w:vAlign w:val="bottom"/>
          </w:tcPr>
          <w:p>
            <w:pPr>
              <w:spacing w:after="0"/>
              <w:rPr>
                <w:sz w:val="1"/>
                <w:szCs w:val="1"/>
                <w:color w:val="auto"/>
              </w:rPr>
            </w:pPr>
          </w:p>
        </w:tc>
      </w:tr>
      <w:tr>
        <w:trPr>
          <w:trHeight w:val="220"/>
        </w:trPr>
        <w:tc>
          <w:tcPr>
            <w:tcW w:w="4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Corporate debt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19"/>
        </w:trPr>
        <w:tc>
          <w:tcPr>
            <w:tcW w:w="40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Preferred stock</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3,809</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(370)</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3,848</w:t>
            </w: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(396)</w:t>
            </w:r>
          </w:p>
        </w:tc>
        <w:tc>
          <w:tcPr>
            <w:tcW w:w="0" w:type="dxa"/>
            <w:vAlign w:val="bottom"/>
          </w:tcPr>
          <w:p>
            <w:pPr>
              <w:spacing w:after="0"/>
              <w:rPr>
                <w:sz w:val="1"/>
                <w:szCs w:val="1"/>
                <w:color w:val="auto"/>
              </w:rPr>
            </w:pPr>
          </w:p>
        </w:tc>
      </w:tr>
      <w:tr>
        <w:trPr>
          <w:trHeight w:val="232"/>
        </w:trPr>
        <w:tc>
          <w:tcPr>
            <w:tcW w:w="4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fixed income securities with an unrealized loss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5,078</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4,408</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(696)</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9,486</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(1,162)</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firstLine="387"/>
        <w:spacing w:after="0" w:line="293" w:lineRule="auto"/>
        <w:rPr>
          <w:sz w:val="20"/>
          <w:szCs w:val="20"/>
          <w:color w:val="auto"/>
        </w:rPr>
      </w:pPr>
      <w:r>
        <w:rPr>
          <w:rFonts w:ascii="Arial" w:cs="Arial" w:eastAsia="Arial" w:hAnsi="Arial"/>
          <w:sz w:val="16"/>
          <w:szCs w:val="16"/>
          <w:color w:val="auto"/>
        </w:rPr>
        <w:t>The following table summarized our fixed income securities (excluding mutual funds) within our preneed funeral trust investment in an unrealized loss position at December 31, 2020, aggregated by major security type and length of time in a continuous unrealized loss position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5"/>
          </w:tcPr>
          <w:p>
            <w:pPr>
              <w:ind w:left="360"/>
              <w:spacing w:after="0"/>
              <w:rPr>
                <w:sz w:val="20"/>
                <w:szCs w:val="20"/>
                <w:color w:val="auto"/>
              </w:rPr>
            </w:pPr>
            <w:r>
              <w:rPr>
                <w:rFonts w:ascii="Arial" w:cs="Arial" w:eastAsia="Arial" w:hAnsi="Arial"/>
                <w:sz w:val="15"/>
                <w:szCs w:val="15"/>
                <w:b w:val="1"/>
                <w:bCs w:val="1"/>
                <w:color w:val="auto"/>
              </w:rPr>
              <w:t>December 31, 2020</w:t>
            </w:r>
          </w:p>
        </w:tc>
        <w:tc>
          <w:tcPr>
            <w:tcW w:w="3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4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gridSpan w:val="5"/>
          </w:tcPr>
          <w:p>
            <w:pPr>
              <w:ind w:left="40"/>
              <w:spacing w:after="0" w:line="151" w:lineRule="exact"/>
              <w:rPr>
                <w:sz w:val="20"/>
                <w:szCs w:val="20"/>
                <w:color w:val="auto"/>
              </w:rPr>
            </w:pPr>
            <w:r>
              <w:rPr>
                <w:rFonts w:ascii="Arial" w:cs="Arial" w:eastAsia="Arial" w:hAnsi="Arial"/>
                <w:sz w:val="15"/>
                <w:szCs w:val="15"/>
                <w:b w:val="1"/>
                <w:bCs w:val="1"/>
                <w:color w:val="auto"/>
              </w:rPr>
              <w:t>In Loss Position Less than 12</w:t>
            </w:r>
          </w:p>
        </w:tc>
        <w:tc>
          <w:tcPr>
            <w:tcW w:w="2440" w:type="dxa"/>
            <w:vAlign w:val="bottom"/>
            <w:gridSpan w:val="6"/>
          </w:tcPr>
          <w:p>
            <w:pPr>
              <w:ind w:left="40"/>
              <w:spacing w:after="0" w:line="151" w:lineRule="exact"/>
              <w:rPr>
                <w:sz w:val="20"/>
                <w:szCs w:val="20"/>
                <w:color w:val="auto"/>
              </w:rPr>
            </w:pPr>
            <w:r>
              <w:rPr>
                <w:rFonts w:ascii="Arial" w:cs="Arial" w:eastAsia="Arial" w:hAnsi="Arial"/>
                <w:sz w:val="15"/>
                <w:szCs w:val="15"/>
                <w:b w:val="1"/>
                <w:bCs w:val="1"/>
                <w:color w:val="auto"/>
              </w:rPr>
              <w:t>In Loss Position Greater than 12</w:t>
            </w: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gridSpan w:val="3"/>
            <w:vMerge w:val="restart"/>
          </w:tcPr>
          <w:p>
            <w:pPr>
              <w:jc w:val="right"/>
              <w:ind w:right="100"/>
              <w:spacing w:after="0"/>
              <w:rPr>
                <w:sz w:val="20"/>
                <w:szCs w:val="20"/>
                <w:color w:val="auto"/>
              </w:rPr>
            </w:pPr>
            <w:r>
              <w:rPr>
                <w:rFonts w:ascii="Arial" w:cs="Arial" w:eastAsia="Arial" w:hAnsi="Arial"/>
                <w:sz w:val="15"/>
                <w:szCs w:val="15"/>
                <w:b w:val="1"/>
                <w:bCs w:val="1"/>
                <w:color w:val="auto"/>
                <w:w w:val="89"/>
              </w:rPr>
              <w:t>Total</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4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5"/>
                <w:szCs w:val="15"/>
                <w:b w:val="1"/>
                <w:bCs w:val="1"/>
                <w:color w:val="auto"/>
              </w:rPr>
              <w:t>months</w:t>
            </w: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3"/>
            <w:vMerge w:val="restart"/>
          </w:tcPr>
          <w:p>
            <w:pPr>
              <w:jc w:val="right"/>
              <w:spacing w:after="0"/>
              <w:rPr>
                <w:sz w:val="20"/>
                <w:szCs w:val="20"/>
                <w:color w:val="auto"/>
              </w:rPr>
            </w:pPr>
            <w:r>
              <w:rPr>
                <w:rFonts w:ascii="Arial" w:cs="Arial" w:eastAsia="Arial" w:hAnsi="Arial"/>
                <w:sz w:val="15"/>
                <w:szCs w:val="15"/>
                <w:b w:val="1"/>
                <w:bCs w:val="1"/>
                <w:color w:val="auto"/>
              </w:rPr>
              <w:t>months</w:t>
            </w: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0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gridSpan w:val="3"/>
            <w:vMerge w:val="continue"/>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gridSpan w:val="3"/>
            <w:vMerge w:val="continue"/>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4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340"/>
              <w:spacing w:after="0" w:line="125" w:lineRule="exact"/>
              <w:rPr>
                <w:sz w:val="20"/>
                <w:szCs w:val="20"/>
                <w:color w:val="auto"/>
              </w:rPr>
            </w:pPr>
            <w:r>
              <w:rPr>
                <w:rFonts w:ascii="Arial" w:cs="Arial" w:eastAsia="Arial" w:hAnsi="Arial"/>
                <w:sz w:val="14"/>
                <w:szCs w:val="14"/>
                <w:color w:val="auto"/>
                <w:w w:val="90"/>
              </w:rPr>
              <w:t>Fair market</w:t>
            </w:r>
          </w:p>
        </w:tc>
        <w:tc>
          <w:tcPr>
            <w:tcW w:w="160" w:type="dxa"/>
            <w:vAlign w:val="bottom"/>
          </w:tcPr>
          <w:p>
            <w:pPr>
              <w:spacing w:after="0"/>
              <w:rPr>
                <w:sz w:val="10"/>
                <w:szCs w:val="10"/>
                <w:color w:val="auto"/>
              </w:rPr>
            </w:pPr>
          </w:p>
        </w:tc>
        <w:tc>
          <w:tcPr>
            <w:tcW w:w="840" w:type="dxa"/>
            <w:vAlign w:val="bottom"/>
          </w:tcPr>
          <w:p>
            <w:pPr>
              <w:jc w:val="center"/>
              <w:ind w:right="79"/>
              <w:spacing w:after="0" w:line="125" w:lineRule="exact"/>
              <w:rPr>
                <w:sz w:val="20"/>
                <w:szCs w:val="20"/>
                <w:color w:val="auto"/>
              </w:rPr>
            </w:pPr>
            <w:r>
              <w:rPr>
                <w:rFonts w:ascii="Arial" w:cs="Arial" w:eastAsia="Arial" w:hAnsi="Arial"/>
                <w:sz w:val="14"/>
                <w:szCs w:val="14"/>
                <w:color w:val="auto"/>
                <w:w w:val="89"/>
              </w:rPr>
              <w:t>Unrealized</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360"/>
              <w:spacing w:after="0" w:line="125" w:lineRule="exact"/>
              <w:rPr>
                <w:sz w:val="20"/>
                <w:szCs w:val="20"/>
                <w:color w:val="auto"/>
              </w:rPr>
            </w:pPr>
            <w:r>
              <w:rPr>
                <w:rFonts w:ascii="Arial" w:cs="Arial" w:eastAsia="Arial" w:hAnsi="Arial"/>
                <w:sz w:val="14"/>
                <w:szCs w:val="14"/>
                <w:color w:val="auto"/>
                <w:w w:val="90"/>
              </w:rPr>
              <w:t>Fair market</w:t>
            </w:r>
          </w:p>
        </w:tc>
        <w:tc>
          <w:tcPr>
            <w:tcW w:w="160" w:type="dxa"/>
            <w:vAlign w:val="bottom"/>
          </w:tcPr>
          <w:p>
            <w:pPr>
              <w:spacing w:after="0"/>
              <w:rPr>
                <w:sz w:val="10"/>
                <w:szCs w:val="10"/>
                <w:color w:val="auto"/>
              </w:rPr>
            </w:pPr>
          </w:p>
        </w:tc>
        <w:tc>
          <w:tcPr>
            <w:tcW w:w="840" w:type="dxa"/>
            <w:vAlign w:val="bottom"/>
          </w:tcPr>
          <w:p>
            <w:pPr>
              <w:jc w:val="center"/>
              <w:ind w:right="79"/>
              <w:spacing w:after="0" w:line="125" w:lineRule="exact"/>
              <w:rPr>
                <w:sz w:val="20"/>
                <w:szCs w:val="20"/>
                <w:color w:val="auto"/>
              </w:rPr>
            </w:pPr>
            <w:r>
              <w:rPr>
                <w:rFonts w:ascii="Arial" w:cs="Arial" w:eastAsia="Arial" w:hAnsi="Arial"/>
                <w:sz w:val="14"/>
                <w:szCs w:val="14"/>
                <w:color w:val="auto"/>
                <w:w w:val="89"/>
              </w:rPr>
              <w:t>Unrealized</w:t>
            </w:r>
          </w:p>
        </w:tc>
        <w:tc>
          <w:tcPr>
            <w:tcW w:w="220" w:type="dxa"/>
            <w:vAlign w:val="bottom"/>
          </w:tcPr>
          <w:p>
            <w:pPr>
              <w:spacing w:after="0"/>
              <w:rPr>
                <w:sz w:val="10"/>
                <w:szCs w:val="10"/>
                <w:color w:val="auto"/>
              </w:rPr>
            </w:pPr>
          </w:p>
        </w:tc>
        <w:tc>
          <w:tcPr>
            <w:tcW w:w="1380" w:type="dxa"/>
            <w:vAlign w:val="bottom"/>
            <w:gridSpan w:val="5"/>
            <w:vMerge w:val="restart"/>
          </w:tcPr>
          <w:p>
            <w:pPr>
              <w:ind w:left="20"/>
              <w:spacing w:after="0"/>
              <w:rPr>
                <w:sz w:val="20"/>
                <w:szCs w:val="20"/>
                <w:color w:val="auto"/>
              </w:rPr>
            </w:pPr>
            <w:r>
              <w:rPr>
                <w:rFonts w:ascii="Arial" w:cs="Arial" w:eastAsia="Arial" w:hAnsi="Arial"/>
                <w:sz w:val="14"/>
                <w:szCs w:val="14"/>
                <w:color w:val="auto"/>
              </w:rPr>
              <w:t>Fair market value</w:t>
            </w:r>
          </w:p>
        </w:tc>
        <w:tc>
          <w:tcPr>
            <w:tcW w:w="860" w:type="dxa"/>
            <w:vAlign w:val="bottom"/>
          </w:tcPr>
          <w:p>
            <w:pPr>
              <w:jc w:val="right"/>
              <w:ind w:right="119"/>
              <w:spacing w:after="0" w:line="125" w:lineRule="exact"/>
              <w:rPr>
                <w:sz w:val="20"/>
                <w:szCs w:val="20"/>
                <w:color w:val="auto"/>
              </w:rPr>
            </w:pPr>
            <w:r>
              <w:rPr>
                <w:rFonts w:ascii="Arial" w:cs="Arial" w:eastAsia="Arial" w:hAnsi="Arial"/>
                <w:sz w:val="14"/>
                <w:szCs w:val="14"/>
                <w:color w:val="auto"/>
                <w:w w:val="95"/>
              </w:rPr>
              <w:t>Unrealized</w:t>
            </w:r>
          </w:p>
        </w:tc>
        <w:tc>
          <w:tcPr>
            <w:tcW w:w="0" w:type="dxa"/>
            <w:vAlign w:val="bottom"/>
          </w:tcPr>
          <w:p>
            <w:pPr>
              <w:spacing w:after="0"/>
              <w:rPr>
                <w:sz w:val="1"/>
                <w:szCs w:val="1"/>
                <w:color w:val="auto"/>
              </w:rPr>
            </w:pPr>
          </w:p>
        </w:tc>
      </w:tr>
      <w:tr>
        <w:trPr>
          <w:trHeight w:val="178"/>
        </w:trPr>
        <w:tc>
          <w:tcPr>
            <w:tcW w:w="4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color w:val="auto"/>
                <w:w w:val="89"/>
              </w:rPr>
              <w:t>value</w:t>
            </w:r>
          </w:p>
        </w:tc>
        <w:tc>
          <w:tcPr>
            <w:tcW w:w="160" w:type="dxa"/>
            <w:vAlign w:val="bottom"/>
          </w:tcPr>
          <w:p>
            <w:pPr>
              <w:spacing w:after="0"/>
              <w:rPr>
                <w:sz w:val="15"/>
                <w:szCs w:val="15"/>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color w:val="auto"/>
                <w:w w:val="81"/>
              </w:rPr>
              <w:t>Losses</w:t>
            </w:r>
          </w:p>
        </w:tc>
        <w:tc>
          <w:tcPr>
            <w:tcW w:w="140" w:type="dxa"/>
            <w:vAlign w:val="bottom"/>
          </w:tcPr>
          <w:p>
            <w:pPr>
              <w:spacing w:after="0"/>
              <w:rPr>
                <w:sz w:val="15"/>
                <w:szCs w:val="15"/>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color w:val="auto"/>
                <w:w w:val="89"/>
              </w:rPr>
              <w:t>value</w:t>
            </w:r>
          </w:p>
        </w:tc>
        <w:tc>
          <w:tcPr>
            <w:tcW w:w="160" w:type="dxa"/>
            <w:vAlign w:val="bottom"/>
          </w:tcPr>
          <w:p>
            <w:pPr>
              <w:spacing w:after="0"/>
              <w:rPr>
                <w:sz w:val="15"/>
                <w:szCs w:val="15"/>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color w:val="auto"/>
                <w:w w:val="81"/>
              </w:rPr>
              <w:t>Losses</w:t>
            </w:r>
          </w:p>
        </w:tc>
        <w:tc>
          <w:tcPr>
            <w:tcW w:w="1380" w:type="dxa"/>
            <w:vAlign w:val="bottom"/>
            <w:gridSpan w:val="5"/>
            <w:vMerge w:val="continue"/>
          </w:tcPr>
          <w:p>
            <w:pPr>
              <w:spacing w:after="0"/>
              <w:rPr>
                <w:sz w:val="15"/>
                <w:szCs w:val="15"/>
                <w:color w:val="auto"/>
              </w:rPr>
            </w:pPr>
          </w:p>
        </w:tc>
        <w:tc>
          <w:tcPr>
            <w:tcW w:w="860" w:type="dxa"/>
            <w:vAlign w:val="bottom"/>
          </w:tcPr>
          <w:p>
            <w:pPr>
              <w:jc w:val="right"/>
              <w:ind w:right="239"/>
              <w:spacing w:after="0"/>
              <w:rPr>
                <w:sz w:val="20"/>
                <w:szCs w:val="20"/>
                <w:color w:val="auto"/>
              </w:rPr>
            </w:pPr>
            <w:r>
              <w:rPr>
                <w:rFonts w:ascii="Arial" w:cs="Arial" w:eastAsia="Arial" w:hAnsi="Arial"/>
                <w:sz w:val="14"/>
                <w:szCs w:val="14"/>
                <w:color w:val="auto"/>
              </w:rPr>
              <w:t>Losses</w:t>
            </w:r>
          </w:p>
        </w:tc>
        <w:tc>
          <w:tcPr>
            <w:tcW w:w="0" w:type="dxa"/>
            <w:vAlign w:val="bottom"/>
          </w:tcPr>
          <w:p>
            <w:pPr>
              <w:spacing w:after="0"/>
              <w:rPr>
                <w:sz w:val="1"/>
                <w:szCs w:val="1"/>
                <w:color w:val="auto"/>
              </w:rPr>
            </w:pPr>
          </w:p>
        </w:tc>
      </w:tr>
      <w:tr>
        <w:trPr>
          <w:trHeight w:val="202"/>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Fixed income securities:</w:t>
            </w: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80" w:type="dxa"/>
            <w:vAlign w:val="bottom"/>
          </w:tcPr>
          <w:p>
            <w:pPr>
              <w:ind w:left="220"/>
              <w:spacing w:after="0"/>
              <w:rPr>
                <w:sz w:val="20"/>
                <w:szCs w:val="20"/>
                <w:color w:val="auto"/>
              </w:rPr>
            </w:pPr>
            <w:r>
              <w:rPr>
                <w:rFonts w:ascii="Arial" w:cs="Arial" w:eastAsia="Arial" w:hAnsi="Arial"/>
                <w:sz w:val="17"/>
                <w:szCs w:val="17"/>
                <w:color w:val="auto"/>
              </w:rPr>
              <w:t>Foreign debt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2,225</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(55)</w:t>
            </w:r>
          </w:p>
        </w:tc>
        <w:tc>
          <w:tcPr>
            <w:tcW w:w="2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337</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(579)</w:t>
            </w:r>
          </w:p>
        </w:tc>
        <w:tc>
          <w:tcPr>
            <w:tcW w:w="22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2,562</w:t>
            </w:r>
          </w:p>
        </w:tc>
        <w:tc>
          <w:tcPr>
            <w:tcW w:w="44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(634)</w:t>
            </w:r>
          </w:p>
        </w:tc>
        <w:tc>
          <w:tcPr>
            <w:tcW w:w="0" w:type="dxa"/>
            <w:vAlign w:val="bottom"/>
          </w:tcPr>
          <w:p>
            <w:pPr>
              <w:spacing w:after="0"/>
              <w:rPr>
                <w:sz w:val="1"/>
                <w:szCs w:val="1"/>
                <w:color w:val="auto"/>
              </w:rPr>
            </w:pPr>
          </w:p>
        </w:tc>
      </w:tr>
      <w:tr>
        <w:trPr>
          <w:trHeight w:val="220"/>
        </w:trPr>
        <w:tc>
          <w:tcPr>
            <w:tcW w:w="4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Corporate debt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763</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1,291</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w:t>
            </w:r>
          </w:p>
        </w:tc>
        <w:tc>
          <w:tcPr>
            <w:tcW w:w="0" w:type="dxa"/>
            <w:vAlign w:val="bottom"/>
          </w:tcPr>
          <w:p>
            <w:pPr>
              <w:spacing w:after="0"/>
              <w:rPr>
                <w:sz w:val="1"/>
                <w:szCs w:val="1"/>
                <w:color w:val="auto"/>
              </w:rPr>
            </w:pPr>
          </w:p>
        </w:tc>
      </w:tr>
      <w:tr>
        <w:trPr>
          <w:trHeight w:val="219"/>
        </w:trPr>
        <w:tc>
          <w:tcPr>
            <w:tcW w:w="4080" w:type="dxa"/>
            <w:vAlign w:val="bottom"/>
          </w:tcPr>
          <w:p>
            <w:pPr>
              <w:ind w:left="220"/>
              <w:spacing w:after="0"/>
              <w:rPr>
                <w:sz w:val="20"/>
                <w:szCs w:val="20"/>
                <w:color w:val="auto"/>
              </w:rPr>
            </w:pPr>
            <w:r>
              <w:rPr>
                <w:rFonts w:ascii="Arial" w:cs="Arial" w:eastAsia="Arial" w:hAnsi="Arial"/>
                <w:sz w:val="17"/>
                <w:szCs w:val="17"/>
                <w:color w:val="auto"/>
              </w:rPr>
              <w:t>Preferred stock</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506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3,942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(211)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4,448</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(298)</w:t>
            </w:r>
          </w:p>
        </w:tc>
        <w:tc>
          <w:tcPr>
            <w:tcW w:w="0" w:type="dxa"/>
            <w:vAlign w:val="bottom"/>
          </w:tcPr>
          <w:p>
            <w:pPr>
              <w:spacing w:after="0"/>
              <w:rPr>
                <w:sz w:val="1"/>
                <w:szCs w:val="1"/>
                <w:color w:val="auto"/>
              </w:rPr>
            </w:pPr>
          </w:p>
        </w:tc>
      </w:tr>
      <w:tr>
        <w:trPr>
          <w:trHeight w:val="220"/>
        </w:trPr>
        <w:tc>
          <w:tcPr>
            <w:tcW w:w="4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Mortgage-backed securities</w:t>
            </w: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6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0" w:type="dxa"/>
            <w:vAlign w:val="bottom"/>
          </w:tcPr>
          <w:p>
            <w:pPr>
              <w:spacing w:after="0"/>
              <w:rPr>
                <w:sz w:val="1"/>
                <w:szCs w:val="1"/>
                <w:color w:val="auto"/>
              </w:rPr>
            </w:pPr>
          </w:p>
        </w:tc>
      </w:tr>
      <w:tr>
        <w:trPr>
          <w:trHeight w:val="212"/>
        </w:trPr>
        <w:tc>
          <w:tcPr>
            <w:tcW w:w="4080" w:type="dxa"/>
            <w:vAlign w:val="bottom"/>
          </w:tcPr>
          <w:p>
            <w:pPr>
              <w:ind w:left="20"/>
              <w:spacing w:after="0"/>
              <w:rPr>
                <w:sz w:val="20"/>
                <w:szCs w:val="20"/>
                <w:color w:val="auto"/>
              </w:rPr>
            </w:pPr>
            <w:r>
              <w:rPr>
                <w:rFonts w:ascii="Arial" w:cs="Arial" w:eastAsia="Arial" w:hAnsi="Arial"/>
                <w:sz w:val="17"/>
                <w:szCs w:val="17"/>
                <w:color w:val="auto"/>
              </w:rPr>
              <w:t>Total fixed income securities with an unrealized loss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3,494</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(238)</w:t>
            </w:r>
          </w:p>
        </w:tc>
        <w:tc>
          <w:tcPr>
            <w:tcW w:w="22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4,918</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(1,159)</w:t>
            </w:r>
          </w:p>
        </w:tc>
        <w:tc>
          <w:tcPr>
            <w:tcW w:w="22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8,412</w:t>
            </w:r>
          </w:p>
        </w:tc>
        <w:tc>
          <w:tcPr>
            <w:tcW w:w="44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(1,397)</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xml:space="preserve">Preneed funeral trust investment security transactions recorded in </w:t>
      </w:r>
      <w:r>
        <w:rPr>
          <w:rFonts w:ascii="Arial" w:cs="Arial" w:eastAsia="Arial" w:hAnsi="Arial"/>
          <w:sz w:val="16"/>
          <w:szCs w:val="16"/>
          <w:i w:val="1"/>
          <w:iCs w:val="1"/>
          <w:color w:val="auto"/>
        </w:rPr>
        <w:t>Other, net</w:t>
      </w:r>
      <w:r>
        <w:rPr>
          <w:rFonts w:ascii="Arial" w:cs="Arial" w:eastAsia="Arial" w:hAnsi="Arial"/>
          <w:sz w:val="16"/>
          <w:szCs w:val="16"/>
          <w:color w:val="auto"/>
        </w:rPr>
        <w:t xml:space="preserve"> on the Consolidated Statements of Operations are as follows (in thousands):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40" w:type="dxa"/>
            <w:vAlign w:val="bottom"/>
            <w:gridSpan w:val="5"/>
          </w:tcPr>
          <w:p>
            <w:pPr>
              <w:spacing w:after="0"/>
              <w:rPr>
                <w:sz w:val="20"/>
                <w:szCs w:val="20"/>
                <w:color w:val="auto"/>
              </w:rPr>
            </w:pPr>
            <w:r>
              <w:rPr>
                <w:rFonts w:ascii="Arial" w:cs="Arial" w:eastAsia="Arial" w:hAnsi="Arial"/>
                <w:sz w:val="15"/>
                <w:szCs w:val="15"/>
                <w:b w:val="1"/>
                <w:bCs w:val="1"/>
                <w:color w:val="auto"/>
              </w:rPr>
              <w:t>Three months ended September 30,</w:t>
            </w:r>
          </w:p>
        </w:tc>
        <w:tc>
          <w:tcPr>
            <w:tcW w:w="160" w:type="dxa"/>
            <w:vAlign w:val="bottom"/>
          </w:tcPr>
          <w:p>
            <w:pPr>
              <w:spacing w:after="0"/>
              <w:rPr>
                <w:sz w:val="17"/>
                <w:szCs w:val="17"/>
                <w:color w:val="auto"/>
              </w:rPr>
            </w:pPr>
          </w:p>
        </w:tc>
        <w:tc>
          <w:tcPr>
            <w:tcW w:w="2540" w:type="dxa"/>
            <w:vAlign w:val="bottom"/>
            <w:gridSpan w:val="4"/>
          </w:tcPr>
          <w:p>
            <w:pPr>
              <w:jc w:val="right"/>
              <w:ind w:right="136"/>
              <w:spacing w:after="0"/>
              <w:rPr>
                <w:sz w:val="20"/>
                <w:szCs w:val="20"/>
                <w:color w:val="auto"/>
              </w:rPr>
            </w:pPr>
            <w:r>
              <w:rPr>
                <w:rFonts w:ascii="Arial" w:cs="Arial" w:eastAsia="Arial" w:hAnsi="Arial"/>
                <w:sz w:val="15"/>
                <w:szCs w:val="15"/>
                <w:b w:val="1"/>
                <w:bCs w:val="1"/>
                <w:color w:val="auto"/>
                <w:w w:val="93"/>
              </w:rPr>
              <w:t>Nine months ended September 30,</w:t>
            </w:r>
          </w:p>
        </w:tc>
      </w:tr>
      <w:tr>
        <w:trPr>
          <w:trHeight w:val="200"/>
        </w:trPr>
        <w:tc>
          <w:tcPr>
            <w:tcW w:w="480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160" w:type="dxa"/>
            <w:vAlign w:val="bottom"/>
            <w:tcBorders>
              <w:top w:val="single" w:sz="8" w:color="auto"/>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1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16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r>
      <w:tr>
        <w:trPr>
          <w:trHeight w:val="215"/>
        </w:trPr>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 income</w:t>
            </w:r>
          </w:p>
        </w:tc>
        <w:tc>
          <w:tcPr>
            <w:tcW w:w="1000" w:type="dxa"/>
            <w:vAlign w:val="bottom"/>
            <w:gridSpan w:val="2"/>
            <w:shd w:val="clear" w:color="auto" w:fill="CCEEFF"/>
          </w:tcPr>
          <w:p>
            <w:pPr>
              <w:jc w:val="center"/>
              <w:ind w:left="59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1,235</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1,261</w:t>
            </w:r>
          </w:p>
        </w:tc>
      </w:tr>
      <w:tr>
        <w:trPr>
          <w:trHeight w:val="219"/>
        </w:trPr>
        <w:tc>
          <w:tcPr>
            <w:tcW w:w="4800" w:type="dxa"/>
            <w:vAlign w:val="bottom"/>
          </w:tcPr>
          <w:p>
            <w:pPr>
              <w:ind w:left="20"/>
              <w:spacing w:after="0"/>
              <w:rPr>
                <w:sz w:val="20"/>
                <w:szCs w:val="20"/>
                <w:color w:val="auto"/>
              </w:rPr>
            </w:pPr>
            <w:r>
              <w:rPr>
                <w:rFonts w:ascii="Arial" w:cs="Arial" w:eastAsia="Arial" w:hAnsi="Arial"/>
                <w:sz w:val="17"/>
                <w:szCs w:val="17"/>
                <w:color w:val="auto"/>
              </w:rPr>
              <w:t>Realized gains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2,821</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2,072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6,978</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15,331</w:t>
            </w:r>
          </w:p>
        </w:tc>
      </w:tr>
      <w:tr>
        <w:trPr>
          <w:trHeight w:val="220"/>
        </w:trPr>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losses</w:t>
            </w: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(911)</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(4,093)</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(6,097)</w:t>
            </w:r>
          </w:p>
        </w:tc>
      </w:tr>
      <w:tr>
        <w:trPr>
          <w:trHeight w:val="219"/>
        </w:trPr>
        <w:tc>
          <w:tcPr>
            <w:tcW w:w="4800" w:type="dxa"/>
            <w:vAlign w:val="bottom"/>
          </w:tcPr>
          <w:p>
            <w:pPr>
              <w:ind w:left="20"/>
              <w:spacing w:after="0"/>
              <w:rPr>
                <w:sz w:val="20"/>
                <w:szCs w:val="20"/>
                <w:color w:val="auto"/>
              </w:rPr>
            </w:pPr>
            <w:r>
              <w:rPr>
                <w:rFonts w:ascii="Arial" w:cs="Arial" w:eastAsia="Arial" w:hAnsi="Arial"/>
                <w:sz w:val="17"/>
                <w:szCs w:val="17"/>
                <w:color w:val="auto"/>
              </w:rPr>
              <w:t>Unrealized gains (losses), net</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1,197</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(3,728)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(2,188)</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4,478</w:t>
            </w:r>
          </w:p>
        </w:tc>
      </w:tr>
      <w:tr>
        <w:trPr>
          <w:trHeight w:val="220"/>
        </w:trPr>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Expenses and taxes</w:t>
            </w: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(646)</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(1,041)</w:t>
            </w:r>
          </w:p>
        </w:tc>
      </w:tr>
      <w:tr>
        <w:trPr>
          <w:trHeight w:val="219"/>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change in deferred preneed funeral receipts held in trust</w:t>
            </w:r>
          </w:p>
        </w:tc>
        <w:tc>
          <w:tcPr>
            <w:tcW w:w="7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(3,184)</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1,909</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(1,286)</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(13,932)</w:t>
            </w:r>
          </w:p>
        </w:tc>
      </w:tr>
      <w:tr>
        <w:trPr>
          <w:trHeight w:val="232"/>
        </w:trPr>
        <w:tc>
          <w:tcPr>
            <w:tcW w:w="48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center"/>
              <w:ind w:left="594"/>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
        </w:trPr>
        <w:tc>
          <w:tcPr>
            <w:tcW w:w="5580" w:type="dxa"/>
            <w:vAlign w:val="bottom"/>
            <w:tcBorders>
              <w:top w:val="single" w:sz="8" w:color="CCEEFF"/>
            </w:tcBorders>
            <w:gridSpan w:val="2"/>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71"/>
        </w:trPr>
        <w:tc>
          <w:tcPr>
            <w:tcW w:w="7060" w:type="dxa"/>
            <w:vAlign w:val="bottom"/>
            <w:gridSpan w:val="5"/>
          </w:tcPr>
          <w:p>
            <w:pPr>
              <w:ind w:left="400"/>
              <w:spacing w:after="0"/>
              <w:rPr>
                <w:sz w:val="20"/>
                <w:szCs w:val="20"/>
                <w:color w:val="auto"/>
              </w:rPr>
            </w:pPr>
            <w:r>
              <w:rPr>
                <w:rFonts w:ascii="Arial" w:cs="Arial" w:eastAsia="Arial" w:hAnsi="Arial"/>
                <w:sz w:val="17"/>
                <w:szCs w:val="17"/>
                <w:color w:val="auto"/>
                <w:w w:val="92"/>
              </w:rPr>
              <w:t>Purchases and sales of investments in the preneed funeral trusts are as follows (in thousands):</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1"/>
        </w:trPr>
        <w:tc>
          <w:tcPr>
            <w:tcW w:w="4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40" w:type="dxa"/>
            <w:vAlign w:val="bottom"/>
            <w:gridSpan w:val="5"/>
          </w:tcPr>
          <w:p>
            <w:pPr>
              <w:spacing w:after="0"/>
              <w:rPr>
                <w:sz w:val="20"/>
                <w:szCs w:val="20"/>
                <w:color w:val="auto"/>
              </w:rPr>
            </w:pPr>
            <w:r>
              <w:rPr>
                <w:rFonts w:ascii="Arial" w:cs="Arial" w:eastAsia="Arial" w:hAnsi="Arial"/>
                <w:sz w:val="15"/>
                <w:szCs w:val="15"/>
                <w:b w:val="1"/>
                <w:bCs w:val="1"/>
                <w:color w:val="auto"/>
              </w:rPr>
              <w:t>Three months ended September 30,</w:t>
            </w:r>
          </w:p>
        </w:tc>
        <w:tc>
          <w:tcPr>
            <w:tcW w:w="160" w:type="dxa"/>
            <w:vAlign w:val="bottom"/>
          </w:tcPr>
          <w:p>
            <w:pPr>
              <w:spacing w:after="0"/>
              <w:rPr>
                <w:sz w:val="20"/>
                <w:szCs w:val="20"/>
                <w:color w:val="auto"/>
              </w:rPr>
            </w:pPr>
          </w:p>
        </w:tc>
        <w:tc>
          <w:tcPr>
            <w:tcW w:w="2540" w:type="dxa"/>
            <w:vAlign w:val="bottom"/>
            <w:gridSpan w:val="4"/>
          </w:tcPr>
          <w:p>
            <w:pPr>
              <w:jc w:val="right"/>
              <w:ind w:right="136"/>
              <w:spacing w:after="0"/>
              <w:rPr>
                <w:sz w:val="20"/>
                <w:szCs w:val="20"/>
                <w:color w:val="auto"/>
              </w:rPr>
            </w:pPr>
            <w:r>
              <w:rPr>
                <w:rFonts w:ascii="Arial" w:cs="Arial" w:eastAsia="Arial" w:hAnsi="Arial"/>
                <w:sz w:val="15"/>
                <w:szCs w:val="15"/>
                <w:b w:val="1"/>
                <w:bCs w:val="1"/>
                <w:color w:val="auto"/>
                <w:w w:val="93"/>
              </w:rPr>
              <w:t>Nine months ended September 30,</w:t>
            </w:r>
          </w:p>
        </w:tc>
      </w:tr>
      <w:tr>
        <w:trPr>
          <w:trHeight w:val="200"/>
        </w:trPr>
        <w:tc>
          <w:tcPr>
            <w:tcW w:w="480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160" w:type="dxa"/>
            <w:vAlign w:val="bottom"/>
            <w:tcBorders>
              <w:top w:val="single" w:sz="8" w:color="auto"/>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1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16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r>
      <w:tr>
        <w:trPr>
          <w:trHeight w:val="215"/>
        </w:trPr>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Purchases</w:t>
            </w:r>
          </w:p>
        </w:tc>
        <w:tc>
          <w:tcPr>
            <w:tcW w:w="1000" w:type="dxa"/>
            <w:vAlign w:val="bottom"/>
            <w:gridSpan w:val="2"/>
            <w:shd w:val="clear" w:color="auto" w:fill="CCEEFF"/>
          </w:tcPr>
          <w:p>
            <w:pPr>
              <w:jc w:val="center"/>
              <w:ind w:left="59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(9,869)</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(6,729)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(41,560)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(32,219)</w:t>
            </w:r>
          </w:p>
        </w:tc>
      </w:tr>
      <w:tr>
        <w:trPr>
          <w:trHeight w:val="218"/>
        </w:trPr>
        <w:tc>
          <w:tcPr>
            <w:tcW w:w="4800" w:type="dxa"/>
            <w:vAlign w:val="bottom"/>
          </w:tcPr>
          <w:p>
            <w:pPr>
              <w:ind w:left="20"/>
              <w:spacing w:after="0"/>
              <w:rPr>
                <w:sz w:val="20"/>
                <w:szCs w:val="20"/>
                <w:color w:val="auto"/>
              </w:rPr>
            </w:pPr>
            <w:r>
              <w:rPr>
                <w:rFonts w:ascii="Arial" w:cs="Arial" w:eastAsia="Arial" w:hAnsi="Arial"/>
                <w:sz w:val="17"/>
                <w:szCs w:val="17"/>
                <w:color w:val="auto"/>
              </w:rPr>
              <w:t>Sales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8,975</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6,864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36,831</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32,153</w:t>
            </w:r>
          </w:p>
        </w:tc>
      </w:tr>
      <w:tr>
        <w:trPr>
          <w:trHeight w:val="826"/>
        </w:trPr>
        <w:tc>
          <w:tcPr>
            <w:tcW w:w="4800" w:type="dxa"/>
            <w:vAlign w:val="bottom"/>
          </w:tcPr>
          <w:p>
            <w:pPr>
              <w:spacing w:after="0"/>
              <w:rPr>
                <w:sz w:val="24"/>
                <w:szCs w:val="24"/>
                <w:color w:val="auto"/>
              </w:rPr>
            </w:pPr>
          </w:p>
        </w:tc>
        <w:tc>
          <w:tcPr>
            <w:tcW w:w="1000" w:type="dxa"/>
            <w:vAlign w:val="bottom"/>
            <w:gridSpan w:val="2"/>
          </w:tcPr>
          <w:p>
            <w:pPr>
              <w:jc w:val="center"/>
              <w:ind w:left="554"/>
              <w:spacing w:after="0"/>
              <w:rPr>
                <w:sz w:val="20"/>
                <w:szCs w:val="20"/>
                <w:color w:val="auto"/>
              </w:rPr>
            </w:pPr>
            <w:r>
              <w:rPr>
                <w:rFonts w:ascii="Arial" w:cs="Arial" w:eastAsia="Arial" w:hAnsi="Arial"/>
                <w:sz w:val="17"/>
                <w:szCs w:val="17"/>
                <w:color w:val="auto"/>
                <w:w w:val="90"/>
              </w:rPr>
              <w:t>- 22 -</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11"/>
        </w:trPr>
        <w:tc>
          <w:tcPr>
            <w:tcW w:w="48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i w:val="1"/>
          <w:iCs w:val="1"/>
          <w:color w:val="auto"/>
        </w:rPr>
        <w:t>Cemetery Perpetual Care Trust Investments</w:t>
      </w:r>
    </w:p>
    <w:p>
      <w:pPr>
        <w:spacing w:after="0" w:line="114" w:lineRule="exact"/>
        <w:rPr>
          <w:sz w:val="20"/>
          <w:szCs w:val="20"/>
          <w:color w:val="auto"/>
        </w:rPr>
      </w:pPr>
    </w:p>
    <w:p>
      <w:pPr>
        <w:ind w:firstLine="387"/>
        <w:spacing w:after="0" w:line="276" w:lineRule="auto"/>
        <w:rPr>
          <w:sz w:val="20"/>
          <w:szCs w:val="20"/>
          <w:color w:val="auto"/>
        </w:rPr>
      </w:pPr>
      <w:r>
        <w:rPr>
          <w:rFonts w:ascii="Arial" w:cs="Arial" w:eastAsia="Arial" w:hAnsi="Arial"/>
          <w:sz w:val="17"/>
          <w:szCs w:val="17"/>
          <w:color w:val="auto"/>
        </w:rPr>
        <w:t xml:space="preserve">Care trusts’ corpus on our Consolidated Balance Sheet represent the corpus of those trusts plus undistributed income. The components of </w:t>
      </w:r>
      <w:r>
        <w:rPr>
          <w:rFonts w:ascii="Arial" w:cs="Arial" w:eastAsia="Arial" w:hAnsi="Arial"/>
          <w:sz w:val="17"/>
          <w:szCs w:val="17"/>
          <w:i w:val="1"/>
          <w:iCs w:val="1"/>
          <w:color w:val="auto"/>
        </w:rPr>
        <w:t>Care trusts’ corpus</w:t>
      </w:r>
      <w:r>
        <w:rPr>
          <w:rFonts w:ascii="Arial" w:cs="Arial" w:eastAsia="Arial" w:hAnsi="Arial"/>
          <w:sz w:val="17"/>
          <w:szCs w:val="17"/>
          <w:color w:val="auto"/>
        </w:rPr>
        <w:t xml:space="preserve">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2"/>
          </w:tcPr>
          <w:p>
            <w:pPr>
              <w:ind w:left="240"/>
              <w:spacing w:after="0"/>
              <w:rPr>
                <w:sz w:val="20"/>
                <w:szCs w:val="20"/>
                <w:color w:val="auto"/>
              </w:rPr>
            </w:pPr>
            <w:r>
              <w:rPr>
                <w:rFonts w:ascii="Arial" w:cs="Arial" w:eastAsia="Arial" w:hAnsi="Arial"/>
                <w:sz w:val="15"/>
                <w:szCs w:val="15"/>
                <w:b w:val="1"/>
                <w:bCs w:val="1"/>
                <w:color w:val="auto"/>
              </w:rPr>
              <w:t>December 31, 2020</w:t>
            </w:r>
          </w:p>
        </w:tc>
        <w:tc>
          <w:tcPr>
            <w:tcW w:w="3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b w:val="1"/>
                <w:bCs w:val="1"/>
                <w:color w:val="auto"/>
              </w:rPr>
              <w:t>September 30, 2021</w:t>
            </w:r>
          </w:p>
        </w:tc>
      </w:tr>
      <w:tr>
        <w:trPr>
          <w:trHeight w:val="215"/>
        </w:trPr>
        <w:tc>
          <w:tcPr>
            <w:tcW w:w="7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Cemetery perpetual care trust investments, at market value</w:t>
            </w: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52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7"/>
                <w:szCs w:val="17"/>
                <w:color w:val="auto"/>
                <w:w w:val="99"/>
              </w:rPr>
              <w:t>70,828</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71,640</w:t>
            </w:r>
          </w:p>
        </w:tc>
      </w:tr>
      <w:tr>
        <w:trPr>
          <w:trHeight w:val="219"/>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Obligations due from trust</w:t>
            </w: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ind w:left="980"/>
              <w:spacing w:after="0"/>
              <w:rPr>
                <w:sz w:val="20"/>
                <w:szCs w:val="20"/>
                <w:color w:val="auto"/>
              </w:rPr>
            </w:pPr>
            <w:r>
              <w:rPr>
                <w:rFonts w:ascii="Arial" w:cs="Arial" w:eastAsia="Arial" w:hAnsi="Arial"/>
                <w:sz w:val="17"/>
                <w:szCs w:val="17"/>
                <w:color w:val="auto"/>
                <w:w w:val="96"/>
              </w:rPr>
              <w:t>(1,121)</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(680)</w:t>
            </w:r>
          </w:p>
        </w:tc>
      </w:tr>
      <w:tr>
        <w:trPr>
          <w:trHeight w:val="237"/>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Care trusts’ corpus</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7"/>
                <w:szCs w:val="17"/>
                <w:color w:val="auto"/>
                <w:w w:val="99"/>
              </w:rPr>
              <w:t>69,707</w:t>
            </w: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70,960</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firstLine="387"/>
        <w:spacing w:after="0" w:line="271" w:lineRule="auto"/>
        <w:rPr>
          <w:sz w:val="20"/>
          <w:szCs w:val="20"/>
          <w:color w:val="auto"/>
        </w:rPr>
      </w:pPr>
      <w:r>
        <w:rPr>
          <w:rFonts w:ascii="Arial" w:cs="Arial" w:eastAsia="Arial" w:hAnsi="Arial"/>
          <w:sz w:val="17"/>
          <w:szCs w:val="17"/>
          <w:color w:val="auto"/>
        </w:rPr>
        <w:t>The following table reflects the cost and fair market values associated with the trust investments held in perpetual care trust funds at September 30, 2021 (in thousands):</w:t>
      </w:r>
    </w:p>
    <w:tbl>
      <w:tblPr>
        <w:tblLayout w:type="fixed"/>
        <w:tblInd w:w="0" w:type="dxa"/>
        <w:tblCellMar>
          <w:top w:w="0" w:type="dxa"/>
          <w:left w:w="0" w:type="dxa"/>
          <w:bottom w:w="0" w:type="dxa"/>
          <w:right w:w="0" w:type="dxa"/>
        </w:tblCellMar>
      </w:tblPr>
      <w:tr>
        <w:trPr>
          <w:trHeight w:val="139"/>
        </w:trPr>
        <w:tc>
          <w:tcPr>
            <w:tcW w:w="4260" w:type="dxa"/>
            <w:vAlign w:val="bottom"/>
          </w:tcPr>
          <w:p>
            <w:pPr>
              <w:spacing w:after="0"/>
              <w:rPr>
                <w:sz w:val="12"/>
                <w:szCs w:val="12"/>
                <w:color w:val="auto"/>
              </w:rPr>
            </w:pPr>
          </w:p>
        </w:tc>
        <w:tc>
          <w:tcPr>
            <w:tcW w:w="1140" w:type="dxa"/>
            <w:vAlign w:val="bottom"/>
          </w:tcPr>
          <w:p>
            <w:pPr>
              <w:jc w:val="center"/>
              <w:ind w:left="38"/>
              <w:spacing w:after="0" w:line="139" w:lineRule="exact"/>
              <w:rPr>
                <w:sz w:val="20"/>
                <w:szCs w:val="20"/>
                <w:color w:val="auto"/>
              </w:rPr>
            </w:pPr>
            <w:r>
              <w:rPr>
                <w:rFonts w:ascii="Arial" w:cs="Arial" w:eastAsia="Arial" w:hAnsi="Arial"/>
                <w:sz w:val="14"/>
                <w:szCs w:val="14"/>
                <w:b w:val="1"/>
                <w:bCs w:val="1"/>
                <w:color w:val="auto"/>
                <w:w w:val="92"/>
              </w:rPr>
              <w:t>Fair Value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ind w:left="100"/>
              <w:spacing w:after="0" w:line="139" w:lineRule="exact"/>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2"/>
                <w:szCs w:val="12"/>
                <w:color w:val="auto"/>
              </w:rPr>
            </w:pPr>
          </w:p>
        </w:tc>
        <w:tc>
          <w:tcPr>
            <w:tcW w:w="1060" w:type="dxa"/>
            <w:vAlign w:val="bottom"/>
          </w:tcPr>
          <w:p>
            <w:pPr>
              <w:jc w:val="right"/>
              <w:ind w:right="237"/>
              <w:spacing w:after="0" w:line="139"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Fair Market</w:t>
            </w:r>
          </w:p>
        </w:tc>
        <w:tc>
          <w:tcPr>
            <w:tcW w:w="0" w:type="dxa"/>
            <w:vAlign w:val="bottom"/>
          </w:tcPr>
          <w:p>
            <w:pPr>
              <w:spacing w:after="0"/>
              <w:rPr>
                <w:sz w:val="1"/>
                <w:szCs w:val="1"/>
                <w:color w:val="auto"/>
              </w:rPr>
            </w:pPr>
          </w:p>
        </w:tc>
      </w:tr>
      <w:tr>
        <w:trPr>
          <w:trHeight w:val="180"/>
        </w:trPr>
        <w:tc>
          <w:tcPr>
            <w:tcW w:w="426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w w:val="90"/>
              </w:rPr>
              <w:t>Hierarchy Level</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Gains</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Losses</w:t>
            </w: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Value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money market accounts</w:t>
            </w:r>
          </w:p>
        </w:tc>
        <w:tc>
          <w:tcPr>
            <w:tcW w:w="1140" w:type="dxa"/>
            <w:vAlign w:val="bottom"/>
            <w:shd w:val="clear" w:color="auto" w:fill="CCEEFF"/>
          </w:tcPr>
          <w:p>
            <w:pPr>
              <w:jc w:val="center"/>
              <w:ind w:left="38"/>
              <w:spacing w:after="0"/>
              <w:rPr>
                <w:sz w:val="20"/>
                <w:szCs w:val="20"/>
                <w:color w:val="auto"/>
              </w:rPr>
            </w:pPr>
            <w:r>
              <w:rPr>
                <w:rFonts w:ascii="Arial" w:cs="Arial" w:eastAsia="Arial" w:hAnsi="Arial"/>
                <w:sz w:val="17"/>
                <w:szCs w:val="17"/>
                <w:color w:val="auto"/>
              </w:rPr>
              <w:t>1</w:t>
            </w:r>
          </w:p>
        </w:tc>
        <w:tc>
          <w:tcPr>
            <w:tcW w:w="600" w:type="dxa"/>
            <w:vAlign w:val="bottom"/>
            <w:gridSpan w:val="3"/>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662</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60" w:type="dxa"/>
            <w:vAlign w:val="bottom"/>
          </w:tcPr>
          <w:p>
            <w:pPr>
              <w:ind w:left="20"/>
              <w:spacing w:after="0"/>
              <w:rPr>
                <w:sz w:val="20"/>
                <w:szCs w:val="20"/>
                <w:color w:val="auto"/>
              </w:rPr>
            </w:pPr>
            <w:r>
              <w:rPr>
                <w:rFonts w:ascii="Arial" w:cs="Arial" w:eastAsia="Arial" w:hAnsi="Arial"/>
                <w:sz w:val="17"/>
                <w:szCs w:val="17"/>
                <w:color w:val="auto"/>
              </w:rPr>
              <w:t>Fixed income securities: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Foreign debt</w:t>
            </w:r>
          </w:p>
        </w:tc>
        <w:tc>
          <w:tcPr>
            <w:tcW w:w="1140" w:type="dxa"/>
            <w:vAlign w:val="bottom"/>
            <w:shd w:val="clear" w:color="auto" w:fill="CCEEFF"/>
          </w:tcPr>
          <w:p>
            <w:pPr>
              <w:jc w:val="center"/>
              <w:ind w:left="38"/>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12,228</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1,679</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60" w:type="dxa"/>
            <w:vAlign w:val="bottom"/>
          </w:tcPr>
          <w:p>
            <w:pPr>
              <w:ind w:left="220"/>
              <w:spacing w:after="0"/>
              <w:rPr>
                <w:sz w:val="20"/>
                <w:szCs w:val="20"/>
                <w:color w:val="auto"/>
              </w:rPr>
            </w:pPr>
            <w:r>
              <w:rPr>
                <w:rFonts w:ascii="Arial" w:cs="Arial" w:eastAsia="Arial" w:hAnsi="Arial"/>
                <w:sz w:val="17"/>
                <w:szCs w:val="17"/>
                <w:color w:val="auto"/>
              </w:rPr>
              <w:t>Corporate debt</w:t>
            </w:r>
          </w:p>
        </w:tc>
        <w:tc>
          <w:tcPr>
            <w:tcW w:w="1140" w:type="dxa"/>
            <w:vAlign w:val="bottom"/>
          </w:tcPr>
          <w:p>
            <w:pPr>
              <w:jc w:val="center"/>
              <w:ind w:left="38"/>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8,723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1,167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9,878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Preferred stock</w:t>
            </w:r>
          </w:p>
        </w:tc>
        <w:tc>
          <w:tcPr>
            <w:tcW w:w="1140" w:type="dxa"/>
            <w:vAlign w:val="bottom"/>
            <w:shd w:val="clear" w:color="auto" w:fill="CCEEFF"/>
          </w:tcPr>
          <w:p>
            <w:pPr>
              <w:jc w:val="center"/>
              <w:ind w:left="38"/>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9,841</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909</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60" w:type="dxa"/>
            <w:vAlign w:val="bottom"/>
          </w:tcPr>
          <w:p>
            <w:pPr>
              <w:ind w:left="20"/>
              <w:spacing w:after="0"/>
              <w:rPr>
                <w:sz w:val="20"/>
                <w:szCs w:val="20"/>
                <w:color w:val="auto"/>
              </w:rPr>
            </w:pPr>
            <w:r>
              <w:rPr>
                <w:rFonts w:ascii="Arial" w:cs="Arial" w:eastAsia="Arial" w:hAnsi="Arial"/>
                <w:sz w:val="17"/>
                <w:szCs w:val="17"/>
                <w:color w:val="auto"/>
              </w:rPr>
              <w:t>Common stock</w:t>
            </w:r>
          </w:p>
        </w:tc>
        <w:tc>
          <w:tcPr>
            <w:tcW w:w="1140" w:type="dxa"/>
            <w:vAlign w:val="bottom"/>
          </w:tcPr>
          <w:p>
            <w:pPr>
              <w:jc w:val="center"/>
              <w:ind w:left="38"/>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27,383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3,383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(2,831)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27,935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Mutual funds:</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60" w:type="dxa"/>
            <w:vAlign w:val="bottom"/>
          </w:tcPr>
          <w:p>
            <w:pPr>
              <w:ind w:left="220"/>
              <w:spacing w:after="0"/>
              <w:rPr>
                <w:sz w:val="20"/>
                <w:szCs w:val="20"/>
                <w:color w:val="auto"/>
              </w:rPr>
            </w:pPr>
            <w:r>
              <w:rPr>
                <w:rFonts w:ascii="Arial" w:cs="Arial" w:eastAsia="Arial" w:hAnsi="Arial"/>
                <w:sz w:val="17"/>
                <w:szCs w:val="17"/>
                <w:color w:val="auto"/>
              </w:rPr>
              <w:t>Equity</w:t>
            </w:r>
          </w:p>
        </w:tc>
        <w:tc>
          <w:tcPr>
            <w:tcW w:w="1140" w:type="dxa"/>
            <w:vAlign w:val="bottom"/>
          </w:tcPr>
          <w:p>
            <w:pPr>
              <w:jc w:val="center"/>
              <w:ind w:left="38"/>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Fixed Income</w:t>
            </w:r>
          </w:p>
        </w:tc>
        <w:tc>
          <w:tcPr>
            <w:tcW w:w="1140" w:type="dxa"/>
            <w:vAlign w:val="bottom"/>
            <w:shd w:val="clear" w:color="auto" w:fill="CCEEFF"/>
          </w:tcPr>
          <w:p>
            <w:pPr>
              <w:jc w:val="center"/>
              <w:ind w:left="38"/>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8,223</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596</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(307)</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260" w:type="dxa"/>
            <w:vAlign w:val="bottom"/>
          </w:tcPr>
          <w:p>
            <w:pPr>
              <w:ind w:left="20"/>
              <w:spacing w:after="0"/>
              <w:rPr>
                <w:sz w:val="20"/>
                <w:szCs w:val="20"/>
                <w:color w:val="auto"/>
              </w:rPr>
            </w:pPr>
            <w:r>
              <w:rPr>
                <w:rFonts w:ascii="Arial" w:cs="Arial" w:eastAsia="Arial" w:hAnsi="Arial"/>
                <w:sz w:val="17"/>
                <w:szCs w:val="17"/>
                <w:color w:val="auto"/>
              </w:rPr>
              <w:t>Trust securities</w:t>
            </w:r>
          </w:p>
        </w:tc>
        <w:tc>
          <w:tcPr>
            <w:tcW w:w="1140" w:type="dxa"/>
            <w:vAlign w:val="bottom"/>
          </w:tcPr>
          <w:p>
            <w:pPr>
              <w:spacing w:after="0"/>
              <w:rPr>
                <w:sz w:val="18"/>
                <w:szCs w:val="18"/>
                <w:color w:val="auto"/>
              </w:rPr>
            </w:pPr>
          </w:p>
        </w:tc>
        <w:tc>
          <w:tcPr>
            <w:tcW w:w="600" w:type="dxa"/>
            <w:vAlign w:val="bottom"/>
            <w:gridSpan w:val="3"/>
          </w:tcPr>
          <w:p>
            <w:pPr>
              <w:jc w:val="right"/>
              <w:ind w:right="134"/>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67,079</w:t>
            </w:r>
          </w:p>
        </w:tc>
        <w:tc>
          <w:tcPr>
            <w:tcW w:w="3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7,737</w:t>
            </w:r>
          </w:p>
        </w:tc>
        <w:tc>
          <w:tcPr>
            <w:tcW w:w="16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(3,990)</w:t>
            </w:r>
          </w:p>
        </w:tc>
        <w:tc>
          <w:tcPr>
            <w:tcW w:w="3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70,826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Accrued investment income</w:t>
            </w:r>
          </w:p>
        </w:tc>
        <w:tc>
          <w:tcPr>
            <w:tcW w:w="11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gridSpan w:val="2"/>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814</w:t>
            </w:r>
          </w:p>
        </w:tc>
        <w:tc>
          <w:tcPr>
            <w:tcW w:w="1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gridSpan w:val="2"/>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260" w:type="dxa"/>
            <w:vAlign w:val="bottom"/>
          </w:tcPr>
          <w:p>
            <w:pPr>
              <w:ind w:left="20"/>
              <w:spacing w:after="0" w:line="177" w:lineRule="exact"/>
              <w:rPr>
                <w:sz w:val="20"/>
                <w:szCs w:val="20"/>
                <w:color w:val="auto"/>
              </w:rPr>
            </w:pPr>
            <w:r>
              <w:rPr>
                <w:rFonts w:ascii="Arial" w:cs="Arial" w:eastAsia="Arial" w:hAnsi="Arial"/>
                <w:sz w:val="17"/>
                <w:szCs w:val="17"/>
                <w:color w:val="auto"/>
              </w:rPr>
              <w:t>Cemetery perpetual care investments</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gridSpan w:val="3"/>
          </w:tcPr>
          <w:p>
            <w:pPr>
              <w:jc w:val="right"/>
              <w:spacing w:after="0" w:line="177" w:lineRule="exact"/>
              <w:rPr>
                <w:sz w:val="20"/>
                <w:szCs w:val="20"/>
                <w:color w:val="auto"/>
              </w:rPr>
            </w:pPr>
            <w:r>
              <w:rPr>
                <w:rFonts w:ascii="Arial" w:cs="Arial" w:eastAsia="Arial" w:hAnsi="Arial"/>
                <w:sz w:val="17"/>
                <w:szCs w:val="17"/>
                <w:color w:val="auto"/>
              </w:rPr>
              <w:t>$</w:t>
            </w:r>
          </w:p>
        </w:tc>
        <w:tc>
          <w:tcPr>
            <w:tcW w:w="1080" w:type="dxa"/>
            <w:vAlign w:val="bottom"/>
          </w:tcPr>
          <w:p>
            <w:pPr>
              <w:jc w:val="right"/>
              <w:spacing w:after="0" w:line="177" w:lineRule="exact"/>
              <w:rPr>
                <w:sz w:val="20"/>
                <w:szCs w:val="20"/>
                <w:color w:val="auto"/>
              </w:rPr>
            </w:pPr>
            <w:r>
              <w:rPr>
                <w:rFonts w:ascii="Arial" w:cs="Arial" w:eastAsia="Arial" w:hAnsi="Arial"/>
                <w:sz w:val="17"/>
                <w:szCs w:val="17"/>
                <w:color w:val="auto"/>
              </w:rPr>
              <w:t>71,640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Market value as a percentage of cost</w:t>
            </w: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105.6%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780" w:type="dxa"/>
            <w:vAlign w:val="bottom"/>
            <w:tcBorders>
              <w:top w:val="single" w:sz="8" w:color="CCEEFF"/>
              <w:bottom w:val="single" w:sz="8" w:color="CCEEFF"/>
            </w:tcBorders>
            <w:gridSpan w:val="12"/>
            <w:vMerge w:val="restart"/>
          </w:tcPr>
          <w:p>
            <w:pPr>
              <w:ind w:left="400"/>
              <w:spacing w:after="0"/>
              <w:rPr>
                <w:sz w:val="20"/>
                <w:szCs w:val="20"/>
                <w:color w:val="auto"/>
              </w:rPr>
            </w:pPr>
            <w:r>
              <w:rPr>
                <w:rFonts w:ascii="Arial" w:cs="Arial" w:eastAsia="Arial" w:hAnsi="Arial"/>
                <w:sz w:val="17"/>
                <w:szCs w:val="17"/>
                <w:color w:val="auto"/>
                <w:w w:val="99"/>
              </w:rPr>
              <w:t>The estimated maturities of the fixed income securities (excluding mutual funds) included above are as follows (in thousands):</w:t>
            </w: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780" w:type="dxa"/>
            <w:vAlign w:val="bottom"/>
            <w:gridSpan w:val="12"/>
            <w:vMerge w:val="continue"/>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1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Due in one year or less</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60" w:type="dxa"/>
            <w:vAlign w:val="bottom"/>
          </w:tcPr>
          <w:p>
            <w:pPr>
              <w:ind w:left="20"/>
              <w:spacing w:after="0"/>
              <w:rPr>
                <w:sz w:val="20"/>
                <w:szCs w:val="20"/>
                <w:color w:val="auto"/>
              </w:rPr>
            </w:pPr>
            <w:r>
              <w:rPr>
                <w:rFonts w:ascii="Arial" w:cs="Arial" w:eastAsia="Arial" w:hAnsi="Arial"/>
                <w:sz w:val="17"/>
                <w:szCs w:val="17"/>
                <w:color w:val="auto"/>
              </w:rPr>
              <w:t>Due in one to five years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7,713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Due in five to ten years</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5,301</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1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20,681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fixed income securities</w:t>
            </w: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33,695</w:t>
            </w:r>
          </w:p>
        </w:tc>
        <w:tc>
          <w:tcPr>
            <w:tcW w:w="4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CCEEFF"/>
            </w:tcBorders>
            <w:gridSpan w:val="3"/>
            <w:vMerge w:val="restart"/>
          </w:tcPr>
          <w:p>
            <w:pPr>
              <w:jc w:val="right"/>
              <w:ind w:right="94"/>
              <w:spacing w:after="0"/>
              <w:rPr>
                <w:sz w:val="20"/>
                <w:szCs w:val="20"/>
                <w:color w:val="auto"/>
              </w:rPr>
            </w:pPr>
            <w:r>
              <w:rPr>
                <w:rFonts w:ascii="Arial" w:cs="Arial" w:eastAsia="Arial" w:hAnsi="Arial"/>
                <w:sz w:val="17"/>
                <w:szCs w:val="17"/>
                <w:color w:val="auto"/>
              </w:rPr>
              <w:t>- 23 -</w:t>
            </w:r>
          </w:p>
        </w:tc>
        <w:tc>
          <w:tcPr>
            <w:tcW w:w="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4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gridSpan w:val="3"/>
            <w:vMerge w:val="continue"/>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2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23" w:name="page24"/>
    <w:bookmarkEnd w:id="23"/>
    <w:p>
      <w:pPr>
        <w:ind w:firstLine="387"/>
        <w:spacing w:after="0" w:line="271" w:lineRule="auto"/>
        <w:rPr>
          <w:sz w:val="20"/>
          <w:szCs w:val="20"/>
          <w:color w:val="auto"/>
        </w:rPr>
      </w:pPr>
      <w:r>
        <w:rPr>
          <w:rFonts w:ascii="Arial" w:cs="Arial" w:eastAsia="Arial" w:hAnsi="Arial"/>
          <w:sz w:val="17"/>
          <w:szCs w:val="17"/>
          <w:color w:val="auto"/>
        </w:rPr>
        <w:t>The following table reflects the cost and fair market values associated with the trust investments held in perpetual care trust funds at December 31, 2020 (in thousands):</w:t>
      </w:r>
    </w:p>
    <w:tbl>
      <w:tblPr>
        <w:tblLayout w:type="fixed"/>
        <w:tblInd w:w="0" w:type="dxa"/>
        <w:tblCellMar>
          <w:top w:w="0" w:type="dxa"/>
          <w:left w:w="0" w:type="dxa"/>
          <w:bottom w:w="0" w:type="dxa"/>
          <w:right w:w="0" w:type="dxa"/>
        </w:tblCellMar>
      </w:tblPr>
      <w:tr>
        <w:trPr>
          <w:trHeight w:val="139"/>
        </w:trPr>
        <w:tc>
          <w:tcPr>
            <w:tcW w:w="4280" w:type="dxa"/>
            <w:vAlign w:val="bottom"/>
          </w:tcPr>
          <w:p>
            <w:pPr>
              <w:spacing w:after="0"/>
              <w:rPr>
                <w:sz w:val="12"/>
                <w:szCs w:val="12"/>
                <w:color w:val="auto"/>
              </w:rPr>
            </w:pPr>
          </w:p>
        </w:tc>
        <w:tc>
          <w:tcPr>
            <w:tcW w:w="144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w w:val="89"/>
              </w:rPr>
              <w:t>Fair Value</w:t>
            </w:r>
          </w:p>
        </w:tc>
        <w:tc>
          <w:tcPr>
            <w:tcW w:w="300" w:type="dxa"/>
            <w:vAlign w:val="bottom"/>
          </w:tcPr>
          <w:p>
            <w:pPr>
              <w:spacing w:after="0"/>
              <w:rPr>
                <w:sz w:val="12"/>
                <w:szCs w:val="12"/>
                <w:color w:val="auto"/>
              </w:rPr>
            </w:pPr>
          </w:p>
        </w:tc>
        <w:tc>
          <w:tcPr>
            <w:tcW w:w="92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2"/>
                <w:szCs w:val="12"/>
                <w:color w:val="auto"/>
              </w:rPr>
            </w:pPr>
          </w:p>
        </w:tc>
        <w:tc>
          <w:tcPr>
            <w:tcW w:w="1240" w:type="dxa"/>
            <w:vAlign w:val="bottom"/>
            <w:gridSpan w:val="2"/>
          </w:tcPr>
          <w:p>
            <w:pPr>
              <w:ind w:left="100"/>
              <w:spacing w:after="0" w:line="139" w:lineRule="exact"/>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2"/>
                <w:szCs w:val="12"/>
                <w:color w:val="auto"/>
              </w:rPr>
            </w:pPr>
          </w:p>
        </w:tc>
        <w:tc>
          <w:tcPr>
            <w:tcW w:w="1040" w:type="dxa"/>
            <w:vAlign w:val="bottom"/>
          </w:tcPr>
          <w:p>
            <w:pPr>
              <w:jc w:val="right"/>
              <w:ind w:right="157"/>
              <w:spacing w:after="0" w:line="139" w:lineRule="exact"/>
              <w:rPr>
                <w:sz w:val="20"/>
                <w:szCs w:val="20"/>
                <w:color w:val="auto"/>
              </w:rPr>
            </w:pPr>
            <w:r>
              <w:rPr>
                <w:rFonts w:ascii="Arial" w:cs="Arial" w:eastAsia="Arial" w:hAnsi="Arial"/>
                <w:sz w:val="14"/>
                <w:szCs w:val="14"/>
                <w:b w:val="1"/>
                <w:bCs w:val="1"/>
                <w:color w:val="auto"/>
              </w:rPr>
              <w:t>Fair Market</w:t>
            </w:r>
          </w:p>
        </w:tc>
        <w:tc>
          <w:tcPr>
            <w:tcW w:w="0" w:type="dxa"/>
            <w:vAlign w:val="bottom"/>
          </w:tcPr>
          <w:p>
            <w:pPr>
              <w:spacing w:after="0"/>
              <w:rPr>
                <w:sz w:val="1"/>
                <w:szCs w:val="1"/>
                <w:color w:val="auto"/>
              </w:rPr>
            </w:pPr>
          </w:p>
        </w:tc>
      </w:tr>
      <w:tr>
        <w:trPr>
          <w:trHeight w:val="180"/>
        </w:trPr>
        <w:tc>
          <w:tcPr>
            <w:tcW w:w="428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Hierarchy Level</w:t>
            </w:r>
          </w:p>
        </w:tc>
        <w:tc>
          <w:tcPr>
            <w:tcW w:w="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Gains</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Losses</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3"/>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money market accounts</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686</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686</w:t>
            </w:r>
          </w:p>
        </w:tc>
        <w:tc>
          <w:tcPr>
            <w:tcW w:w="0" w:type="dxa"/>
            <w:vAlign w:val="bottom"/>
          </w:tcPr>
          <w:p>
            <w:pPr>
              <w:spacing w:after="0"/>
              <w:rPr>
                <w:sz w:val="1"/>
                <w:szCs w:val="1"/>
                <w:color w:val="auto"/>
              </w:rPr>
            </w:pPr>
          </w:p>
        </w:tc>
      </w:tr>
      <w:tr>
        <w:trPr>
          <w:trHeight w:val="219"/>
        </w:trPr>
        <w:tc>
          <w:tcPr>
            <w:tcW w:w="4280" w:type="dxa"/>
            <w:vAlign w:val="bottom"/>
          </w:tcPr>
          <w:p>
            <w:pPr>
              <w:ind w:left="20"/>
              <w:spacing w:after="0"/>
              <w:rPr>
                <w:sz w:val="20"/>
                <w:szCs w:val="20"/>
                <w:color w:val="auto"/>
              </w:rPr>
            </w:pPr>
            <w:r>
              <w:rPr>
                <w:rFonts w:ascii="Arial" w:cs="Arial" w:eastAsia="Arial" w:hAnsi="Arial"/>
                <w:sz w:val="17"/>
                <w:szCs w:val="17"/>
                <w:color w:val="auto"/>
              </w:rPr>
              <w:t>Fixed income securities:</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Foreign debt</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2</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12,539</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1,641</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(582)</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13,598</w:t>
            </w:r>
          </w:p>
        </w:tc>
        <w:tc>
          <w:tcPr>
            <w:tcW w:w="0" w:type="dxa"/>
            <w:vAlign w:val="bottom"/>
          </w:tcPr>
          <w:p>
            <w:pPr>
              <w:spacing w:after="0"/>
              <w:rPr>
                <w:sz w:val="1"/>
                <w:szCs w:val="1"/>
                <w:color w:val="auto"/>
              </w:rPr>
            </w:pPr>
          </w:p>
        </w:tc>
      </w:tr>
      <w:tr>
        <w:trPr>
          <w:trHeight w:val="219"/>
        </w:trPr>
        <w:tc>
          <w:tcPr>
            <w:tcW w:w="4280" w:type="dxa"/>
            <w:vAlign w:val="bottom"/>
          </w:tcPr>
          <w:p>
            <w:pPr>
              <w:ind w:left="220"/>
              <w:spacing w:after="0"/>
              <w:rPr>
                <w:sz w:val="20"/>
                <w:szCs w:val="20"/>
                <w:color w:val="auto"/>
              </w:rPr>
            </w:pPr>
            <w:r>
              <w:rPr>
                <w:rFonts w:ascii="Arial" w:cs="Arial" w:eastAsia="Arial" w:hAnsi="Arial"/>
                <w:sz w:val="17"/>
                <w:szCs w:val="17"/>
                <w:color w:val="auto"/>
              </w:rPr>
              <w:t>Corporate debt</w:t>
            </w:r>
          </w:p>
        </w:tc>
        <w:tc>
          <w:tcPr>
            <w:tcW w:w="1240" w:type="dxa"/>
            <w:vAlign w:val="bottom"/>
          </w:tcPr>
          <w:p>
            <w:pPr>
              <w:jc w:val="center"/>
              <w:spacing w:after="0"/>
              <w:rPr>
                <w:sz w:val="20"/>
                <w:szCs w:val="20"/>
                <w:color w:val="auto"/>
              </w:rPr>
            </w:pPr>
            <w:r>
              <w:rPr>
                <w:rFonts w:ascii="Arial" w:cs="Arial" w:eastAsia="Arial" w:hAnsi="Arial"/>
                <w:sz w:val="17"/>
                <w:szCs w:val="17"/>
                <w:color w:val="auto"/>
                <w:w w:val="84"/>
              </w:rPr>
              <w:t>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11,684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1,506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(240)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12,950</w:t>
            </w: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Preferred stock</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2</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10,444</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819</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10,908</w:t>
            </w:r>
          </w:p>
        </w:tc>
        <w:tc>
          <w:tcPr>
            <w:tcW w:w="0" w:type="dxa"/>
            <w:vAlign w:val="bottom"/>
          </w:tcPr>
          <w:p>
            <w:pPr>
              <w:spacing w:after="0"/>
              <w:rPr>
                <w:sz w:val="1"/>
                <w:szCs w:val="1"/>
                <w:color w:val="auto"/>
              </w:rPr>
            </w:pPr>
          </w:p>
        </w:tc>
      </w:tr>
      <w:tr>
        <w:trPr>
          <w:trHeight w:val="219"/>
        </w:trPr>
        <w:tc>
          <w:tcPr>
            <w:tcW w:w="4280" w:type="dxa"/>
            <w:vAlign w:val="bottom"/>
          </w:tcPr>
          <w:p>
            <w:pPr>
              <w:ind w:left="220"/>
              <w:spacing w:after="0"/>
              <w:rPr>
                <w:sz w:val="20"/>
                <w:szCs w:val="20"/>
                <w:color w:val="auto"/>
              </w:rPr>
            </w:pPr>
            <w:r>
              <w:rPr>
                <w:rFonts w:ascii="Arial" w:cs="Arial" w:eastAsia="Arial" w:hAnsi="Arial"/>
                <w:sz w:val="17"/>
                <w:szCs w:val="17"/>
                <w:color w:val="auto"/>
              </w:rPr>
              <w:t>Mortgage-backed securities</w:t>
            </w:r>
          </w:p>
        </w:tc>
        <w:tc>
          <w:tcPr>
            <w:tcW w:w="1240" w:type="dxa"/>
            <w:vAlign w:val="bottom"/>
          </w:tcPr>
          <w:p>
            <w:pPr>
              <w:jc w:val="center"/>
              <w:spacing w:after="0"/>
              <w:rPr>
                <w:sz w:val="20"/>
                <w:szCs w:val="20"/>
                <w:color w:val="auto"/>
              </w:rPr>
            </w:pPr>
            <w:r>
              <w:rPr>
                <w:rFonts w:ascii="Arial" w:cs="Arial" w:eastAsia="Arial" w:hAnsi="Arial"/>
                <w:sz w:val="17"/>
                <w:szCs w:val="17"/>
                <w:color w:val="auto"/>
                <w:w w:val="84"/>
              </w:rPr>
              <w:t>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Common stock</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23,662</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6,108</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(5,255)</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24,515</w:t>
            </w:r>
          </w:p>
        </w:tc>
        <w:tc>
          <w:tcPr>
            <w:tcW w:w="0" w:type="dxa"/>
            <w:vAlign w:val="bottom"/>
          </w:tcPr>
          <w:p>
            <w:pPr>
              <w:spacing w:after="0"/>
              <w:rPr>
                <w:sz w:val="1"/>
                <w:szCs w:val="1"/>
                <w:color w:val="auto"/>
              </w:rPr>
            </w:pPr>
          </w:p>
        </w:tc>
      </w:tr>
      <w:tr>
        <w:trPr>
          <w:trHeight w:val="219"/>
        </w:trPr>
        <w:tc>
          <w:tcPr>
            <w:tcW w:w="4280" w:type="dxa"/>
            <w:vAlign w:val="bottom"/>
          </w:tcPr>
          <w:p>
            <w:pPr>
              <w:ind w:left="20"/>
              <w:spacing w:after="0"/>
              <w:rPr>
                <w:sz w:val="20"/>
                <w:szCs w:val="20"/>
                <w:color w:val="auto"/>
              </w:rPr>
            </w:pPr>
            <w:r>
              <w:rPr>
                <w:rFonts w:ascii="Arial" w:cs="Arial" w:eastAsia="Arial" w:hAnsi="Arial"/>
                <w:sz w:val="17"/>
                <w:szCs w:val="17"/>
                <w:color w:val="auto"/>
              </w:rPr>
              <w:t>Mutual funds:</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Fixed income</w:t>
            </w: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2</w:t>
            </w:r>
          </w:p>
        </w:tc>
        <w:tc>
          <w:tcPr>
            <w:tcW w:w="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6,444</w:t>
            </w:r>
          </w:p>
        </w:tc>
        <w:tc>
          <w:tcPr>
            <w:tcW w:w="2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1,054</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7,278</w:t>
            </w:r>
          </w:p>
        </w:tc>
        <w:tc>
          <w:tcPr>
            <w:tcW w:w="0" w:type="dxa"/>
            <w:vAlign w:val="bottom"/>
          </w:tcPr>
          <w:p>
            <w:pPr>
              <w:spacing w:after="0"/>
              <w:rPr>
                <w:sz w:val="1"/>
                <w:szCs w:val="1"/>
                <w:color w:val="auto"/>
              </w:rPr>
            </w:pPr>
          </w:p>
        </w:tc>
      </w:tr>
      <w:tr>
        <w:trPr>
          <w:trHeight w:val="212"/>
        </w:trPr>
        <w:tc>
          <w:tcPr>
            <w:tcW w:w="4280" w:type="dxa"/>
            <w:vAlign w:val="bottom"/>
          </w:tcPr>
          <w:p>
            <w:pPr>
              <w:ind w:left="20"/>
              <w:spacing w:after="0"/>
              <w:rPr>
                <w:sz w:val="20"/>
                <w:szCs w:val="20"/>
                <w:color w:val="auto"/>
              </w:rPr>
            </w:pPr>
            <w:r>
              <w:rPr>
                <w:rFonts w:ascii="Arial" w:cs="Arial" w:eastAsia="Arial" w:hAnsi="Arial"/>
                <w:sz w:val="17"/>
                <w:szCs w:val="17"/>
                <w:color w:val="auto"/>
              </w:rPr>
              <w:t>Trust securities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65,665</w:t>
            </w:r>
          </w:p>
        </w:tc>
        <w:tc>
          <w:tcPr>
            <w:tcW w:w="4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11,128</w:t>
            </w:r>
          </w:p>
        </w:tc>
        <w:tc>
          <w:tcPr>
            <w:tcW w:w="2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(6,773)</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70,020</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Accrued investment income</w:t>
            </w:r>
          </w:p>
        </w:tc>
        <w:tc>
          <w:tcPr>
            <w:tcW w:w="12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808</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808</w:t>
            </w:r>
          </w:p>
        </w:tc>
        <w:tc>
          <w:tcPr>
            <w:tcW w:w="0" w:type="dxa"/>
            <w:vAlign w:val="bottom"/>
          </w:tcPr>
          <w:p>
            <w:pPr>
              <w:spacing w:after="0"/>
              <w:rPr>
                <w:sz w:val="1"/>
                <w:szCs w:val="1"/>
                <w:color w:val="auto"/>
              </w:rPr>
            </w:pPr>
          </w:p>
        </w:tc>
      </w:tr>
      <w:tr>
        <w:trPr>
          <w:trHeight w:val="177"/>
        </w:trPr>
        <w:tc>
          <w:tcPr>
            <w:tcW w:w="4280" w:type="dxa"/>
            <w:vAlign w:val="bottom"/>
            <w:tcBorders>
              <w:top w:val="single" w:sz="8" w:color="CCEEFF"/>
            </w:tcBorders>
          </w:tcPr>
          <w:p>
            <w:pPr>
              <w:ind w:left="20"/>
              <w:spacing w:after="0" w:line="177" w:lineRule="exact"/>
              <w:rPr>
                <w:sz w:val="20"/>
                <w:szCs w:val="20"/>
                <w:color w:val="auto"/>
              </w:rPr>
            </w:pPr>
            <w:r>
              <w:rPr>
                <w:rFonts w:ascii="Arial" w:cs="Arial" w:eastAsia="Arial" w:hAnsi="Arial"/>
                <w:sz w:val="17"/>
                <w:szCs w:val="17"/>
                <w:color w:val="auto"/>
              </w:rPr>
              <w:t>Cemetery perpetual care investments</w:t>
            </w:r>
          </w:p>
        </w:tc>
        <w:tc>
          <w:tcPr>
            <w:tcW w:w="124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7"/>
                <w:szCs w:val="17"/>
                <w:color w:val="auto"/>
              </w:rPr>
              <w:t>70,828</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Market value as a percentage of cost</w:t>
            </w:r>
          </w:p>
        </w:tc>
        <w:tc>
          <w:tcPr>
            <w:tcW w:w="1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106.6%</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firstLine="387"/>
        <w:spacing w:after="0" w:line="276" w:lineRule="auto"/>
        <w:rPr>
          <w:sz w:val="20"/>
          <w:szCs w:val="20"/>
          <w:color w:val="auto"/>
        </w:rPr>
      </w:pPr>
      <w:r>
        <w:rPr>
          <w:rFonts w:ascii="Arial" w:cs="Arial" w:eastAsia="Arial" w:hAnsi="Arial"/>
          <w:sz w:val="17"/>
          <w:szCs w:val="17"/>
          <w:color w:val="auto"/>
        </w:rPr>
        <w:t>The following table summarized our fixed income securities (excluding mutual funds) within our perpetual care trust investment in an unrealized loss position at September 30, 2021, aggregated by major security type and length of time in a continuous unrealized loss position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5"/>
          </w:tcPr>
          <w:p>
            <w:pPr>
              <w:ind w:left="340"/>
              <w:spacing w:after="0"/>
              <w:rPr>
                <w:sz w:val="20"/>
                <w:szCs w:val="20"/>
                <w:color w:val="auto"/>
              </w:rPr>
            </w:pPr>
            <w:r>
              <w:rPr>
                <w:rFonts w:ascii="Arial" w:cs="Arial" w:eastAsia="Arial" w:hAnsi="Arial"/>
                <w:sz w:val="15"/>
                <w:szCs w:val="15"/>
                <w:b w:val="1"/>
                <w:bCs w:val="1"/>
                <w:color w:val="auto"/>
              </w:rPr>
              <w:t>September 30, 2021</w:t>
            </w:r>
          </w:p>
        </w:tc>
        <w:tc>
          <w:tcPr>
            <w:tcW w:w="3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4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gridSpan w:val="5"/>
          </w:tcPr>
          <w:p>
            <w:pPr>
              <w:ind w:left="40"/>
              <w:spacing w:after="0" w:line="151" w:lineRule="exact"/>
              <w:rPr>
                <w:sz w:val="20"/>
                <w:szCs w:val="20"/>
                <w:color w:val="auto"/>
              </w:rPr>
            </w:pPr>
            <w:r>
              <w:rPr>
                <w:rFonts w:ascii="Arial" w:cs="Arial" w:eastAsia="Arial" w:hAnsi="Arial"/>
                <w:sz w:val="15"/>
                <w:szCs w:val="15"/>
                <w:b w:val="1"/>
                <w:bCs w:val="1"/>
                <w:color w:val="auto"/>
              </w:rPr>
              <w:t>In Loss Position Less than 12</w:t>
            </w:r>
          </w:p>
        </w:tc>
        <w:tc>
          <w:tcPr>
            <w:tcW w:w="2440" w:type="dxa"/>
            <w:vAlign w:val="bottom"/>
            <w:gridSpan w:val="6"/>
          </w:tcPr>
          <w:p>
            <w:pPr>
              <w:ind w:left="40"/>
              <w:spacing w:after="0" w:line="151" w:lineRule="exact"/>
              <w:rPr>
                <w:sz w:val="20"/>
                <w:szCs w:val="20"/>
                <w:color w:val="auto"/>
              </w:rPr>
            </w:pPr>
            <w:r>
              <w:rPr>
                <w:rFonts w:ascii="Arial" w:cs="Arial" w:eastAsia="Arial" w:hAnsi="Arial"/>
                <w:sz w:val="15"/>
                <w:szCs w:val="15"/>
                <w:b w:val="1"/>
                <w:bCs w:val="1"/>
                <w:color w:val="auto"/>
              </w:rPr>
              <w:t>In Loss Position Greater than 12</w:t>
            </w: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gridSpan w:val="3"/>
            <w:vMerge w:val="restart"/>
          </w:tcPr>
          <w:p>
            <w:pPr>
              <w:jc w:val="right"/>
              <w:ind w:right="100"/>
              <w:spacing w:after="0"/>
              <w:rPr>
                <w:sz w:val="20"/>
                <w:szCs w:val="20"/>
                <w:color w:val="auto"/>
              </w:rPr>
            </w:pPr>
            <w:r>
              <w:rPr>
                <w:rFonts w:ascii="Arial" w:cs="Arial" w:eastAsia="Arial" w:hAnsi="Arial"/>
                <w:sz w:val="15"/>
                <w:szCs w:val="15"/>
                <w:b w:val="1"/>
                <w:bCs w:val="1"/>
                <w:color w:val="auto"/>
                <w:w w:val="89"/>
              </w:rPr>
              <w:t>Total</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4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5"/>
                <w:szCs w:val="15"/>
                <w:b w:val="1"/>
                <w:bCs w:val="1"/>
                <w:color w:val="auto"/>
              </w:rPr>
              <w:t>months</w:t>
            </w: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3"/>
            <w:vMerge w:val="restart"/>
          </w:tcPr>
          <w:p>
            <w:pPr>
              <w:jc w:val="right"/>
              <w:spacing w:after="0"/>
              <w:rPr>
                <w:sz w:val="20"/>
                <w:szCs w:val="20"/>
                <w:color w:val="auto"/>
              </w:rPr>
            </w:pPr>
            <w:r>
              <w:rPr>
                <w:rFonts w:ascii="Arial" w:cs="Arial" w:eastAsia="Arial" w:hAnsi="Arial"/>
                <w:sz w:val="15"/>
                <w:szCs w:val="15"/>
                <w:b w:val="1"/>
                <w:bCs w:val="1"/>
                <w:color w:val="auto"/>
              </w:rPr>
              <w:t>months</w:t>
            </w: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0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gridSpan w:val="3"/>
            <w:vMerge w:val="continue"/>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gridSpan w:val="3"/>
            <w:vMerge w:val="continue"/>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4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340"/>
              <w:spacing w:after="0" w:line="125" w:lineRule="exact"/>
              <w:rPr>
                <w:sz w:val="20"/>
                <w:szCs w:val="20"/>
                <w:color w:val="auto"/>
              </w:rPr>
            </w:pPr>
            <w:r>
              <w:rPr>
                <w:rFonts w:ascii="Arial" w:cs="Arial" w:eastAsia="Arial" w:hAnsi="Arial"/>
                <w:sz w:val="14"/>
                <w:szCs w:val="14"/>
                <w:color w:val="auto"/>
                <w:w w:val="90"/>
              </w:rPr>
              <w:t>Fair market</w:t>
            </w:r>
          </w:p>
        </w:tc>
        <w:tc>
          <w:tcPr>
            <w:tcW w:w="160" w:type="dxa"/>
            <w:vAlign w:val="bottom"/>
          </w:tcPr>
          <w:p>
            <w:pPr>
              <w:spacing w:after="0"/>
              <w:rPr>
                <w:sz w:val="10"/>
                <w:szCs w:val="10"/>
                <w:color w:val="auto"/>
              </w:rPr>
            </w:pPr>
          </w:p>
        </w:tc>
        <w:tc>
          <w:tcPr>
            <w:tcW w:w="840" w:type="dxa"/>
            <w:vAlign w:val="bottom"/>
          </w:tcPr>
          <w:p>
            <w:pPr>
              <w:jc w:val="center"/>
              <w:ind w:right="80"/>
              <w:spacing w:after="0" w:line="125" w:lineRule="exact"/>
              <w:rPr>
                <w:sz w:val="20"/>
                <w:szCs w:val="20"/>
                <w:color w:val="auto"/>
              </w:rPr>
            </w:pPr>
            <w:r>
              <w:rPr>
                <w:rFonts w:ascii="Arial" w:cs="Arial" w:eastAsia="Arial" w:hAnsi="Arial"/>
                <w:sz w:val="14"/>
                <w:szCs w:val="14"/>
                <w:color w:val="auto"/>
                <w:w w:val="89"/>
              </w:rPr>
              <w:t>Unrealized</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360"/>
              <w:spacing w:after="0" w:line="125" w:lineRule="exact"/>
              <w:rPr>
                <w:sz w:val="20"/>
                <w:szCs w:val="20"/>
                <w:color w:val="auto"/>
              </w:rPr>
            </w:pPr>
            <w:r>
              <w:rPr>
                <w:rFonts w:ascii="Arial" w:cs="Arial" w:eastAsia="Arial" w:hAnsi="Arial"/>
                <w:sz w:val="14"/>
                <w:szCs w:val="14"/>
                <w:color w:val="auto"/>
                <w:w w:val="90"/>
              </w:rPr>
              <w:t>Fair market</w:t>
            </w:r>
          </w:p>
        </w:tc>
        <w:tc>
          <w:tcPr>
            <w:tcW w:w="160" w:type="dxa"/>
            <w:vAlign w:val="bottom"/>
          </w:tcPr>
          <w:p>
            <w:pPr>
              <w:spacing w:after="0"/>
              <w:rPr>
                <w:sz w:val="10"/>
                <w:szCs w:val="10"/>
                <w:color w:val="auto"/>
              </w:rPr>
            </w:pPr>
          </w:p>
        </w:tc>
        <w:tc>
          <w:tcPr>
            <w:tcW w:w="840" w:type="dxa"/>
            <w:vAlign w:val="bottom"/>
          </w:tcPr>
          <w:p>
            <w:pPr>
              <w:jc w:val="center"/>
              <w:ind w:right="80"/>
              <w:spacing w:after="0" w:line="125" w:lineRule="exact"/>
              <w:rPr>
                <w:sz w:val="20"/>
                <w:szCs w:val="20"/>
                <w:color w:val="auto"/>
              </w:rPr>
            </w:pPr>
            <w:r>
              <w:rPr>
                <w:rFonts w:ascii="Arial" w:cs="Arial" w:eastAsia="Arial" w:hAnsi="Arial"/>
                <w:sz w:val="14"/>
                <w:szCs w:val="14"/>
                <w:color w:val="auto"/>
                <w:w w:val="89"/>
              </w:rPr>
              <w:t>Unrealized</w:t>
            </w:r>
          </w:p>
        </w:tc>
        <w:tc>
          <w:tcPr>
            <w:tcW w:w="220" w:type="dxa"/>
            <w:vAlign w:val="bottom"/>
          </w:tcPr>
          <w:p>
            <w:pPr>
              <w:spacing w:after="0"/>
              <w:rPr>
                <w:sz w:val="10"/>
                <w:szCs w:val="10"/>
                <w:color w:val="auto"/>
              </w:rPr>
            </w:pPr>
          </w:p>
        </w:tc>
        <w:tc>
          <w:tcPr>
            <w:tcW w:w="1380" w:type="dxa"/>
            <w:vAlign w:val="bottom"/>
            <w:gridSpan w:val="5"/>
            <w:vMerge w:val="restart"/>
          </w:tcPr>
          <w:p>
            <w:pPr>
              <w:ind w:left="20"/>
              <w:spacing w:after="0"/>
              <w:rPr>
                <w:sz w:val="20"/>
                <w:szCs w:val="20"/>
                <w:color w:val="auto"/>
              </w:rPr>
            </w:pPr>
            <w:r>
              <w:rPr>
                <w:rFonts w:ascii="Arial" w:cs="Arial" w:eastAsia="Arial" w:hAnsi="Arial"/>
                <w:sz w:val="14"/>
                <w:szCs w:val="14"/>
                <w:color w:val="auto"/>
              </w:rPr>
              <w:t>Fair market value</w:t>
            </w:r>
          </w:p>
        </w:tc>
        <w:tc>
          <w:tcPr>
            <w:tcW w:w="860" w:type="dxa"/>
            <w:vAlign w:val="bottom"/>
          </w:tcPr>
          <w:p>
            <w:pPr>
              <w:jc w:val="right"/>
              <w:ind w:right="120"/>
              <w:spacing w:after="0" w:line="125" w:lineRule="exact"/>
              <w:rPr>
                <w:sz w:val="20"/>
                <w:szCs w:val="20"/>
                <w:color w:val="auto"/>
              </w:rPr>
            </w:pPr>
            <w:r>
              <w:rPr>
                <w:rFonts w:ascii="Arial" w:cs="Arial" w:eastAsia="Arial" w:hAnsi="Arial"/>
                <w:sz w:val="14"/>
                <w:szCs w:val="14"/>
                <w:color w:val="auto"/>
                <w:w w:val="95"/>
              </w:rPr>
              <w:t>Unrealized</w:t>
            </w:r>
          </w:p>
        </w:tc>
        <w:tc>
          <w:tcPr>
            <w:tcW w:w="0" w:type="dxa"/>
            <w:vAlign w:val="bottom"/>
          </w:tcPr>
          <w:p>
            <w:pPr>
              <w:spacing w:after="0"/>
              <w:rPr>
                <w:sz w:val="1"/>
                <w:szCs w:val="1"/>
                <w:color w:val="auto"/>
              </w:rPr>
            </w:pPr>
          </w:p>
        </w:tc>
      </w:tr>
      <w:tr>
        <w:trPr>
          <w:trHeight w:val="178"/>
        </w:trPr>
        <w:tc>
          <w:tcPr>
            <w:tcW w:w="4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color w:val="auto"/>
                <w:w w:val="89"/>
              </w:rPr>
              <w:t>value</w:t>
            </w:r>
          </w:p>
        </w:tc>
        <w:tc>
          <w:tcPr>
            <w:tcW w:w="160" w:type="dxa"/>
            <w:vAlign w:val="bottom"/>
          </w:tcPr>
          <w:p>
            <w:pPr>
              <w:spacing w:after="0"/>
              <w:rPr>
                <w:sz w:val="15"/>
                <w:szCs w:val="15"/>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color w:val="auto"/>
                <w:w w:val="81"/>
              </w:rPr>
              <w:t>Losses</w:t>
            </w:r>
          </w:p>
        </w:tc>
        <w:tc>
          <w:tcPr>
            <w:tcW w:w="140" w:type="dxa"/>
            <w:vAlign w:val="bottom"/>
          </w:tcPr>
          <w:p>
            <w:pPr>
              <w:spacing w:after="0"/>
              <w:rPr>
                <w:sz w:val="15"/>
                <w:szCs w:val="15"/>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color w:val="auto"/>
                <w:w w:val="89"/>
              </w:rPr>
              <w:t>value</w:t>
            </w:r>
          </w:p>
        </w:tc>
        <w:tc>
          <w:tcPr>
            <w:tcW w:w="160" w:type="dxa"/>
            <w:vAlign w:val="bottom"/>
          </w:tcPr>
          <w:p>
            <w:pPr>
              <w:spacing w:after="0"/>
              <w:rPr>
                <w:sz w:val="15"/>
                <w:szCs w:val="15"/>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color w:val="auto"/>
                <w:w w:val="81"/>
              </w:rPr>
              <w:t>Losses</w:t>
            </w:r>
          </w:p>
        </w:tc>
        <w:tc>
          <w:tcPr>
            <w:tcW w:w="1380" w:type="dxa"/>
            <w:vAlign w:val="bottom"/>
            <w:gridSpan w:val="5"/>
            <w:vMerge w:val="continue"/>
          </w:tcPr>
          <w:p>
            <w:pPr>
              <w:spacing w:after="0"/>
              <w:rPr>
                <w:sz w:val="15"/>
                <w:szCs w:val="15"/>
                <w:color w:val="auto"/>
              </w:rPr>
            </w:pPr>
          </w:p>
        </w:tc>
        <w:tc>
          <w:tcPr>
            <w:tcW w:w="860" w:type="dxa"/>
            <w:vAlign w:val="bottom"/>
          </w:tcPr>
          <w:p>
            <w:pPr>
              <w:jc w:val="right"/>
              <w:ind w:right="240"/>
              <w:spacing w:after="0"/>
              <w:rPr>
                <w:sz w:val="20"/>
                <w:szCs w:val="20"/>
                <w:color w:val="auto"/>
              </w:rPr>
            </w:pPr>
            <w:r>
              <w:rPr>
                <w:rFonts w:ascii="Arial" w:cs="Arial" w:eastAsia="Arial" w:hAnsi="Arial"/>
                <w:sz w:val="14"/>
                <w:szCs w:val="14"/>
                <w:color w:val="auto"/>
              </w:rPr>
              <w:t>Losses</w:t>
            </w:r>
          </w:p>
        </w:tc>
        <w:tc>
          <w:tcPr>
            <w:tcW w:w="0" w:type="dxa"/>
            <w:vAlign w:val="bottom"/>
          </w:tcPr>
          <w:p>
            <w:pPr>
              <w:spacing w:after="0"/>
              <w:rPr>
                <w:sz w:val="1"/>
                <w:szCs w:val="1"/>
                <w:color w:val="auto"/>
              </w:rPr>
            </w:pPr>
          </w:p>
        </w:tc>
      </w:tr>
      <w:tr>
        <w:trPr>
          <w:trHeight w:val="202"/>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Fixed income securities:</w:t>
            </w: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80" w:type="dxa"/>
            <w:vAlign w:val="bottom"/>
          </w:tcPr>
          <w:p>
            <w:pPr>
              <w:ind w:left="220"/>
              <w:spacing w:after="0"/>
              <w:rPr>
                <w:sz w:val="20"/>
                <w:szCs w:val="20"/>
                <w:color w:val="auto"/>
              </w:rPr>
            </w:pPr>
            <w:r>
              <w:rPr>
                <w:rFonts w:ascii="Arial" w:cs="Arial" w:eastAsia="Arial" w:hAnsi="Arial"/>
                <w:sz w:val="17"/>
                <w:szCs w:val="17"/>
                <w:color w:val="auto"/>
              </w:rPr>
              <w:t>Foreign debt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2,736</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(270)</w:t>
            </w:r>
          </w:p>
        </w:tc>
        <w:tc>
          <w:tcPr>
            <w:tcW w:w="2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517</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(286)</w:t>
            </w:r>
          </w:p>
        </w:tc>
        <w:tc>
          <w:tcPr>
            <w:tcW w:w="22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3,253</w:t>
            </w:r>
          </w:p>
        </w:tc>
        <w:tc>
          <w:tcPr>
            <w:tcW w:w="44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(556)</w:t>
            </w:r>
          </w:p>
        </w:tc>
        <w:tc>
          <w:tcPr>
            <w:tcW w:w="0" w:type="dxa"/>
            <w:vAlign w:val="bottom"/>
          </w:tcPr>
          <w:p>
            <w:pPr>
              <w:spacing w:after="0"/>
              <w:rPr>
                <w:sz w:val="1"/>
                <w:szCs w:val="1"/>
                <w:color w:val="auto"/>
              </w:rPr>
            </w:pPr>
          </w:p>
        </w:tc>
      </w:tr>
      <w:tr>
        <w:trPr>
          <w:trHeight w:val="220"/>
        </w:trPr>
        <w:tc>
          <w:tcPr>
            <w:tcW w:w="4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Corporate debt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19"/>
        </w:trPr>
        <w:tc>
          <w:tcPr>
            <w:tcW w:w="40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Preferred stock</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2,726</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(265)</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2,754</w:t>
            </w: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w:t>
            </w:r>
          </w:p>
        </w:tc>
        <w:tc>
          <w:tcPr>
            <w:tcW w:w="0" w:type="dxa"/>
            <w:vAlign w:val="bottom"/>
          </w:tcPr>
          <w:p>
            <w:pPr>
              <w:spacing w:after="0"/>
              <w:rPr>
                <w:sz w:val="1"/>
                <w:szCs w:val="1"/>
                <w:color w:val="auto"/>
              </w:rPr>
            </w:pPr>
          </w:p>
        </w:tc>
      </w:tr>
      <w:tr>
        <w:trPr>
          <w:trHeight w:val="232"/>
        </w:trPr>
        <w:tc>
          <w:tcPr>
            <w:tcW w:w="4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fixed income securities with an unrealized loss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3,265</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3,243</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6,508</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(852)</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firstLine="387"/>
        <w:spacing w:after="0" w:line="276" w:lineRule="auto"/>
        <w:rPr>
          <w:sz w:val="20"/>
          <w:szCs w:val="20"/>
          <w:color w:val="auto"/>
        </w:rPr>
      </w:pPr>
      <w:r>
        <w:rPr>
          <w:rFonts w:ascii="Arial" w:cs="Arial" w:eastAsia="Arial" w:hAnsi="Arial"/>
          <w:sz w:val="17"/>
          <w:szCs w:val="17"/>
          <w:color w:val="auto"/>
        </w:rPr>
        <w:t>The following table summarized our fixed income securities (excluding mutual funds) within our perpetual care trust investment in an unrealized loss position at December 31, 2020, aggregated by major security type and length of time in a continuous unrealized loss position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5"/>
          </w:tcPr>
          <w:p>
            <w:pPr>
              <w:ind w:left="360"/>
              <w:spacing w:after="0"/>
              <w:rPr>
                <w:sz w:val="20"/>
                <w:szCs w:val="20"/>
                <w:color w:val="auto"/>
              </w:rPr>
            </w:pPr>
            <w:r>
              <w:rPr>
                <w:rFonts w:ascii="Arial" w:cs="Arial" w:eastAsia="Arial" w:hAnsi="Arial"/>
                <w:sz w:val="15"/>
                <w:szCs w:val="15"/>
                <w:b w:val="1"/>
                <w:bCs w:val="1"/>
                <w:color w:val="auto"/>
              </w:rPr>
              <w:t>December 31, 2020</w:t>
            </w:r>
          </w:p>
        </w:tc>
        <w:tc>
          <w:tcPr>
            <w:tcW w:w="3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4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gridSpan w:val="5"/>
          </w:tcPr>
          <w:p>
            <w:pPr>
              <w:ind w:left="40"/>
              <w:spacing w:after="0" w:line="151" w:lineRule="exact"/>
              <w:rPr>
                <w:sz w:val="20"/>
                <w:szCs w:val="20"/>
                <w:color w:val="auto"/>
              </w:rPr>
            </w:pPr>
            <w:r>
              <w:rPr>
                <w:rFonts w:ascii="Arial" w:cs="Arial" w:eastAsia="Arial" w:hAnsi="Arial"/>
                <w:sz w:val="15"/>
                <w:szCs w:val="15"/>
                <w:b w:val="1"/>
                <w:bCs w:val="1"/>
                <w:color w:val="auto"/>
              </w:rPr>
              <w:t>In Loss Position Less than 12</w:t>
            </w:r>
          </w:p>
        </w:tc>
        <w:tc>
          <w:tcPr>
            <w:tcW w:w="2440" w:type="dxa"/>
            <w:vAlign w:val="bottom"/>
            <w:gridSpan w:val="6"/>
          </w:tcPr>
          <w:p>
            <w:pPr>
              <w:ind w:left="40"/>
              <w:spacing w:after="0" w:line="151" w:lineRule="exact"/>
              <w:rPr>
                <w:sz w:val="20"/>
                <w:szCs w:val="20"/>
                <w:color w:val="auto"/>
              </w:rPr>
            </w:pPr>
            <w:r>
              <w:rPr>
                <w:rFonts w:ascii="Arial" w:cs="Arial" w:eastAsia="Arial" w:hAnsi="Arial"/>
                <w:sz w:val="15"/>
                <w:szCs w:val="15"/>
                <w:b w:val="1"/>
                <w:bCs w:val="1"/>
                <w:color w:val="auto"/>
              </w:rPr>
              <w:t>In Loss Position Greater than 12</w:t>
            </w: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gridSpan w:val="3"/>
            <w:vMerge w:val="restart"/>
          </w:tcPr>
          <w:p>
            <w:pPr>
              <w:jc w:val="right"/>
              <w:ind w:right="100"/>
              <w:spacing w:after="0"/>
              <w:rPr>
                <w:sz w:val="20"/>
                <w:szCs w:val="20"/>
                <w:color w:val="auto"/>
              </w:rPr>
            </w:pPr>
            <w:r>
              <w:rPr>
                <w:rFonts w:ascii="Arial" w:cs="Arial" w:eastAsia="Arial" w:hAnsi="Arial"/>
                <w:sz w:val="15"/>
                <w:szCs w:val="15"/>
                <w:b w:val="1"/>
                <w:bCs w:val="1"/>
                <w:color w:val="auto"/>
                <w:w w:val="89"/>
              </w:rPr>
              <w:t>Total</w:t>
            </w: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4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3"/>
            <w:vMerge w:val="restart"/>
          </w:tcPr>
          <w:p>
            <w:pPr>
              <w:jc w:val="right"/>
              <w:spacing w:after="0"/>
              <w:rPr>
                <w:sz w:val="20"/>
                <w:szCs w:val="20"/>
                <w:color w:val="auto"/>
              </w:rPr>
            </w:pPr>
            <w:r>
              <w:rPr>
                <w:rFonts w:ascii="Arial" w:cs="Arial" w:eastAsia="Arial" w:hAnsi="Arial"/>
                <w:sz w:val="15"/>
                <w:szCs w:val="15"/>
                <w:b w:val="1"/>
                <w:bCs w:val="1"/>
                <w:color w:val="auto"/>
              </w:rPr>
              <w:t>months</w:t>
            </w: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3"/>
            <w:vMerge w:val="restart"/>
          </w:tcPr>
          <w:p>
            <w:pPr>
              <w:jc w:val="right"/>
              <w:spacing w:after="0"/>
              <w:rPr>
                <w:sz w:val="20"/>
                <w:szCs w:val="20"/>
                <w:color w:val="auto"/>
              </w:rPr>
            </w:pPr>
            <w:r>
              <w:rPr>
                <w:rFonts w:ascii="Arial" w:cs="Arial" w:eastAsia="Arial" w:hAnsi="Arial"/>
                <w:sz w:val="15"/>
                <w:szCs w:val="15"/>
                <w:b w:val="1"/>
                <w:bCs w:val="1"/>
                <w:color w:val="auto"/>
              </w:rPr>
              <w:t>months</w:t>
            </w: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0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gridSpan w:val="3"/>
            <w:vMerge w:val="continue"/>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gridSpan w:val="3"/>
            <w:vMerge w:val="continue"/>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4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340"/>
              <w:spacing w:after="0" w:line="125" w:lineRule="exact"/>
              <w:rPr>
                <w:sz w:val="20"/>
                <w:szCs w:val="20"/>
                <w:color w:val="auto"/>
              </w:rPr>
            </w:pPr>
            <w:r>
              <w:rPr>
                <w:rFonts w:ascii="Arial" w:cs="Arial" w:eastAsia="Arial" w:hAnsi="Arial"/>
                <w:sz w:val="14"/>
                <w:szCs w:val="14"/>
                <w:color w:val="auto"/>
                <w:w w:val="90"/>
              </w:rPr>
              <w:t>Fair market</w:t>
            </w:r>
          </w:p>
        </w:tc>
        <w:tc>
          <w:tcPr>
            <w:tcW w:w="140" w:type="dxa"/>
            <w:vAlign w:val="bottom"/>
          </w:tcPr>
          <w:p>
            <w:pPr>
              <w:spacing w:after="0"/>
              <w:rPr>
                <w:sz w:val="10"/>
                <w:szCs w:val="10"/>
                <w:color w:val="auto"/>
              </w:rPr>
            </w:pPr>
          </w:p>
        </w:tc>
        <w:tc>
          <w:tcPr>
            <w:tcW w:w="860" w:type="dxa"/>
            <w:vAlign w:val="bottom"/>
          </w:tcPr>
          <w:p>
            <w:pPr>
              <w:jc w:val="center"/>
              <w:ind w:right="58"/>
              <w:spacing w:after="0" w:line="125" w:lineRule="exact"/>
              <w:rPr>
                <w:sz w:val="20"/>
                <w:szCs w:val="20"/>
                <w:color w:val="auto"/>
              </w:rPr>
            </w:pPr>
            <w:r>
              <w:rPr>
                <w:rFonts w:ascii="Arial" w:cs="Arial" w:eastAsia="Arial" w:hAnsi="Arial"/>
                <w:sz w:val="14"/>
                <w:szCs w:val="14"/>
                <w:color w:val="auto"/>
                <w:w w:val="89"/>
              </w:rPr>
              <w:t>Unrealized</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360"/>
              <w:spacing w:after="0" w:line="125" w:lineRule="exact"/>
              <w:rPr>
                <w:sz w:val="20"/>
                <w:szCs w:val="20"/>
                <w:color w:val="auto"/>
              </w:rPr>
            </w:pPr>
            <w:r>
              <w:rPr>
                <w:rFonts w:ascii="Arial" w:cs="Arial" w:eastAsia="Arial" w:hAnsi="Arial"/>
                <w:sz w:val="14"/>
                <w:szCs w:val="14"/>
                <w:color w:val="auto"/>
                <w:w w:val="90"/>
              </w:rPr>
              <w:t>Fair market</w:t>
            </w:r>
          </w:p>
        </w:tc>
        <w:tc>
          <w:tcPr>
            <w:tcW w:w="160" w:type="dxa"/>
            <w:vAlign w:val="bottom"/>
          </w:tcPr>
          <w:p>
            <w:pPr>
              <w:spacing w:after="0"/>
              <w:rPr>
                <w:sz w:val="10"/>
                <w:szCs w:val="10"/>
                <w:color w:val="auto"/>
              </w:rPr>
            </w:pPr>
          </w:p>
        </w:tc>
        <w:tc>
          <w:tcPr>
            <w:tcW w:w="840" w:type="dxa"/>
            <w:vAlign w:val="bottom"/>
          </w:tcPr>
          <w:p>
            <w:pPr>
              <w:jc w:val="center"/>
              <w:ind w:right="79"/>
              <w:spacing w:after="0" w:line="125" w:lineRule="exact"/>
              <w:rPr>
                <w:sz w:val="20"/>
                <w:szCs w:val="20"/>
                <w:color w:val="auto"/>
              </w:rPr>
            </w:pPr>
            <w:r>
              <w:rPr>
                <w:rFonts w:ascii="Arial" w:cs="Arial" w:eastAsia="Arial" w:hAnsi="Arial"/>
                <w:sz w:val="14"/>
                <w:szCs w:val="14"/>
                <w:color w:val="auto"/>
                <w:w w:val="89"/>
              </w:rPr>
              <w:t>Unrealized</w:t>
            </w:r>
          </w:p>
        </w:tc>
        <w:tc>
          <w:tcPr>
            <w:tcW w:w="220" w:type="dxa"/>
            <w:vAlign w:val="bottom"/>
          </w:tcPr>
          <w:p>
            <w:pPr>
              <w:spacing w:after="0"/>
              <w:rPr>
                <w:sz w:val="10"/>
                <w:szCs w:val="10"/>
                <w:color w:val="auto"/>
              </w:rPr>
            </w:pPr>
          </w:p>
        </w:tc>
        <w:tc>
          <w:tcPr>
            <w:tcW w:w="1380" w:type="dxa"/>
            <w:vAlign w:val="bottom"/>
            <w:gridSpan w:val="5"/>
            <w:vMerge w:val="restart"/>
          </w:tcPr>
          <w:p>
            <w:pPr>
              <w:ind w:left="20"/>
              <w:spacing w:after="0"/>
              <w:rPr>
                <w:sz w:val="20"/>
                <w:szCs w:val="20"/>
                <w:color w:val="auto"/>
              </w:rPr>
            </w:pPr>
            <w:r>
              <w:rPr>
                <w:rFonts w:ascii="Arial" w:cs="Arial" w:eastAsia="Arial" w:hAnsi="Arial"/>
                <w:sz w:val="14"/>
                <w:szCs w:val="14"/>
                <w:color w:val="auto"/>
              </w:rPr>
              <w:t>Fair market value</w:t>
            </w:r>
          </w:p>
        </w:tc>
        <w:tc>
          <w:tcPr>
            <w:tcW w:w="860" w:type="dxa"/>
            <w:vAlign w:val="bottom"/>
          </w:tcPr>
          <w:p>
            <w:pPr>
              <w:jc w:val="center"/>
              <w:ind w:right="79"/>
              <w:spacing w:after="0" w:line="125" w:lineRule="exact"/>
              <w:rPr>
                <w:sz w:val="20"/>
                <w:szCs w:val="20"/>
                <w:color w:val="auto"/>
              </w:rPr>
            </w:pPr>
            <w:r>
              <w:rPr>
                <w:rFonts w:ascii="Arial" w:cs="Arial" w:eastAsia="Arial" w:hAnsi="Arial"/>
                <w:sz w:val="14"/>
                <w:szCs w:val="14"/>
                <w:color w:val="auto"/>
                <w:w w:val="92"/>
              </w:rPr>
              <w:t>Unrealized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4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color w:val="auto"/>
                <w:w w:val="89"/>
              </w:rPr>
              <w:t>value</w:t>
            </w:r>
          </w:p>
        </w:tc>
        <w:tc>
          <w:tcPr>
            <w:tcW w:w="140" w:type="dxa"/>
            <w:vAlign w:val="bottom"/>
          </w:tcPr>
          <w:p>
            <w:pPr>
              <w:spacing w:after="0"/>
              <w:rPr>
                <w:sz w:val="15"/>
                <w:szCs w:val="15"/>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color w:val="auto"/>
                <w:w w:val="81"/>
              </w:rPr>
              <w:t>Losses</w:t>
            </w:r>
          </w:p>
        </w:tc>
        <w:tc>
          <w:tcPr>
            <w:tcW w:w="140" w:type="dxa"/>
            <w:vAlign w:val="bottom"/>
          </w:tcPr>
          <w:p>
            <w:pPr>
              <w:spacing w:after="0"/>
              <w:rPr>
                <w:sz w:val="15"/>
                <w:szCs w:val="15"/>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color w:val="auto"/>
                <w:w w:val="89"/>
              </w:rPr>
              <w:t>value</w:t>
            </w:r>
          </w:p>
        </w:tc>
        <w:tc>
          <w:tcPr>
            <w:tcW w:w="160" w:type="dxa"/>
            <w:vAlign w:val="bottom"/>
          </w:tcPr>
          <w:p>
            <w:pPr>
              <w:spacing w:after="0"/>
              <w:rPr>
                <w:sz w:val="15"/>
                <w:szCs w:val="15"/>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color w:val="auto"/>
                <w:w w:val="81"/>
              </w:rPr>
              <w:t>Losses</w:t>
            </w:r>
          </w:p>
        </w:tc>
        <w:tc>
          <w:tcPr>
            <w:tcW w:w="1380" w:type="dxa"/>
            <w:vAlign w:val="bottom"/>
            <w:gridSpan w:val="5"/>
            <w:vMerge w:val="continue"/>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color w:val="auto"/>
                <w:w w:val="85"/>
              </w:rPr>
              <w:t>Losses</w:t>
            </w:r>
          </w:p>
        </w:tc>
        <w:tc>
          <w:tcPr>
            <w:tcW w:w="0" w:type="dxa"/>
            <w:vAlign w:val="bottom"/>
          </w:tcPr>
          <w:p>
            <w:pPr>
              <w:spacing w:after="0"/>
              <w:rPr>
                <w:sz w:val="1"/>
                <w:szCs w:val="1"/>
                <w:color w:val="auto"/>
              </w:rPr>
            </w:pPr>
          </w:p>
        </w:tc>
      </w:tr>
      <w:tr>
        <w:trPr>
          <w:trHeight w:val="202"/>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Fixed income securities:</w:t>
            </w: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80" w:type="dxa"/>
            <w:vAlign w:val="bottom"/>
          </w:tcPr>
          <w:p>
            <w:pPr>
              <w:ind w:left="220"/>
              <w:spacing w:after="0"/>
              <w:rPr>
                <w:sz w:val="20"/>
                <w:szCs w:val="20"/>
                <w:color w:val="auto"/>
              </w:rPr>
            </w:pPr>
            <w:r>
              <w:rPr>
                <w:rFonts w:ascii="Arial" w:cs="Arial" w:eastAsia="Arial" w:hAnsi="Arial"/>
                <w:sz w:val="17"/>
                <w:szCs w:val="17"/>
                <w:color w:val="auto"/>
              </w:rPr>
              <w:t>Foreign debt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1,728</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(43)</w:t>
            </w:r>
          </w:p>
        </w:tc>
        <w:tc>
          <w:tcPr>
            <w:tcW w:w="2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312</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(539)</w:t>
            </w:r>
          </w:p>
        </w:tc>
        <w:tc>
          <w:tcPr>
            <w:tcW w:w="22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2,040</w:t>
            </w:r>
          </w:p>
        </w:tc>
        <w:tc>
          <w:tcPr>
            <w:tcW w:w="44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(582)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Corporate debt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592</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1,002</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80" w:type="dxa"/>
            <w:vAlign w:val="bottom"/>
          </w:tcPr>
          <w:p>
            <w:pPr>
              <w:ind w:left="220"/>
              <w:spacing w:after="0"/>
              <w:rPr>
                <w:sz w:val="20"/>
                <w:szCs w:val="20"/>
                <w:color w:val="auto"/>
              </w:rPr>
            </w:pPr>
            <w:r>
              <w:rPr>
                <w:rFonts w:ascii="Arial" w:cs="Arial" w:eastAsia="Arial" w:hAnsi="Arial"/>
                <w:sz w:val="17"/>
                <w:szCs w:val="17"/>
                <w:color w:val="auto"/>
              </w:rPr>
              <w:t>Preferred stock</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1,142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(191)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3,060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(164)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4,202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Mortgage-backed securities</w:t>
            </w: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6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80" w:type="dxa"/>
            <w:vAlign w:val="bottom"/>
          </w:tcPr>
          <w:p>
            <w:pPr>
              <w:ind w:left="20"/>
              <w:spacing w:after="0"/>
              <w:rPr>
                <w:sz w:val="20"/>
                <w:szCs w:val="20"/>
                <w:color w:val="auto"/>
              </w:rPr>
            </w:pPr>
            <w:r>
              <w:rPr>
                <w:rFonts w:ascii="Arial" w:cs="Arial" w:eastAsia="Arial" w:hAnsi="Arial"/>
                <w:sz w:val="17"/>
                <w:szCs w:val="17"/>
                <w:color w:val="auto"/>
              </w:rPr>
              <w:t>Total fixed income securities with an unrealized loss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3,462</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(308)</w:t>
            </w:r>
          </w:p>
        </w:tc>
        <w:tc>
          <w:tcPr>
            <w:tcW w:w="22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3,867</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(990)</w:t>
            </w:r>
          </w:p>
        </w:tc>
        <w:tc>
          <w:tcPr>
            <w:tcW w:w="22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7,329</w:t>
            </w:r>
          </w:p>
        </w:tc>
        <w:tc>
          <w:tcPr>
            <w:tcW w:w="44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(1,298)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7"/>
        </w:trPr>
        <w:tc>
          <w:tcPr>
            <w:tcW w:w="4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398"/>
              <w:spacing w:after="0"/>
              <w:rPr>
                <w:sz w:val="20"/>
                <w:szCs w:val="20"/>
                <w:color w:val="auto"/>
              </w:rPr>
            </w:pPr>
            <w:r>
              <w:rPr>
                <w:rFonts w:ascii="Arial" w:cs="Arial" w:eastAsia="Arial" w:hAnsi="Arial"/>
                <w:sz w:val="17"/>
                <w:szCs w:val="17"/>
                <w:color w:val="auto"/>
                <w:w w:val="90"/>
              </w:rPr>
              <w:t>- 24 -</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0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24" w:name="page25"/>
    <w:bookmarkEnd w:id="24"/>
    <w:p>
      <w:pPr>
        <w:ind w:left="400"/>
        <w:spacing w:after="0"/>
        <w:rPr>
          <w:sz w:val="20"/>
          <w:szCs w:val="20"/>
          <w:color w:val="auto"/>
        </w:rPr>
      </w:pPr>
      <w:r>
        <w:rPr>
          <w:rFonts w:ascii="Arial" w:cs="Arial" w:eastAsia="Arial" w:hAnsi="Arial"/>
          <w:sz w:val="16"/>
          <w:szCs w:val="16"/>
          <w:color w:val="auto"/>
        </w:rPr>
        <w:t xml:space="preserve">Perpetual care trust investment security transactions recorded in </w:t>
      </w:r>
      <w:r>
        <w:rPr>
          <w:rFonts w:ascii="Arial" w:cs="Arial" w:eastAsia="Arial" w:hAnsi="Arial"/>
          <w:sz w:val="16"/>
          <w:szCs w:val="16"/>
          <w:i w:val="1"/>
          <w:iCs w:val="1"/>
          <w:color w:val="auto"/>
        </w:rPr>
        <w:t>Other, net</w:t>
      </w:r>
      <w:r>
        <w:rPr>
          <w:rFonts w:ascii="Arial" w:cs="Arial" w:eastAsia="Arial" w:hAnsi="Arial"/>
          <w:sz w:val="16"/>
          <w:szCs w:val="16"/>
          <w:color w:val="auto"/>
        </w:rPr>
        <w:t xml:space="preserve"> on our Consolidated Statements of Operations are as follows (in thousands):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0" w:type="dxa"/>
            <w:vAlign w:val="bottom"/>
            <w:gridSpan w:val="5"/>
          </w:tcPr>
          <w:p>
            <w:pPr>
              <w:ind w:left="60"/>
              <w:spacing w:after="0"/>
              <w:rPr>
                <w:sz w:val="20"/>
                <w:szCs w:val="20"/>
                <w:color w:val="auto"/>
              </w:rPr>
            </w:pPr>
            <w:r>
              <w:rPr>
                <w:rFonts w:ascii="Arial" w:cs="Arial" w:eastAsia="Arial" w:hAnsi="Arial"/>
                <w:sz w:val="15"/>
                <w:szCs w:val="15"/>
                <w:b w:val="1"/>
                <w:bCs w:val="1"/>
                <w:color w:val="auto"/>
              </w:rPr>
              <w:t>Three months ended September 30,</w:t>
            </w:r>
          </w:p>
        </w:tc>
        <w:tc>
          <w:tcPr>
            <w:tcW w:w="160" w:type="dxa"/>
            <w:vAlign w:val="bottom"/>
          </w:tcPr>
          <w:p>
            <w:pPr>
              <w:spacing w:after="0"/>
              <w:rPr>
                <w:sz w:val="17"/>
                <w:szCs w:val="17"/>
                <w:color w:val="auto"/>
              </w:rPr>
            </w:pPr>
          </w:p>
        </w:tc>
        <w:tc>
          <w:tcPr>
            <w:tcW w:w="2540" w:type="dxa"/>
            <w:vAlign w:val="bottom"/>
            <w:gridSpan w:val="4"/>
          </w:tcPr>
          <w:p>
            <w:pPr>
              <w:jc w:val="right"/>
              <w:ind w:right="135"/>
              <w:spacing w:after="0"/>
              <w:rPr>
                <w:sz w:val="20"/>
                <w:szCs w:val="20"/>
                <w:color w:val="auto"/>
              </w:rPr>
            </w:pPr>
            <w:r>
              <w:rPr>
                <w:rFonts w:ascii="Arial" w:cs="Arial" w:eastAsia="Arial" w:hAnsi="Arial"/>
                <w:sz w:val="15"/>
                <w:szCs w:val="15"/>
                <w:b w:val="1"/>
                <w:bCs w:val="1"/>
                <w:color w:val="auto"/>
                <w:w w:val="93"/>
              </w:rPr>
              <w:t>Nine months ended September 30,</w:t>
            </w:r>
          </w:p>
        </w:tc>
      </w:tr>
      <w:tr>
        <w:trPr>
          <w:trHeight w:val="200"/>
        </w:trPr>
        <w:tc>
          <w:tcPr>
            <w:tcW w:w="55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160" w:type="dxa"/>
            <w:vAlign w:val="bottom"/>
            <w:tcBorders>
              <w:top w:val="single" w:sz="8" w:color="auto"/>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1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160" w:type="dxa"/>
            <w:vAlign w:val="bottom"/>
            <w:tcBorders>
              <w:top w:val="single" w:sz="8" w:color="auto"/>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r>
      <w:tr>
        <w:trPr>
          <w:trHeight w:val="215"/>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gains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773</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1,921</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2,224</w:t>
            </w:r>
          </w:p>
        </w:tc>
      </w:tr>
      <w:tr>
        <w:trPr>
          <w:trHeight w:val="219"/>
        </w:trPr>
        <w:tc>
          <w:tcPr>
            <w:tcW w:w="5580" w:type="dxa"/>
            <w:vAlign w:val="bottom"/>
          </w:tcPr>
          <w:p>
            <w:pPr>
              <w:ind w:left="20"/>
              <w:spacing w:after="0"/>
              <w:rPr>
                <w:sz w:val="20"/>
                <w:szCs w:val="20"/>
                <w:color w:val="auto"/>
              </w:rPr>
            </w:pPr>
            <w:r>
              <w:rPr>
                <w:rFonts w:ascii="Arial" w:cs="Arial" w:eastAsia="Arial" w:hAnsi="Arial"/>
                <w:sz w:val="17"/>
                <w:szCs w:val="17"/>
                <w:color w:val="auto"/>
              </w:rPr>
              <w:t>Realized losses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(249)</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(1,534)</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(942)</w:t>
            </w:r>
          </w:p>
        </w:tc>
      </w:tr>
      <w:tr>
        <w:trPr>
          <w:trHeight w:val="220"/>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Unrealized gains (losses), net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1,108</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(2,349)</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3,747</w:t>
            </w:r>
          </w:p>
        </w:tc>
      </w:tr>
      <w:tr>
        <w:trPr>
          <w:trHeight w:val="219"/>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change in Care trusts’ corpus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(1,632)</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2,821</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1,962</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(5,029)</w:t>
            </w:r>
          </w:p>
        </w:tc>
      </w:tr>
      <w:tr>
        <w:trPr>
          <w:trHeight w:val="232"/>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left="400"/>
        <w:spacing w:after="0"/>
        <w:rPr>
          <w:sz w:val="20"/>
          <w:szCs w:val="20"/>
          <w:color w:val="auto"/>
        </w:rPr>
      </w:pPr>
      <w:r>
        <w:rPr>
          <w:rFonts w:ascii="Arial" w:cs="Arial" w:eastAsia="Arial" w:hAnsi="Arial"/>
          <w:sz w:val="15"/>
          <w:szCs w:val="15"/>
          <w:color w:val="auto"/>
        </w:rPr>
        <w:t xml:space="preserve">Perpetual care trust investment security transactions recorded in </w:t>
      </w:r>
      <w:r>
        <w:rPr>
          <w:rFonts w:ascii="Arial" w:cs="Arial" w:eastAsia="Arial" w:hAnsi="Arial"/>
          <w:sz w:val="15"/>
          <w:szCs w:val="15"/>
          <w:i w:val="1"/>
          <w:iCs w:val="1"/>
          <w:color w:val="auto"/>
        </w:rPr>
        <w:t>Other revenue</w:t>
      </w:r>
      <w:r>
        <w:rPr>
          <w:rFonts w:ascii="Arial" w:cs="Arial" w:eastAsia="Arial" w:hAnsi="Arial"/>
          <w:sz w:val="15"/>
          <w:szCs w:val="15"/>
          <w:color w:val="auto"/>
        </w:rPr>
        <w:t xml:space="preserve"> on our Consolidated Statements of Operations are as follows (in thousands):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0" w:type="dxa"/>
            <w:vAlign w:val="bottom"/>
            <w:gridSpan w:val="7"/>
          </w:tcPr>
          <w:p>
            <w:pPr>
              <w:ind w:left="60"/>
              <w:spacing w:after="0"/>
              <w:rPr>
                <w:sz w:val="20"/>
                <w:szCs w:val="20"/>
                <w:color w:val="auto"/>
              </w:rPr>
            </w:pPr>
            <w:r>
              <w:rPr>
                <w:rFonts w:ascii="Arial" w:cs="Arial" w:eastAsia="Arial" w:hAnsi="Arial"/>
                <w:sz w:val="15"/>
                <w:szCs w:val="15"/>
                <w:b w:val="1"/>
                <w:bCs w:val="1"/>
                <w:color w:val="auto"/>
              </w:rPr>
              <w:t>Three months ended September 30,</w:t>
            </w:r>
          </w:p>
        </w:tc>
        <w:tc>
          <w:tcPr>
            <w:tcW w:w="160" w:type="dxa"/>
            <w:vAlign w:val="bottom"/>
          </w:tcPr>
          <w:p>
            <w:pPr>
              <w:spacing w:after="0"/>
              <w:rPr>
                <w:sz w:val="17"/>
                <w:szCs w:val="17"/>
                <w:color w:val="auto"/>
              </w:rPr>
            </w:pPr>
          </w:p>
        </w:tc>
        <w:tc>
          <w:tcPr>
            <w:tcW w:w="2540" w:type="dxa"/>
            <w:vAlign w:val="bottom"/>
            <w:gridSpan w:val="4"/>
          </w:tcPr>
          <w:p>
            <w:pPr>
              <w:jc w:val="right"/>
              <w:ind w:right="136"/>
              <w:spacing w:after="0"/>
              <w:rPr>
                <w:sz w:val="20"/>
                <w:szCs w:val="20"/>
                <w:color w:val="auto"/>
              </w:rPr>
            </w:pPr>
            <w:r>
              <w:rPr>
                <w:rFonts w:ascii="Arial" w:cs="Arial" w:eastAsia="Arial" w:hAnsi="Arial"/>
                <w:sz w:val="15"/>
                <w:szCs w:val="15"/>
                <w:b w:val="1"/>
                <w:bCs w:val="1"/>
                <w:color w:val="auto"/>
                <w:w w:val="93"/>
              </w:rPr>
              <w:t>Nine months ended September 30,</w:t>
            </w:r>
          </w:p>
        </w:tc>
      </w:tr>
      <w:tr>
        <w:trPr>
          <w:trHeight w:val="200"/>
        </w:trPr>
        <w:tc>
          <w:tcPr>
            <w:tcW w:w="55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60" w:type="dxa"/>
            <w:vAlign w:val="bottom"/>
            <w:tcBorders>
              <w:top w:val="single" w:sz="8" w:color="auto"/>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1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16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r>
      <w:tr>
        <w:trPr>
          <w:trHeight w:val="215"/>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2,531</w:t>
            </w:r>
          </w:p>
        </w:tc>
        <w:tc>
          <w:tcPr>
            <w:tcW w:w="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5,879</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8,104</w:t>
            </w:r>
          </w:p>
        </w:tc>
      </w:tr>
      <w:tr>
        <w:trPr>
          <w:trHeight w:val="219"/>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Realized gains (losses), net</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(278)</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(557)</w:t>
            </w:r>
          </w:p>
        </w:tc>
      </w:tr>
      <w:tr>
        <w:trPr>
          <w:trHeight w:val="232"/>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2,594</w:t>
            </w:r>
          </w:p>
        </w:tc>
        <w:tc>
          <w:tcPr>
            <w:tcW w:w="4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2,603</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5,932</w:t>
            </w:r>
          </w:p>
        </w:tc>
        <w:tc>
          <w:tcPr>
            <w:tcW w:w="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7,547</w:t>
            </w:r>
          </w:p>
        </w:tc>
      </w:tr>
      <w:tr>
        <w:trPr>
          <w:trHeight w:val="20"/>
        </w:trPr>
        <w:tc>
          <w:tcPr>
            <w:tcW w:w="55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58"/>
        </w:trPr>
        <w:tc>
          <w:tcPr>
            <w:tcW w:w="6940" w:type="dxa"/>
            <w:vAlign w:val="bottom"/>
            <w:gridSpan w:val="4"/>
          </w:tcPr>
          <w:p>
            <w:pPr>
              <w:ind w:left="400"/>
              <w:spacing w:after="0"/>
              <w:rPr>
                <w:sz w:val="20"/>
                <w:szCs w:val="20"/>
                <w:color w:val="auto"/>
              </w:rPr>
            </w:pPr>
            <w:r>
              <w:rPr>
                <w:rFonts w:ascii="Arial" w:cs="Arial" w:eastAsia="Arial" w:hAnsi="Arial"/>
                <w:sz w:val="17"/>
                <w:szCs w:val="17"/>
                <w:color w:val="auto"/>
                <w:w w:val="92"/>
              </w:rPr>
              <w:t>Purchases and sales of investments in the perpetual care trusts are as follows (in thousands):</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1"/>
        </w:trPr>
        <w:tc>
          <w:tcPr>
            <w:tcW w:w="5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0" w:type="dxa"/>
            <w:vAlign w:val="bottom"/>
            <w:gridSpan w:val="7"/>
          </w:tcPr>
          <w:p>
            <w:pPr>
              <w:ind w:left="60"/>
              <w:spacing w:after="0"/>
              <w:rPr>
                <w:sz w:val="20"/>
                <w:szCs w:val="20"/>
                <w:color w:val="auto"/>
              </w:rPr>
            </w:pPr>
            <w:r>
              <w:rPr>
                <w:rFonts w:ascii="Arial" w:cs="Arial" w:eastAsia="Arial" w:hAnsi="Arial"/>
                <w:sz w:val="15"/>
                <w:szCs w:val="15"/>
                <w:b w:val="1"/>
                <w:bCs w:val="1"/>
                <w:color w:val="auto"/>
              </w:rPr>
              <w:t>Three months ended September 30,</w:t>
            </w:r>
          </w:p>
        </w:tc>
        <w:tc>
          <w:tcPr>
            <w:tcW w:w="160" w:type="dxa"/>
            <w:vAlign w:val="bottom"/>
          </w:tcPr>
          <w:p>
            <w:pPr>
              <w:spacing w:after="0"/>
              <w:rPr>
                <w:sz w:val="20"/>
                <w:szCs w:val="20"/>
                <w:color w:val="auto"/>
              </w:rPr>
            </w:pPr>
          </w:p>
        </w:tc>
        <w:tc>
          <w:tcPr>
            <w:tcW w:w="2540" w:type="dxa"/>
            <w:vAlign w:val="bottom"/>
            <w:gridSpan w:val="4"/>
          </w:tcPr>
          <w:p>
            <w:pPr>
              <w:jc w:val="right"/>
              <w:ind w:right="136"/>
              <w:spacing w:after="0"/>
              <w:rPr>
                <w:sz w:val="20"/>
                <w:szCs w:val="20"/>
                <w:color w:val="auto"/>
              </w:rPr>
            </w:pPr>
            <w:r>
              <w:rPr>
                <w:rFonts w:ascii="Arial" w:cs="Arial" w:eastAsia="Arial" w:hAnsi="Arial"/>
                <w:sz w:val="15"/>
                <w:szCs w:val="15"/>
                <w:b w:val="1"/>
                <w:bCs w:val="1"/>
                <w:color w:val="auto"/>
                <w:w w:val="93"/>
              </w:rPr>
              <w:t>Nine months ended September 30,</w:t>
            </w:r>
          </w:p>
        </w:tc>
      </w:tr>
      <w:tr>
        <w:trPr>
          <w:trHeight w:val="200"/>
        </w:trPr>
        <w:tc>
          <w:tcPr>
            <w:tcW w:w="55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4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1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16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r>
      <w:tr>
        <w:trPr>
          <w:trHeight w:val="215"/>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(7,960)</w:t>
            </w:r>
          </w:p>
        </w:tc>
        <w:tc>
          <w:tcPr>
            <w:tcW w:w="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(33,638)</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(24,105)</w:t>
            </w:r>
          </w:p>
        </w:tc>
      </w:tr>
      <w:tr>
        <w:trPr>
          <w:trHeight w:val="218"/>
        </w:trPr>
        <w:tc>
          <w:tcPr>
            <w:tcW w:w="5580" w:type="dxa"/>
            <w:vAlign w:val="bottom"/>
          </w:tcPr>
          <w:p>
            <w:pPr>
              <w:ind w:left="20"/>
              <w:spacing w:after="0"/>
              <w:rPr>
                <w:sz w:val="20"/>
                <w:szCs w:val="20"/>
                <w:color w:val="auto"/>
              </w:rPr>
            </w:pPr>
            <w:r>
              <w:rPr>
                <w:rFonts w:ascii="Arial" w:cs="Arial" w:eastAsia="Arial" w:hAnsi="Arial"/>
                <w:sz w:val="17"/>
                <w:szCs w:val="17"/>
                <w:color w:val="auto"/>
              </w:rPr>
              <w:t>Sales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7,168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4,431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29,319</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23,695</w:t>
            </w:r>
          </w:p>
        </w:tc>
      </w:tr>
    </w:tbl>
    <w:p>
      <w:pPr>
        <w:spacing w:after="0" w:line="332" w:lineRule="exact"/>
        <w:rPr>
          <w:sz w:val="20"/>
          <w:szCs w:val="20"/>
          <w:color w:val="auto"/>
        </w:rPr>
      </w:pPr>
    </w:p>
    <w:p>
      <w:pPr>
        <w:ind w:left="620" w:hanging="617"/>
        <w:spacing w:after="0"/>
        <w:tabs>
          <w:tab w:leader="none" w:pos="62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RECEIVABLES FROM PRENEED FUNERAL TRUSTS</w:t>
      </w:r>
    </w:p>
    <w:p>
      <w:pPr>
        <w:spacing w:after="0" w:line="120"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Our receivables from preneed funeral trusts represent assets in trusts which are controlled and operated by third parties in which we do not have a controlling financial interest (less than 50%) in the trust assets. We account for these investments at cost. Receivables from preneed funeral trusts are as follows (in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2"/>
          </w:tcPr>
          <w:p>
            <w:pPr>
              <w:ind w:left="240"/>
              <w:spacing w:after="0"/>
              <w:rPr>
                <w:sz w:val="20"/>
                <w:szCs w:val="20"/>
                <w:color w:val="auto"/>
              </w:rPr>
            </w:pPr>
            <w:r>
              <w:rPr>
                <w:rFonts w:ascii="Arial" w:cs="Arial" w:eastAsia="Arial" w:hAnsi="Arial"/>
                <w:sz w:val="15"/>
                <w:szCs w:val="15"/>
                <w:b w:val="1"/>
                <w:bCs w:val="1"/>
                <w:color w:val="auto"/>
              </w:rPr>
              <w:t>December 31, 2020</w:t>
            </w:r>
          </w:p>
        </w:tc>
        <w:tc>
          <w:tcPr>
            <w:tcW w:w="3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b w:val="1"/>
                <w:bCs w:val="1"/>
                <w:color w:val="auto"/>
              </w:rPr>
              <w:t>September 30, 2021</w:t>
            </w:r>
          </w:p>
        </w:tc>
      </w:tr>
      <w:tr>
        <w:trPr>
          <w:trHeight w:val="215"/>
        </w:trPr>
        <w:tc>
          <w:tcPr>
            <w:tcW w:w="7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Preneed trust funeral funds, at cost</w:t>
            </w: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17,365</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19,243</w:t>
            </w:r>
          </w:p>
        </w:tc>
      </w:tr>
      <w:tr>
        <w:trPr>
          <w:trHeight w:val="219"/>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allowance for contract cancellation</w:t>
            </w: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(521)</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(578)</w:t>
            </w:r>
          </w:p>
        </w:tc>
      </w:tr>
      <w:tr>
        <w:trPr>
          <w:trHeight w:val="237"/>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Receivables from preneed funeral trusts, net</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16,844</w:t>
            </w: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18,665</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The following summary reflects the composition of the assets held in trust and controlled by third parties to satisfy our future obligations under preneed arrangements related to the preceding contracts at December 31, 2020 and September 30, 2021. The cost basis includes reinvested interest and dividends that have been earned on the trust assets. Fair value includes unrealized gains and losses on trust assets.</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composition of the preneed funeral trust funds at September 30, 2021 is as follows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40" w:type="dxa"/>
            <w:vAlign w:val="bottom"/>
            <w:gridSpan w:val="2"/>
          </w:tcPr>
          <w:p>
            <w:pPr>
              <w:ind w:left="460"/>
              <w:spacing w:after="0"/>
              <w:rPr>
                <w:sz w:val="20"/>
                <w:szCs w:val="20"/>
                <w:color w:val="auto"/>
              </w:rPr>
            </w:pPr>
            <w:r>
              <w:rPr>
                <w:rFonts w:ascii="Arial" w:cs="Arial" w:eastAsia="Arial" w:hAnsi="Arial"/>
                <w:sz w:val="15"/>
                <w:szCs w:val="15"/>
                <w:b w:val="1"/>
                <w:bCs w:val="1"/>
                <w:color w:val="auto"/>
              </w:rPr>
              <w:t>Historical</w:t>
            </w:r>
          </w:p>
        </w:tc>
        <w:tc>
          <w:tcPr>
            <w:tcW w:w="740" w:type="dxa"/>
            <w:vAlign w:val="bottom"/>
          </w:tcPr>
          <w:p>
            <w:pPr>
              <w:spacing w:after="0"/>
              <w:rPr>
                <w:sz w:val="15"/>
                <w:szCs w:val="15"/>
                <w:color w:val="auto"/>
              </w:rPr>
            </w:pPr>
          </w:p>
        </w:tc>
        <w:tc>
          <w:tcPr>
            <w:tcW w:w="1220" w:type="dxa"/>
            <w:vAlign w:val="bottom"/>
            <w:vMerge w:val="restart"/>
          </w:tcPr>
          <w:p>
            <w:pPr>
              <w:jc w:val="right"/>
              <w:ind w:right="175"/>
              <w:spacing w:after="0"/>
              <w:rPr>
                <w:sz w:val="20"/>
                <w:szCs w:val="20"/>
                <w:color w:val="auto"/>
              </w:rPr>
            </w:pPr>
            <w:r>
              <w:rPr>
                <w:rFonts w:ascii="Arial" w:cs="Arial" w:eastAsia="Arial" w:hAnsi="Arial"/>
                <w:sz w:val="15"/>
                <w:szCs w:val="15"/>
                <w:b w:val="1"/>
                <w:bCs w:val="1"/>
                <w:color w:val="auto"/>
              </w:rPr>
              <w:t>Fair Value</w:t>
            </w:r>
          </w:p>
        </w:tc>
        <w:tc>
          <w:tcPr>
            <w:tcW w:w="10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420" w:type="dxa"/>
            <w:vAlign w:val="bottom"/>
          </w:tcPr>
          <w:p>
            <w:pPr>
              <w:spacing w:after="0"/>
              <w:rPr>
                <w:sz w:val="17"/>
                <w:szCs w:val="17"/>
                <w:color w:val="auto"/>
              </w:rPr>
            </w:pPr>
          </w:p>
        </w:tc>
        <w:tc>
          <w:tcPr>
            <w:tcW w:w="338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76"/>
              <w:spacing w:after="0"/>
              <w:rPr>
                <w:sz w:val="20"/>
                <w:szCs w:val="20"/>
                <w:color w:val="auto"/>
              </w:rPr>
            </w:pPr>
            <w:r>
              <w:rPr>
                <w:rFonts w:ascii="Arial" w:cs="Arial" w:eastAsia="Arial" w:hAnsi="Arial"/>
                <w:sz w:val="15"/>
                <w:szCs w:val="15"/>
                <w:b w:val="1"/>
                <w:bCs w:val="1"/>
                <w:color w:val="auto"/>
                <w:w w:val="95"/>
              </w:rPr>
              <w:t>Cost Basis</w:t>
            </w:r>
          </w:p>
        </w:tc>
        <w:tc>
          <w:tcPr>
            <w:tcW w:w="22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420" w:type="dxa"/>
            <w:vAlign w:val="bottom"/>
          </w:tcPr>
          <w:p>
            <w:pPr>
              <w:spacing w:after="0"/>
              <w:rPr>
                <w:sz w:val="19"/>
                <w:szCs w:val="19"/>
                <w:color w:val="auto"/>
              </w:rPr>
            </w:pPr>
          </w:p>
        </w:tc>
        <w:tc>
          <w:tcPr>
            <w:tcW w:w="33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Cash and cash equivalents</w:t>
            </w: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5,460</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5,460</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420" w:type="dxa"/>
            <w:vAlign w:val="bottom"/>
          </w:tcPr>
          <w:p>
            <w:pPr>
              <w:spacing w:after="0"/>
              <w:rPr>
                <w:sz w:val="21"/>
                <w:szCs w:val="21"/>
                <w:color w:val="auto"/>
              </w:rPr>
            </w:pPr>
          </w:p>
        </w:tc>
        <w:tc>
          <w:tcPr>
            <w:tcW w:w="3380" w:type="dxa"/>
            <w:vAlign w:val="bottom"/>
          </w:tcPr>
          <w:p>
            <w:pPr>
              <w:ind w:left="400"/>
              <w:spacing w:after="0"/>
              <w:rPr>
                <w:sz w:val="20"/>
                <w:szCs w:val="20"/>
                <w:color w:val="auto"/>
              </w:rPr>
            </w:pPr>
            <w:r>
              <w:rPr>
                <w:rFonts w:ascii="Arial" w:cs="Arial" w:eastAsia="Arial" w:hAnsi="Arial"/>
                <w:sz w:val="17"/>
                <w:szCs w:val="17"/>
                <w:color w:val="auto"/>
              </w:rPr>
              <w:t>Fixed income investments</w:t>
            </w:r>
          </w:p>
        </w:tc>
        <w:tc>
          <w:tcPr>
            <w:tcW w:w="1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11,279</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11,279</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1420" w:type="dxa"/>
            <w:vAlign w:val="bottom"/>
          </w:tcPr>
          <w:p>
            <w:pPr>
              <w:spacing w:after="0"/>
              <w:rPr>
                <w:sz w:val="21"/>
                <w:szCs w:val="21"/>
                <w:color w:val="auto"/>
              </w:rPr>
            </w:pPr>
          </w:p>
        </w:tc>
        <w:tc>
          <w:tcPr>
            <w:tcW w:w="33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Mutual funds and common stocks</w:t>
            </w:r>
          </w:p>
        </w:tc>
        <w:tc>
          <w:tcPr>
            <w:tcW w:w="12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2,499</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2,598</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420" w:type="dxa"/>
            <w:vAlign w:val="bottom"/>
          </w:tcPr>
          <w:p>
            <w:pPr>
              <w:spacing w:after="0"/>
              <w:rPr>
                <w:sz w:val="21"/>
                <w:szCs w:val="21"/>
                <w:color w:val="auto"/>
              </w:rPr>
            </w:pPr>
          </w:p>
        </w:tc>
        <w:tc>
          <w:tcPr>
            <w:tcW w:w="3380" w:type="dxa"/>
            <w:vAlign w:val="bottom"/>
            <w:tcBorders>
              <w:bottom w:val="single" w:sz="8" w:color="CCEEFF"/>
            </w:tcBorders>
          </w:tcPr>
          <w:p>
            <w:pPr>
              <w:ind w:left="400"/>
              <w:spacing w:after="0"/>
              <w:rPr>
                <w:sz w:val="20"/>
                <w:szCs w:val="20"/>
                <w:color w:val="auto"/>
              </w:rPr>
            </w:pPr>
            <w:r>
              <w:rPr>
                <w:rFonts w:ascii="Arial" w:cs="Arial" w:eastAsia="Arial" w:hAnsi="Arial"/>
                <w:sz w:val="17"/>
                <w:szCs w:val="17"/>
                <w:color w:val="auto"/>
              </w:rPr>
              <w:t>Annuities</w:t>
            </w:r>
          </w:p>
        </w:tc>
        <w:tc>
          <w:tcPr>
            <w:tcW w:w="126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22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1420" w:type="dxa"/>
            <w:vAlign w:val="bottom"/>
          </w:tcPr>
          <w:p>
            <w:pPr>
              <w:spacing w:after="0"/>
              <w:rPr>
                <w:sz w:val="20"/>
                <w:szCs w:val="20"/>
                <w:color w:val="auto"/>
              </w:rPr>
            </w:pPr>
          </w:p>
        </w:tc>
        <w:tc>
          <w:tcPr>
            <w:tcW w:w="33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Total</w:t>
            </w: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19,243</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19,342</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ind w:right="154"/>
              <w:spacing w:after="0"/>
              <w:rPr>
                <w:sz w:val="20"/>
                <w:szCs w:val="20"/>
                <w:color w:val="auto"/>
              </w:rPr>
            </w:pPr>
            <w:r>
              <w:rPr>
                <w:rFonts w:ascii="Arial" w:cs="Arial" w:eastAsia="Arial" w:hAnsi="Arial"/>
                <w:sz w:val="17"/>
                <w:szCs w:val="17"/>
                <w:color w:val="auto"/>
              </w:rPr>
              <w:t>- 25 -</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14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420" w:type="dxa"/>
            <w:vAlign w:val="bottom"/>
            <w:tcBorders>
              <w:bottom w:val="single" w:sz="8" w:color="9A9A9A"/>
            </w:tcBorders>
          </w:tcPr>
          <w:p>
            <w:pPr>
              <w:spacing w:after="0"/>
              <w:rPr>
                <w:sz w:val="9"/>
                <w:szCs w:val="9"/>
                <w:color w:val="auto"/>
              </w:rPr>
            </w:pPr>
          </w:p>
        </w:tc>
        <w:tc>
          <w:tcPr>
            <w:tcW w:w="33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25" w:name="page26"/>
    <w:bookmarkEnd w:id="25"/>
    <w:p>
      <w:pPr>
        <w:ind w:left="400"/>
        <w:spacing w:after="0"/>
        <w:rPr>
          <w:sz w:val="20"/>
          <w:szCs w:val="20"/>
          <w:color w:val="auto"/>
        </w:rPr>
      </w:pPr>
      <w:r>
        <w:rPr>
          <w:rFonts w:ascii="Arial" w:cs="Arial" w:eastAsia="Arial" w:hAnsi="Arial"/>
          <w:sz w:val="17"/>
          <w:szCs w:val="17"/>
          <w:color w:val="auto"/>
        </w:rPr>
        <w:t>The composition of the preneed funeral trust funds at December 31, 2020 is as follows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gridSpan w:val="2"/>
          </w:tcPr>
          <w:p>
            <w:pPr>
              <w:ind w:left="280"/>
              <w:spacing w:after="0"/>
              <w:rPr>
                <w:sz w:val="20"/>
                <w:szCs w:val="20"/>
                <w:color w:val="auto"/>
              </w:rPr>
            </w:pPr>
            <w:r>
              <w:rPr>
                <w:rFonts w:ascii="Arial" w:cs="Arial" w:eastAsia="Arial" w:hAnsi="Arial"/>
                <w:sz w:val="15"/>
                <w:szCs w:val="15"/>
                <w:b w:val="1"/>
                <w:bCs w:val="1"/>
                <w:color w:val="auto"/>
              </w:rPr>
              <w:t>Historical</w:t>
            </w:r>
          </w:p>
        </w:tc>
        <w:tc>
          <w:tcPr>
            <w:tcW w:w="360" w:type="dxa"/>
            <w:vAlign w:val="bottom"/>
          </w:tcPr>
          <w:p>
            <w:pPr>
              <w:spacing w:after="0"/>
              <w:rPr>
                <w:sz w:val="14"/>
                <w:szCs w:val="14"/>
                <w:color w:val="auto"/>
              </w:rPr>
            </w:pPr>
          </w:p>
        </w:tc>
        <w:tc>
          <w:tcPr>
            <w:tcW w:w="1220" w:type="dxa"/>
            <w:vAlign w:val="bottom"/>
            <w:vMerge w:val="restart"/>
          </w:tcPr>
          <w:p>
            <w:pPr>
              <w:jc w:val="right"/>
              <w:ind w:right="175"/>
              <w:spacing w:after="0"/>
              <w:rPr>
                <w:sz w:val="20"/>
                <w:szCs w:val="20"/>
                <w:color w:val="auto"/>
              </w:rPr>
            </w:pPr>
            <w:r>
              <w:rPr>
                <w:rFonts w:ascii="Arial" w:cs="Arial" w:eastAsia="Arial" w:hAnsi="Arial"/>
                <w:sz w:val="15"/>
                <w:szCs w:val="15"/>
                <w:b w:val="1"/>
                <w:bCs w:val="1"/>
                <w:color w:val="auto"/>
              </w:rPr>
              <w:t>Fair Value</w:t>
            </w:r>
          </w:p>
        </w:tc>
        <w:tc>
          <w:tcPr>
            <w:tcW w:w="0" w:type="dxa"/>
            <w:vAlign w:val="bottom"/>
          </w:tcPr>
          <w:p>
            <w:pPr>
              <w:spacing w:after="0"/>
              <w:rPr>
                <w:sz w:val="1"/>
                <w:szCs w:val="1"/>
                <w:color w:val="auto"/>
              </w:rPr>
            </w:pPr>
          </w:p>
        </w:tc>
      </w:tr>
      <w:tr>
        <w:trPr>
          <w:trHeight w:val="204"/>
        </w:trPr>
        <w:tc>
          <w:tcPr>
            <w:tcW w:w="5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gridSpan w:val="2"/>
          </w:tcPr>
          <w:p>
            <w:pPr>
              <w:ind w:left="280"/>
              <w:spacing w:after="0"/>
              <w:rPr>
                <w:sz w:val="20"/>
                <w:szCs w:val="20"/>
                <w:color w:val="auto"/>
              </w:rPr>
            </w:pPr>
            <w:r>
              <w:rPr>
                <w:rFonts w:ascii="Arial" w:cs="Arial" w:eastAsia="Arial" w:hAnsi="Arial"/>
                <w:sz w:val="15"/>
                <w:szCs w:val="15"/>
                <w:b w:val="1"/>
                <w:bCs w:val="1"/>
                <w:color w:val="auto"/>
              </w:rPr>
              <w:t>Cost Basis</w:t>
            </w:r>
          </w:p>
        </w:tc>
        <w:tc>
          <w:tcPr>
            <w:tcW w:w="3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4,604</w:t>
            </w:r>
          </w:p>
        </w:tc>
        <w:tc>
          <w:tcPr>
            <w:tcW w:w="2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4,604</w:t>
            </w:r>
          </w:p>
        </w:tc>
        <w:tc>
          <w:tcPr>
            <w:tcW w:w="0" w:type="dxa"/>
            <w:vAlign w:val="bottom"/>
          </w:tcPr>
          <w:p>
            <w:pPr>
              <w:spacing w:after="0"/>
              <w:rPr>
                <w:sz w:val="1"/>
                <w:szCs w:val="1"/>
                <w:color w:val="auto"/>
              </w:rPr>
            </w:pPr>
          </w:p>
        </w:tc>
      </w:tr>
      <w:tr>
        <w:trPr>
          <w:trHeight w:val="244"/>
        </w:trPr>
        <w:tc>
          <w:tcPr>
            <w:tcW w:w="5400" w:type="dxa"/>
            <w:vAlign w:val="bottom"/>
          </w:tcPr>
          <w:p>
            <w:pPr>
              <w:ind w:left="20"/>
              <w:spacing w:after="0"/>
              <w:rPr>
                <w:sz w:val="20"/>
                <w:szCs w:val="20"/>
                <w:color w:val="auto"/>
              </w:rPr>
            </w:pPr>
            <w:r>
              <w:rPr>
                <w:rFonts w:ascii="Arial" w:cs="Arial" w:eastAsia="Arial" w:hAnsi="Arial"/>
                <w:sz w:val="17"/>
                <w:szCs w:val="17"/>
                <w:color w:val="auto"/>
              </w:rPr>
              <w:t>Fixed income investments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10,355</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10,355</w:t>
            </w:r>
          </w:p>
        </w:tc>
        <w:tc>
          <w:tcPr>
            <w:tcW w:w="0" w:type="dxa"/>
            <w:vAlign w:val="bottom"/>
          </w:tcPr>
          <w:p>
            <w:pPr>
              <w:spacing w:after="0"/>
              <w:rPr>
                <w:sz w:val="1"/>
                <w:szCs w:val="1"/>
                <w:color w:val="auto"/>
              </w:rPr>
            </w:pPr>
          </w:p>
        </w:tc>
      </w:tr>
      <w:tr>
        <w:trPr>
          <w:trHeight w:val="246"/>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Mutual funds and common stocks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2,402</w:t>
            </w:r>
          </w:p>
        </w:tc>
        <w:tc>
          <w:tcPr>
            <w:tcW w:w="2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2,569</w:t>
            </w:r>
          </w:p>
        </w:tc>
        <w:tc>
          <w:tcPr>
            <w:tcW w:w="0" w:type="dxa"/>
            <w:vAlign w:val="bottom"/>
          </w:tcPr>
          <w:p>
            <w:pPr>
              <w:spacing w:after="0"/>
              <w:rPr>
                <w:sz w:val="1"/>
                <w:szCs w:val="1"/>
                <w:color w:val="auto"/>
              </w:rPr>
            </w:pPr>
          </w:p>
        </w:tc>
      </w:tr>
      <w:tr>
        <w:trPr>
          <w:trHeight w:val="244"/>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Annuities</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2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37"/>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17,365</w:t>
            </w:r>
          </w:p>
        </w:tc>
        <w:tc>
          <w:tcPr>
            <w:tcW w:w="2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17,532</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0" w:lineRule="exact"/>
        <w:rPr>
          <w:sz w:val="20"/>
          <w:szCs w:val="20"/>
          <w:color w:val="auto"/>
        </w:rPr>
      </w:pPr>
    </w:p>
    <w:p>
      <w:pPr>
        <w:ind w:left="620" w:hanging="617"/>
        <w:spacing w:after="0"/>
        <w:tabs>
          <w:tab w:leader="none" w:pos="62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MEASUREMENTS</w:t>
      </w:r>
    </w:p>
    <w:p>
      <w:pPr>
        <w:spacing w:after="0" w:line="120"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6"/>
          <w:szCs w:val="16"/>
          <w:color w:val="auto"/>
        </w:rPr>
        <w:t>We evaluated our financial assets and liabilities for those financial assets and liabilities that met the criteria of the disclosure requirements and fair value framework. The carrying values of cash and cash equivalents, accounts receivable and accounts payable approximate the fair values of those instruments due to the short-term nature of the instruments. The fair values of our receivables on preneed cemetery contracts are impracticable to estimate because of the lack of a trading market and the diverse number of individual contracts with varying terms. Our acquisition debt and New Credit Facility (as defined in Note 10) and New Senior Notes (as defined in Note 11) are classified within Level 2 of the Fair Value Measurements hierarchy.</w:t>
      </w:r>
    </w:p>
    <w:p>
      <w:pPr>
        <w:spacing w:after="0" w:line="63"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color w:val="auto"/>
        </w:rPr>
        <w:t>At September 30, 2021, the carrying value and fair value of our New Credit Facility was $86.9 million. We believe that our New Credit Facility bears interest at a rate that approximates prevailing market rates for instruments with similar characteristics and therefore, the carrying value of our New Credit Facility approximates fair value. We estimate the fair value of our acquisition debt utilizing an income approach, which uses a present value calculation to discount payments based on current market rates as of the reporting date. At September 30, 2021, the carrying value of our acquisition debt was $5.1 million, which approximated its fair value. The fair value of our New Senior Notes was approximately $403.2 million at September 30, 2021 based on the last traded or broker quoted price.</w:t>
      </w:r>
    </w:p>
    <w:p>
      <w:pPr>
        <w:spacing w:after="0" w:line="81"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At December 31, 2020 and September 30, 2021, we did not have any assets that had fair values determined by Level 3 inputs and no liabilities measured at fair value.</w:t>
      </w:r>
    </w:p>
    <w:p>
      <w:pPr>
        <w:spacing w:after="0" w:line="60" w:lineRule="exact"/>
        <w:rPr>
          <w:sz w:val="20"/>
          <w:szCs w:val="20"/>
          <w:color w:val="auto"/>
        </w:rPr>
      </w:pPr>
    </w:p>
    <w:p>
      <w:pPr>
        <w:jc w:val="both"/>
        <w:ind w:firstLine="387"/>
        <w:spacing w:after="0" w:line="308" w:lineRule="auto"/>
        <w:rPr>
          <w:sz w:val="20"/>
          <w:szCs w:val="20"/>
          <w:color w:val="auto"/>
        </w:rPr>
      </w:pPr>
      <w:r>
        <w:rPr>
          <w:rFonts w:ascii="Arial" w:cs="Arial" w:eastAsia="Arial" w:hAnsi="Arial"/>
          <w:sz w:val="15"/>
          <w:szCs w:val="15"/>
          <w:color w:val="auto"/>
        </w:rPr>
        <w:t>We identified investments in fixed income securities, common stock and mutual funds presented within the preneed and perpetual care trust investments categories on our Consolidated Balance Sheet as having met the criteria for fair value measurement. Our receivables from preneed funeral trusts represent assets in trusts which are controlled and operated by third parties in which we do not have a controlling financial interest (less than 50%) in the trust assets. We account for these investments at cost. See Notes 6 and 7 to our Consolidated Financial Statements herein for the fair value hierarchy levels of our trust investments.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60" w:type="dxa"/>
            <w:vAlign w:val="bottom"/>
          </w:tcPr>
          <w:p>
            <w:pPr>
              <w:spacing w:after="0"/>
              <w:rPr>
                <w:sz w:val="20"/>
                <w:szCs w:val="20"/>
                <w:color w:val="auto"/>
              </w:rPr>
            </w:pPr>
            <w:r>
              <w:rPr>
                <w:rFonts w:ascii="Arial" w:cs="Arial" w:eastAsia="Arial" w:hAnsi="Arial"/>
                <w:sz w:val="17"/>
                <w:szCs w:val="17"/>
                <w:b w:val="1"/>
                <w:bCs w:val="1"/>
                <w:color w:val="auto"/>
              </w:rPr>
              <w:t>9.</w:t>
            </w:r>
          </w:p>
        </w:tc>
        <w:tc>
          <w:tcPr>
            <w:tcW w:w="7080" w:type="dxa"/>
            <w:vAlign w:val="bottom"/>
          </w:tcPr>
          <w:p>
            <w:pPr>
              <w:ind w:left="360"/>
              <w:spacing w:after="0"/>
              <w:rPr>
                <w:sz w:val="20"/>
                <w:szCs w:val="20"/>
                <w:color w:val="auto"/>
              </w:rPr>
            </w:pPr>
            <w:r>
              <w:rPr>
                <w:rFonts w:ascii="Arial" w:cs="Arial" w:eastAsia="Arial" w:hAnsi="Arial"/>
                <w:sz w:val="17"/>
                <w:szCs w:val="17"/>
                <w:b w:val="1"/>
                <w:bCs w:val="1"/>
                <w:color w:val="auto"/>
              </w:rPr>
              <w:t>INTANGIBLE AND OTHER NON-CURRENT ASSETS</w:t>
            </w:r>
          </w:p>
        </w:tc>
        <w:tc>
          <w:tcPr>
            <w:tcW w:w="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10"/>
        </w:trPr>
        <w:tc>
          <w:tcPr>
            <w:tcW w:w="260" w:type="dxa"/>
            <w:vAlign w:val="bottom"/>
          </w:tcPr>
          <w:p>
            <w:pPr>
              <w:spacing w:after="0"/>
              <w:rPr>
                <w:sz w:val="24"/>
                <w:szCs w:val="24"/>
                <w:color w:val="auto"/>
              </w:rPr>
            </w:pPr>
          </w:p>
        </w:tc>
        <w:tc>
          <w:tcPr>
            <w:tcW w:w="7080" w:type="dxa"/>
            <w:vAlign w:val="bottom"/>
          </w:tcPr>
          <w:p>
            <w:pPr>
              <w:ind w:left="140"/>
              <w:spacing w:after="0"/>
              <w:rPr>
                <w:sz w:val="20"/>
                <w:szCs w:val="20"/>
                <w:color w:val="auto"/>
              </w:rPr>
            </w:pPr>
            <w:r>
              <w:rPr>
                <w:rFonts w:ascii="Arial" w:cs="Arial" w:eastAsia="Arial" w:hAnsi="Arial"/>
                <w:sz w:val="17"/>
                <w:szCs w:val="17"/>
                <w:color w:val="auto"/>
              </w:rPr>
              <w:t>Intangible and other non-current assets are as follows (in thousands):</w:t>
            </w: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31"/>
        </w:trPr>
        <w:tc>
          <w:tcPr>
            <w:tcW w:w="26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gridSpan w:val="2"/>
          </w:tcPr>
          <w:p>
            <w:pPr>
              <w:ind w:left="220"/>
              <w:spacing w:after="0"/>
              <w:rPr>
                <w:sz w:val="20"/>
                <w:szCs w:val="20"/>
                <w:color w:val="auto"/>
              </w:rPr>
            </w:pPr>
            <w:r>
              <w:rPr>
                <w:rFonts w:ascii="Arial" w:cs="Arial" w:eastAsia="Arial" w:hAnsi="Arial"/>
                <w:sz w:val="15"/>
                <w:szCs w:val="15"/>
                <w:b w:val="1"/>
                <w:bCs w:val="1"/>
                <w:color w:val="auto"/>
              </w:rPr>
              <w:t>December 31, 2020</w:t>
            </w:r>
          </w:p>
        </w:tc>
        <w:tc>
          <w:tcPr>
            <w:tcW w:w="3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5"/>
                <w:szCs w:val="15"/>
                <w:b w:val="1"/>
                <w:bCs w:val="1"/>
                <w:color w:val="auto"/>
              </w:rPr>
              <w:t>September 30, 2021</w:t>
            </w:r>
          </w:p>
        </w:tc>
      </w:tr>
      <w:tr>
        <w:trPr>
          <w:trHeight w:val="215"/>
        </w:trPr>
        <w:tc>
          <w:tcPr>
            <w:tcW w:w="73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Tradenames</w:t>
            </w: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23,565</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23,565</w:t>
            </w:r>
          </w:p>
        </w:tc>
      </w:tr>
      <w:tr>
        <w:trPr>
          <w:trHeight w:val="219"/>
        </w:trPr>
        <w:tc>
          <w:tcPr>
            <w:tcW w:w="7340" w:type="dxa"/>
            <w:vAlign w:val="bottom"/>
            <w:gridSpan w:val="2"/>
          </w:tcPr>
          <w:p>
            <w:pPr>
              <w:ind w:left="20"/>
              <w:spacing w:after="0"/>
              <w:rPr>
                <w:sz w:val="20"/>
                <w:szCs w:val="20"/>
                <w:color w:val="auto"/>
              </w:rPr>
            </w:pPr>
            <w:r>
              <w:rPr>
                <w:rFonts w:ascii="Arial" w:cs="Arial" w:eastAsia="Arial" w:hAnsi="Arial"/>
                <w:sz w:val="17"/>
                <w:szCs w:val="17"/>
                <w:color w:val="auto"/>
                <w:w w:val="92"/>
              </w:rPr>
              <w:t>Prepaid agreements not-to-compete, net of accumulated amortization of $3,193 and $3,463, respectively</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2,785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2,364</w:t>
            </w:r>
          </w:p>
        </w:tc>
      </w:tr>
      <w:tr>
        <w:trPr>
          <w:trHeight w:val="169"/>
        </w:trPr>
        <w:tc>
          <w:tcPr>
            <w:tcW w:w="734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7"/>
                <w:szCs w:val="17"/>
                <w:color w:val="auto"/>
                <w:w w:val="94"/>
              </w:rPr>
              <w:t>Capitalized commissions on preneed contracts, net of accumulated amortization of $1,594 and $2,164,</w:t>
            </w:r>
          </w:p>
        </w:tc>
        <w:tc>
          <w:tcPr>
            <w:tcW w:w="3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line="169" w:lineRule="exact"/>
              <w:rPr>
                <w:sz w:val="20"/>
                <w:szCs w:val="20"/>
                <w:color w:val="auto"/>
              </w:rPr>
            </w:pPr>
            <w:r>
              <w:rPr>
                <w:rFonts w:ascii="Arial" w:cs="Arial" w:eastAsia="Arial" w:hAnsi="Arial"/>
                <w:sz w:val="17"/>
                <w:szCs w:val="17"/>
                <w:color w:val="auto"/>
              </w:rPr>
              <w:t>3,141</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line="169" w:lineRule="exact"/>
              <w:rPr>
                <w:sz w:val="20"/>
                <w:szCs w:val="20"/>
                <w:color w:val="auto"/>
              </w:rPr>
            </w:pPr>
            <w:r>
              <w:rPr>
                <w:rFonts w:ascii="Arial" w:cs="Arial" w:eastAsia="Arial" w:hAnsi="Arial"/>
                <w:sz w:val="17"/>
                <w:szCs w:val="17"/>
                <w:color w:val="auto"/>
              </w:rPr>
              <w:t>3,505</w:t>
            </w:r>
          </w:p>
        </w:tc>
      </w:tr>
      <w:tr>
        <w:trPr>
          <w:trHeight w:val="219"/>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respectively</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19"/>
        </w:trPr>
        <w:tc>
          <w:tcPr>
            <w:tcW w:w="73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r>
      <w:tr>
        <w:trPr>
          <w:trHeight w:val="237"/>
        </w:trPr>
        <w:tc>
          <w:tcPr>
            <w:tcW w:w="7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Intangible and other non-current assets, net</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29,542</w:t>
            </w:r>
          </w:p>
        </w:tc>
        <w:tc>
          <w:tcPr>
            <w:tcW w:w="2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29,437</w:t>
            </w: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7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Tradenames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tradenames have indefinite lives and therefore are not amortized.</w:t>
      </w:r>
    </w:p>
    <w:p>
      <w:pPr>
        <w:spacing w:after="0" w:line="114"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See Note 1 to the Consolidated Financial Statements included herein for a discussion of the methodology used for our indefinite-lived intangible asset impairment test.</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Prepaid Agreements</w:t>
      </w:r>
    </w:p>
    <w:p>
      <w:pPr>
        <w:spacing w:after="0" w:line="114"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 xml:space="preserve">Prepaid agreements not-to-compete are amortized over the term of the respective agreements, ranging generally from one to ten years. Amortization expense was $175,000 and $158,000 for the three months ended September 30, 2020 and 2021, respectively and $551,000 and $495,000 for the nine months ended September 30, 2020 </w:t>
      </w:r>
      <w:r>
        <w:rPr>
          <w:rFonts w:ascii="Arial" w:cs="Arial" w:eastAsia="Arial" w:hAnsi="Arial"/>
          <w:sz w:val="15"/>
          <w:szCs w:val="15"/>
          <w:color w:val="auto"/>
        </w:rPr>
        <w:t>and</w:t>
      </w:r>
      <w:r>
        <w:rPr>
          <w:rFonts w:ascii="Arial" w:cs="Arial" w:eastAsia="Arial" w:hAnsi="Arial"/>
          <w:sz w:val="17"/>
          <w:szCs w:val="17"/>
          <w:color w:val="auto"/>
        </w:rPr>
        <w:t xml:space="preserve"> 2021, respectively.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i w:val="1"/>
          <w:iCs w:val="1"/>
          <w:color w:val="auto"/>
        </w:rPr>
        <w:t>Capitalized Commissions</w:t>
      </w:r>
    </w:p>
    <w:p>
      <w:pPr>
        <w:spacing w:after="0" w:line="114"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We capitalize our selling costs related to preneed cemetery merchandise and services and preneed funeral trust contracts. These costs are amortized on a straight-line basis over the average maturity period for our preneed cemetery merchandise and services contracts and preneed funeral trust contracts, of eight and ten years, respectively. Amortization expense was $145,000 and $165,000 for the three months ended September 30, 2020 and 2021, respectively and $430,000 and $473,000 for the nine months ended September 30, 2020 and 2021, respectively.</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aggregate amortization expense for our non-compete agreements and capitalized commissions as of September 30, 2021 is as follows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2"/>
            <w:vMerge w:val="restart"/>
          </w:tcPr>
          <w:p>
            <w:pPr>
              <w:ind w:left="80"/>
              <w:spacing w:after="0"/>
              <w:rPr>
                <w:sz w:val="20"/>
                <w:szCs w:val="20"/>
                <w:color w:val="auto"/>
              </w:rPr>
            </w:pPr>
            <w:r>
              <w:rPr>
                <w:rFonts w:ascii="Arial" w:cs="Arial" w:eastAsia="Arial" w:hAnsi="Arial"/>
                <w:sz w:val="17"/>
                <w:szCs w:val="17"/>
                <w:b w:val="1"/>
                <w:bCs w:val="1"/>
                <w:color w:val="auto"/>
              </w:rPr>
              <w:t>Prepaid Agreements</w:t>
            </w:r>
          </w:p>
        </w:tc>
        <w:tc>
          <w:tcPr>
            <w:tcW w:w="4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Capitalized</w:t>
            </w:r>
          </w:p>
        </w:tc>
        <w:tc>
          <w:tcPr>
            <w:tcW w:w="0" w:type="dxa"/>
            <w:vAlign w:val="bottom"/>
          </w:tcPr>
          <w:p>
            <w:pPr>
              <w:spacing w:after="0"/>
              <w:rPr>
                <w:sz w:val="1"/>
                <w:szCs w:val="1"/>
                <w:color w:val="auto"/>
              </w:rPr>
            </w:pPr>
          </w:p>
        </w:tc>
      </w:tr>
      <w:tr>
        <w:trPr>
          <w:trHeight w:val="219"/>
        </w:trPr>
        <w:tc>
          <w:tcPr>
            <w:tcW w:w="7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Commissions</w:t>
            </w:r>
          </w:p>
        </w:tc>
        <w:tc>
          <w:tcPr>
            <w:tcW w:w="0" w:type="dxa"/>
            <w:vAlign w:val="bottom"/>
          </w:tcPr>
          <w:p>
            <w:pPr>
              <w:spacing w:after="0"/>
              <w:rPr>
                <w:sz w:val="1"/>
                <w:szCs w:val="1"/>
                <w:color w:val="auto"/>
              </w:rPr>
            </w:pPr>
          </w:p>
        </w:tc>
      </w:tr>
      <w:tr>
        <w:trPr>
          <w:trHeight w:val="199"/>
        </w:trPr>
        <w:tc>
          <w:tcPr>
            <w:tcW w:w="7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Years ending December 31,</w:t>
            </w:r>
          </w:p>
        </w:tc>
        <w:tc>
          <w:tcPr>
            <w:tcW w:w="20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420" w:type="dxa"/>
            <w:vAlign w:val="bottom"/>
          </w:tcPr>
          <w:p>
            <w:pPr>
              <w:ind w:left="120"/>
              <w:spacing w:after="0"/>
              <w:rPr>
                <w:sz w:val="20"/>
                <w:szCs w:val="20"/>
                <w:color w:val="auto"/>
              </w:rPr>
            </w:pPr>
            <w:r>
              <w:rPr>
                <w:rFonts w:ascii="Arial" w:cs="Arial" w:eastAsia="Arial" w:hAnsi="Arial"/>
                <w:sz w:val="17"/>
                <w:szCs w:val="17"/>
                <w:color w:val="auto"/>
              </w:rPr>
              <w:t>Remainder of 2021</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147</w:t>
            </w:r>
          </w:p>
        </w:tc>
        <w:tc>
          <w:tcPr>
            <w:tcW w:w="24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167</w:t>
            </w:r>
          </w:p>
        </w:tc>
        <w:tc>
          <w:tcPr>
            <w:tcW w:w="0" w:type="dxa"/>
            <w:vAlign w:val="bottom"/>
          </w:tcPr>
          <w:p>
            <w:pPr>
              <w:spacing w:after="0"/>
              <w:rPr>
                <w:sz w:val="1"/>
                <w:szCs w:val="1"/>
                <w:color w:val="auto"/>
              </w:rPr>
            </w:pPr>
          </w:p>
        </w:tc>
      </w:tr>
      <w:tr>
        <w:trPr>
          <w:trHeight w:val="220"/>
        </w:trPr>
        <w:tc>
          <w:tcPr>
            <w:tcW w:w="74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2022</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641</w:t>
            </w:r>
          </w:p>
        </w:tc>
        <w:tc>
          <w:tcPr>
            <w:tcW w:w="0" w:type="dxa"/>
            <w:vAlign w:val="bottom"/>
          </w:tcPr>
          <w:p>
            <w:pPr>
              <w:spacing w:after="0"/>
              <w:rPr>
                <w:sz w:val="1"/>
                <w:szCs w:val="1"/>
                <w:color w:val="auto"/>
              </w:rPr>
            </w:pPr>
          </w:p>
        </w:tc>
      </w:tr>
      <w:tr>
        <w:trPr>
          <w:trHeight w:val="219"/>
        </w:trPr>
        <w:tc>
          <w:tcPr>
            <w:tcW w:w="7420" w:type="dxa"/>
            <w:vAlign w:val="bottom"/>
          </w:tcPr>
          <w:p>
            <w:pPr>
              <w:ind w:left="120"/>
              <w:spacing w:after="0"/>
              <w:rPr>
                <w:sz w:val="20"/>
                <w:szCs w:val="20"/>
                <w:color w:val="auto"/>
              </w:rPr>
            </w:pPr>
            <w:r>
              <w:rPr>
                <w:rFonts w:ascii="Arial" w:cs="Arial" w:eastAsia="Arial" w:hAnsi="Arial"/>
                <w:sz w:val="17"/>
                <w:szCs w:val="17"/>
                <w:color w:val="auto"/>
              </w:rPr>
              <w:t>2023</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446</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585</w:t>
            </w:r>
          </w:p>
        </w:tc>
        <w:tc>
          <w:tcPr>
            <w:tcW w:w="0" w:type="dxa"/>
            <w:vAlign w:val="bottom"/>
          </w:tcPr>
          <w:p>
            <w:pPr>
              <w:spacing w:after="0"/>
              <w:rPr>
                <w:sz w:val="1"/>
                <w:szCs w:val="1"/>
                <w:color w:val="auto"/>
              </w:rPr>
            </w:pPr>
          </w:p>
        </w:tc>
      </w:tr>
      <w:tr>
        <w:trPr>
          <w:trHeight w:val="220"/>
        </w:trPr>
        <w:tc>
          <w:tcPr>
            <w:tcW w:w="74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2024</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w:t>
            </w:r>
          </w:p>
        </w:tc>
        <w:tc>
          <w:tcPr>
            <w:tcW w:w="0" w:type="dxa"/>
            <w:vAlign w:val="bottom"/>
          </w:tcPr>
          <w:p>
            <w:pPr>
              <w:spacing w:after="0"/>
              <w:rPr>
                <w:sz w:val="1"/>
                <w:szCs w:val="1"/>
                <w:color w:val="auto"/>
              </w:rPr>
            </w:pPr>
          </w:p>
        </w:tc>
      </w:tr>
      <w:tr>
        <w:trPr>
          <w:trHeight w:val="219"/>
        </w:trPr>
        <w:tc>
          <w:tcPr>
            <w:tcW w:w="7420" w:type="dxa"/>
            <w:vAlign w:val="bottom"/>
          </w:tcPr>
          <w:p>
            <w:pPr>
              <w:ind w:left="120"/>
              <w:spacing w:after="0"/>
              <w:rPr>
                <w:sz w:val="20"/>
                <w:szCs w:val="20"/>
                <w:color w:val="auto"/>
              </w:rPr>
            </w:pPr>
            <w:r>
              <w:rPr>
                <w:rFonts w:ascii="Arial" w:cs="Arial" w:eastAsia="Arial" w:hAnsi="Arial"/>
                <w:sz w:val="17"/>
                <w:szCs w:val="17"/>
                <w:color w:val="auto"/>
              </w:rPr>
              <w:t>2025</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373</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457</w:t>
            </w: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Thereafter</w:t>
            </w: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499</w:t>
            </w:r>
          </w:p>
        </w:tc>
        <w:tc>
          <w:tcPr>
            <w:tcW w:w="2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1,132</w:t>
            </w:r>
          </w:p>
        </w:tc>
        <w:tc>
          <w:tcPr>
            <w:tcW w:w="0" w:type="dxa"/>
            <w:vAlign w:val="bottom"/>
          </w:tcPr>
          <w:p>
            <w:pPr>
              <w:spacing w:after="0"/>
              <w:rPr>
                <w:sz w:val="1"/>
                <w:szCs w:val="1"/>
                <w:color w:val="auto"/>
              </w:rPr>
            </w:pPr>
          </w:p>
        </w:tc>
      </w:tr>
      <w:tr>
        <w:trPr>
          <w:trHeight w:val="213"/>
        </w:trPr>
        <w:tc>
          <w:tcPr>
            <w:tcW w:w="7420" w:type="dxa"/>
            <w:vAlign w:val="bottom"/>
          </w:tcPr>
          <w:p>
            <w:pPr>
              <w:ind w:left="20"/>
              <w:spacing w:after="0"/>
              <w:rPr>
                <w:sz w:val="20"/>
                <w:szCs w:val="20"/>
                <w:color w:val="auto"/>
              </w:rPr>
            </w:pPr>
            <w:r>
              <w:rPr>
                <w:rFonts w:ascii="Arial" w:cs="Arial" w:eastAsia="Arial" w:hAnsi="Arial"/>
                <w:sz w:val="17"/>
                <w:szCs w:val="17"/>
                <w:color w:val="auto"/>
              </w:rPr>
              <w:t>Total amortization expense</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2,364</w:t>
            </w:r>
          </w:p>
        </w:tc>
        <w:tc>
          <w:tcPr>
            <w:tcW w:w="24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3,505</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0" w:lineRule="exact"/>
        <w:rPr>
          <w:sz w:val="20"/>
          <w:szCs w:val="20"/>
          <w:color w:val="auto"/>
        </w:rPr>
      </w:pPr>
    </w:p>
    <w:p>
      <w:pPr>
        <w:ind w:left="620" w:hanging="617"/>
        <w:spacing w:after="0"/>
        <w:tabs>
          <w:tab w:leader="none" w:pos="62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CREDIT FACILITY AND ACQUISITION DEBT</w:t>
      </w:r>
    </w:p>
    <w:p>
      <w:pPr>
        <w:spacing w:after="0" w:line="120"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At December 31, 2020, our senior secured revolving credit facility (the “Former Credit Facility”) was comprised of: (i) a $190.0 million revolving credit facility, including a $15.0 million subfacility for letters of credit and a $10.0 million swingline, and (ii) an accordion or incremental option allowing for future increases in the facility size by an additional amount of up to $75.0 million in the form of increased revolving commitments or incremental term loans. The final maturity of the Former Credit Facility was to occur on May 31, 2023.</w:t>
      </w:r>
    </w:p>
    <w:p>
      <w:pPr>
        <w:spacing w:after="0" w:line="76" w:lineRule="exact"/>
        <w:rPr>
          <w:sz w:val="20"/>
          <w:szCs w:val="20"/>
          <w:color w:val="auto"/>
        </w:rPr>
      </w:pPr>
    </w:p>
    <w:p>
      <w:pPr>
        <w:jc w:val="both"/>
        <w:ind w:firstLine="387"/>
        <w:spacing w:after="0" w:line="283" w:lineRule="auto"/>
        <w:rPr>
          <w:sz w:val="20"/>
          <w:szCs w:val="20"/>
          <w:color w:val="auto"/>
        </w:rPr>
      </w:pPr>
      <w:r>
        <w:rPr>
          <w:rFonts w:ascii="Arial" w:cs="Arial" w:eastAsia="Arial" w:hAnsi="Arial"/>
          <w:sz w:val="16"/>
          <w:szCs w:val="16"/>
          <w:color w:val="auto"/>
        </w:rPr>
        <w:t>On May 13, 2021, in connection with the issuance of the New Senior Notes (defined in Note 11), we entered into an amended and restated $150.0 million senior secured revolving credit facility (the “New Credit Facility”) with the New Credit Facility Subsidiary Guarantors (as defined below), the financial institutions party thereto, as lenders, and Bank of America, N.A., as administrative agent. We incurred $0.8 million in transactions costs related to the New Credit Facility, which were capitalized and will be amortized over the remaining term of the related debt using the straight-line method.</w:t>
      </w:r>
    </w:p>
    <w:p>
      <w:pPr>
        <w:spacing w:after="0" w:line="61"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6"/>
          <w:szCs w:val="16"/>
          <w:color w:val="auto"/>
        </w:rPr>
        <w:t xml:space="preserve">On May 13, 2021, we used approximately $21.4 million of the availability under the New Credit Facility to repay the then outstanding balances under our Former Credit Facility and all commitments thereunder were terminated. In connection with the repayment in full of all amounts due thereunder, the Former Credit Facility was retired and $2.1 million of letters of credit previously issued under the Former Credit Facility were deemed issued under (and remain outstanding under) the New Credit Facility. In connection with the termination of the Former Credit Facility, for the nine months ended September 30, 2021, we recognized a loss on the write-off of $0.1 million in unamortized debt issuance costs, which was recorded in </w:t>
      </w:r>
      <w:r>
        <w:rPr>
          <w:rFonts w:ascii="Arial" w:cs="Arial" w:eastAsia="Arial" w:hAnsi="Arial"/>
          <w:sz w:val="16"/>
          <w:szCs w:val="16"/>
          <w:i w:val="1"/>
          <w:iCs w:val="1"/>
          <w:color w:val="auto"/>
        </w:rPr>
        <w:t>Loss on extinguishment of debt</w:t>
      </w:r>
      <w:r>
        <w:rPr>
          <w:rFonts w:ascii="Arial" w:cs="Arial" w:eastAsia="Arial" w:hAnsi="Arial"/>
          <w:sz w:val="16"/>
          <w:szCs w:val="16"/>
          <w:color w:val="auto"/>
        </w:rPr>
        <w:t>.</w:t>
      </w:r>
    </w:p>
    <w:p>
      <w:pPr>
        <w:spacing w:after="0" w:line="63" w:lineRule="exact"/>
        <w:rPr>
          <w:sz w:val="20"/>
          <w:szCs w:val="20"/>
          <w:color w:val="auto"/>
        </w:rPr>
      </w:pPr>
    </w:p>
    <w:p>
      <w:pPr>
        <w:jc w:val="both"/>
        <w:ind w:firstLine="387"/>
        <w:spacing w:after="0" w:line="283" w:lineRule="auto"/>
        <w:rPr>
          <w:sz w:val="20"/>
          <w:szCs w:val="20"/>
          <w:color w:val="auto"/>
        </w:rPr>
      </w:pPr>
      <w:r>
        <w:rPr>
          <w:rFonts w:ascii="Arial" w:cs="Arial" w:eastAsia="Arial" w:hAnsi="Arial"/>
          <w:sz w:val="16"/>
          <w:szCs w:val="16"/>
          <w:color w:val="auto"/>
        </w:rPr>
        <w:t>Our obligations under the New Credit Facility are unconditionally guaranteed on a joint and several basis by the same subsidiaries which guarantee the New Senior Notes and certain of our subsequently acquired or organized domestic subsidiaries (collectively, the “Subsidiary Guarantors”). The New Credit Facility allows for future increases in the facility size in the form of increased revolving commitments or new incremental term loans by an additional amount of up to $75.0 million in the aggregate. The final maturity of the New Credit Facility will occur on May 13, 2026.</w:t>
      </w:r>
    </w:p>
    <w:p>
      <w:pPr>
        <w:spacing w:after="0" w:line="61"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The New Credit Facility is secured by a first-priority perfected security interest in and lien on substantially all of the Company’s personal property assets and those of the Subsidiary Guarantors. In addition, the New Credit Facility includes provisions which require the Company and the Subsidiary Guarantors, upon the occurrence of an event of default or in the event the Company’s actual Total Leverage Ratio is not at least 0.25 less than the required Total Leverage Ratio covenant level under the New Credit Facility, to grant additional liens on real property assets accounting for no less than 50% of the Company’s and the Subsidiary Guarantors’ funeral operations if requested by the administrative agent.</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27" w:name="page28"/>
    <w:bookmarkEnd w:id="27"/>
    <w:p>
      <w:pPr>
        <w:jc w:val="both"/>
        <w:ind w:firstLine="387"/>
        <w:spacing w:after="0" w:line="266" w:lineRule="auto"/>
        <w:rPr>
          <w:sz w:val="20"/>
          <w:szCs w:val="20"/>
          <w:color w:val="auto"/>
        </w:rPr>
      </w:pPr>
      <w:r>
        <w:rPr>
          <w:rFonts w:ascii="Arial" w:cs="Arial" w:eastAsia="Arial" w:hAnsi="Arial"/>
          <w:sz w:val="17"/>
          <w:szCs w:val="17"/>
          <w:color w:val="auto"/>
        </w:rPr>
        <w:t>The New Credit Facility contains customary affirmative covenants, including, but not limited to, covenants with respect to the use of proceeds, payment of taxes and other obligations, continuation of the Company’s business and the maintenance of existing rights and privileges, the maintenance of property and insurance, amongst others.</w:t>
      </w:r>
    </w:p>
    <w:p>
      <w:pPr>
        <w:spacing w:after="0" w:line="73"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color w:val="auto"/>
        </w:rPr>
        <w:t>In addition, the New Credit Facility also contains customary negative covenants, including, but not limited to, covenants that restrict (subject to certain exceptions) the ability of the Company and the Subsidiary Guarantors to incur indebtedness, grant liens, make investments, engage in mergers and acquisitions, and pay dividends and other restricted payments, and certain financial maintenance covenants. At September 30, 2021, we were subject to the following financial covenants under our New Credit Facility: (A) a Total Leverage Ratio not to exceed 5.00 to 1.00 and (B) a Fixed Charge Coverage Ratio (as defined in the New Credit Facility) of not less than 1.20 to 1.00 as of the end of any period of four consecutive fiscal quarters. These financial maintenance covenants are calculated for the Company and its subsidiaries on a consolidated basis.</w:t>
      </w:r>
    </w:p>
    <w:p>
      <w:pPr>
        <w:spacing w:after="0" w:line="8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were in compliance with all of the covenants contained in our New Credit Facility as of September 30, 2021.</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Credit Facility and Acquisition debt consisted of the following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gridSpan w:val="2"/>
          </w:tcPr>
          <w:p>
            <w:pPr>
              <w:ind w:left="220"/>
              <w:spacing w:after="0"/>
              <w:rPr>
                <w:sz w:val="20"/>
                <w:szCs w:val="20"/>
                <w:color w:val="auto"/>
              </w:rPr>
            </w:pPr>
            <w:r>
              <w:rPr>
                <w:rFonts w:ascii="Arial" w:cs="Arial" w:eastAsia="Arial" w:hAnsi="Arial"/>
                <w:sz w:val="15"/>
                <w:szCs w:val="15"/>
                <w:b w:val="1"/>
                <w:bCs w:val="1"/>
                <w:color w:val="auto"/>
              </w:rPr>
              <w:t>December 31, 2020</w:t>
            </w: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b w:val="1"/>
                <w:bCs w:val="1"/>
                <w:color w:val="auto"/>
              </w:rPr>
              <w:t>September 30, 2021</w:t>
            </w:r>
          </w:p>
        </w:tc>
      </w:tr>
      <w:tr>
        <w:trPr>
          <w:trHeight w:val="215"/>
        </w:trPr>
        <w:tc>
          <w:tcPr>
            <w:tcW w:w="7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Credit Facility</w:t>
            </w: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47,200</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86,900</w:t>
            </w:r>
          </w:p>
        </w:tc>
      </w:tr>
      <w:tr>
        <w:trPr>
          <w:trHeight w:val="219"/>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Debt issuance costs, net of accumulated amortization of $819 and $1,242, respectively</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(1,136)</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(1,482)</w:t>
            </w:r>
          </w:p>
        </w:tc>
      </w:tr>
      <w:tr>
        <w:trPr>
          <w:trHeight w:val="237"/>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Credit Facility</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46,064</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85,418</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140"/>
        </w:trPr>
        <w:tc>
          <w:tcPr>
            <w:tcW w:w="7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219"/>
        </w:trPr>
        <w:tc>
          <w:tcPr>
            <w:tcW w:w="7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Acquisition debt</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5,509</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5,089</w:t>
            </w:r>
          </w:p>
        </w:tc>
      </w:tr>
      <w:tr>
        <w:trPr>
          <w:trHeight w:val="219"/>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current portion</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(1,027)</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(730)</w:t>
            </w:r>
          </w:p>
        </w:tc>
      </w:tr>
      <w:tr>
        <w:trPr>
          <w:trHeight w:val="237"/>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acquisition debt, net of current portion</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4,482</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4,359</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At September 30, 2021, we had outstanding borrowings under the New Credit Facility of $86.9 million. We also had one letter of credit for $2.1 million under the New Credit Facility, which was increased to $2.3 million on September 1, 2021. The letter of credit will expire on November 26, 2021 and is expected to automatically renew annually and secures our obligations under our various self-insured policies. At September 30, 2021, we had $60.8 million of availability under the New Credit Facility.</w:t>
      </w:r>
    </w:p>
    <w:p>
      <w:pPr>
        <w:spacing w:after="0" w:line="76" w:lineRule="exact"/>
        <w:rPr>
          <w:sz w:val="20"/>
          <w:szCs w:val="20"/>
          <w:color w:val="auto"/>
        </w:rPr>
      </w:pPr>
    </w:p>
    <w:p>
      <w:pPr>
        <w:jc w:val="both"/>
        <w:ind w:firstLine="387"/>
        <w:spacing w:after="0" w:line="283" w:lineRule="auto"/>
        <w:rPr>
          <w:sz w:val="20"/>
          <w:szCs w:val="20"/>
          <w:color w:val="auto"/>
        </w:rPr>
      </w:pPr>
      <w:r>
        <w:rPr>
          <w:rFonts w:ascii="Arial" w:cs="Arial" w:eastAsia="Arial" w:hAnsi="Arial"/>
          <w:sz w:val="16"/>
          <w:szCs w:val="16"/>
          <w:color w:val="auto"/>
        </w:rPr>
        <w:t>Outstanding borrowings under our New Credit Facility bear interest at either a prime rate or a LIBOR rate, plus an applicable margin based upon our leverage ratio. At September 30, 2021, the prime rate margin was equivalent to 0.75% and the LIBOR rate margin was 1.75%. The weighted average interest rate on our New Credit Facility was 2.0% and 2.5% for the three and nine months ended September 30, 2021, respectively. The weighted average interest rate on our Former Credit Facility was 3.9% and 4.0% for the three and nine months ended September 30, 2020, respectively.</w:t>
      </w:r>
    </w:p>
    <w:p>
      <w:pPr>
        <w:spacing w:after="0" w:line="6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interest expense and amortization of debt issuance costs related to our Credit Facility are as follows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0" w:type="dxa"/>
            <w:vAlign w:val="bottom"/>
            <w:gridSpan w:val="5"/>
          </w:tcPr>
          <w:p>
            <w:pPr>
              <w:ind w:left="60"/>
              <w:spacing w:after="0"/>
              <w:rPr>
                <w:sz w:val="20"/>
                <w:szCs w:val="20"/>
                <w:color w:val="auto"/>
              </w:rPr>
            </w:pPr>
            <w:r>
              <w:rPr>
                <w:rFonts w:ascii="Arial" w:cs="Arial" w:eastAsia="Arial" w:hAnsi="Arial"/>
                <w:sz w:val="15"/>
                <w:szCs w:val="15"/>
                <w:b w:val="1"/>
                <w:bCs w:val="1"/>
                <w:color w:val="auto"/>
              </w:rPr>
              <w:t>Three months ended September 30,</w:t>
            </w:r>
          </w:p>
        </w:tc>
        <w:tc>
          <w:tcPr>
            <w:tcW w:w="160" w:type="dxa"/>
            <w:vAlign w:val="bottom"/>
          </w:tcPr>
          <w:p>
            <w:pPr>
              <w:spacing w:after="0"/>
              <w:rPr>
                <w:sz w:val="17"/>
                <w:szCs w:val="17"/>
                <w:color w:val="auto"/>
              </w:rPr>
            </w:pPr>
          </w:p>
        </w:tc>
        <w:tc>
          <w:tcPr>
            <w:tcW w:w="2540" w:type="dxa"/>
            <w:vAlign w:val="bottom"/>
            <w:gridSpan w:val="4"/>
          </w:tcPr>
          <w:p>
            <w:pPr>
              <w:jc w:val="right"/>
              <w:ind w:right="137"/>
              <w:spacing w:after="0"/>
              <w:rPr>
                <w:sz w:val="20"/>
                <w:szCs w:val="20"/>
                <w:color w:val="auto"/>
              </w:rPr>
            </w:pPr>
            <w:r>
              <w:rPr>
                <w:rFonts w:ascii="Arial" w:cs="Arial" w:eastAsia="Arial" w:hAnsi="Arial"/>
                <w:sz w:val="15"/>
                <w:szCs w:val="15"/>
                <w:b w:val="1"/>
                <w:bCs w:val="1"/>
                <w:color w:val="auto"/>
                <w:w w:val="93"/>
              </w:rPr>
              <w:t>Nine months ended September 30,</w:t>
            </w:r>
          </w:p>
        </w:tc>
      </w:tr>
      <w:tr>
        <w:trPr>
          <w:trHeight w:val="200"/>
        </w:trPr>
        <w:tc>
          <w:tcPr>
            <w:tcW w:w="55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5"/>
                <w:szCs w:val="15"/>
                <w:b w:val="1"/>
                <w:bCs w:val="1"/>
                <w:color w:val="auto"/>
                <w:w w:val="95"/>
              </w:rPr>
              <w:t>2020</w:t>
            </w:r>
          </w:p>
        </w:tc>
        <w:tc>
          <w:tcPr>
            <w:tcW w:w="160" w:type="dxa"/>
            <w:vAlign w:val="bottom"/>
            <w:tcBorders>
              <w:top w:val="single" w:sz="8" w:color="auto"/>
              <w:bottom w:val="single" w:sz="8" w:color="CCEEFF"/>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1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160" w:type="dxa"/>
            <w:vAlign w:val="bottom"/>
            <w:tcBorders>
              <w:top w:val="single" w:sz="8" w:color="auto"/>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r>
      <w:tr>
        <w:trPr>
          <w:trHeight w:val="215"/>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Credit Facility interest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ind w:left="820"/>
              <w:spacing w:after="0"/>
              <w:rPr>
                <w:sz w:val="20"/>
                <w:szCs w:val="20"/>
                <w:color w:val="auto"/>
              </w:rPr>
            </w:pPr>
            <w:r>
              <w:rPr>
                <w:rFonts w:ascii="Arial" w:cs="Arial" w:eastAsia="Arial" w:hAnsi="Arial"/>
                <w:sz w:val="17"/>
                <w:szCs w:val="17"/>
                <w:color w:val="auto"/>
              </w:rPr>
              <w:t>828</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3,164</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w:t>
            </w:r>
          </w:p>
        </w:tc>
      </w:tr>
      <w:tr>
        <w:trPr>
          <w:trHeight w:val="218"/>
        </w:trPr>
        <w:tc>
          <w:tcPr>
            <w:tcW w:w="5580" w:type="dxa"/>
            <w:vAlign w:val="bottom"/>
          </w:tcPr>
          <w:p>
            <w:pPr>
              <w:ind w:left="20"/>
              <w:spacing w:after="0"/>
              <w:rPr>
                <w:sz w:val="20"/>
                <w:szCs w:val="20"/>
                <w:color w:val="auto"/>
              </w:rPr>
            </w:pPr>
            <w:r>
              <w:rPr>
                <w:rFonts w:ascii="Arial" w:cs="Arial" w:eastAsia="Arial" w:hAnsi="Arial"/>
                <w:sz w:val="17"/>
                <w:szCs w:val="17"/>
                <w:color w:val="auto"/>
              </w:rPr>
              <w:t>Credit Facility amortization of debt issuance costs</w:t>
            </w:r>
          </w:p>
        </w:tc>
        <w:tc>
          <w:tcPr>
            <w:tcW w:w="160" w:type="dxa"/>
            <w:vAlign w:val="bottom"/>
          </w:tcPr>
          <w:p>
            <w:pPr>
              <w:spacing w:after="0"/>
              <w:rPr>
                <w:sz w:val="18"/>
                <w:szCs w:val="18"/>
                <w:color w:val="auto"/>
              </w:rPr>
            </w:pPr>
          </w:p>
        </w:tc>
        <w:tc>
          <w:tcPr>
            <w:tcW w:w="1160" w:type="dxa"/>
            <w:vAlign w:val="bottom"/>
          </w:tcPr>
          <w:p>
            <w:pPr>
              <w:ind w:left="840"/>
              <w:spacing w:after="0"/>
              <w:rPr>
                <w:sz w:val="20"/>
                <w:szCs w:val="20"/>
                <w:color w:val="auto"/>
              </w:rPr>
            </w:pPr>
            <w:r>
              <w:rPr>
                <w:rFonts w:ascii="Arial" w:cs="Arial" w:eastAsia="Arial" w:hAnsi="Arial"/>
                <w:sz w:val="17"/>
                <w:szCs w:val="17"/>
                <w:color w:val="auto"/>
              </w:rPr>
              <w:t>118</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363</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297</w:t>
            </w:r>
          </w:p>
        </w:tc>
      </w:tr>
    </w:tbl>
    <w:p>
      <w:pPr>
        <w:spacing w:after="0" w:line="170"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Acquisition debt consists of deferred purchase price and promissory notes payable to sellers. A majority of the deferred purchase price and notes bear no interest and are discounted at imputed interest rates ranging from 7.3% to 10.0%. Original maturities range from five to twenty years.</w:t>
      </w:r>
    </w:p>
    <w:p>
      <w:pPr>
        <w:spacing w:after="0" w:line="6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imputed interest expense related to our acquisition debt is as follows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0" w:type="dxa"/>
            <w:vAlign w:val="bottom"/>
            <w:gridSpan w:val="5"/>
          </w:tcPr>
          <w:p>
            <w:pPr>
              <w:ind w:left="60"/>
              <w:spacing w:after="0"/>
              <w:rPr>
                <w:sz w:val="20"/>
                <w:szCs w:val="20"/>
                <w:color w:val="auto"/>
              </w:rPr>
            </w:pPr>
            <w:r>
              <w:rPr>
                <w:rFonts w:ascii="Arial" w:cs="Arial" w:eastAsia="Arial" w:hAnsi="Arial"/>
                <w:sz w:val="15"/>
                <w:szCs w:val="15"/>
                <w:b w:val="1"/>
                <w:bCs w:val="1"/>
                <w:color w:val="auto"/>
              </w:rPr>
              <w:t>Three months ended September 30,</w:t>
            </w:r>
          </w:p>
        </w:tc>
        <w:tc>
          <w:tcPr>
            <w:tcW w:w="160" w:type="dxa"/>
            <w:vAlign w:val="bottom"/>
          </w:tcPr>
          <w:p>
            <w:pPr>
              <w:spacing w:after="0"/>
              <w:rPr>
                <w:sz w:val="17"/>
                <w:szCs w:val="17"/>
                <w:color w:val="auto"/>
              </w:rPr>
            </w:pPr>
          </w:p>
        </w:tc>
        <w:tc>
          <w:tcPr>
            <w:tcW w:w="2540" w:type="dxa"/>
            <w:vAlign w:val="bottom"/>
            <w:gridSpan w:val="4"/>
          </w:tcPr>
          <w:p>
            <w:pPr>
              <w:ind w:left="60"/>
              <w:spacing w:after="0"/>
              <w:rPr>
                <w:sz w:val="20"/>
                <w:szCs w:val="20"/>
                <w:color w:val="auto"/>
              </w:rPr>
            </w:pPr>
            <w:r>
              <w:rPr>
                <w:rFonts w:ascii="Arial" w:cs="Arial" w:eastAsia="Arial" w:hAnsi="Arial"/>
                <w:sz w:val="15"/>
                <w:szCs w:val="15"/>
                <w:b w:val="1"/>
                <w:bCs w:val="1"/>
                <w:color w:val="auto"/>
              </w:rPr>
              <w:t>Nine months ended September 30,</w:t>
            </w:r>
          </w:p>
        </w:tc>
      </w:tr>
      <w:tr>
        <w:trPr>
          <w:trHeight w:val="200"/>
        </w:trPr>
        <w:tc>
          <w:tcPr>
            <w:tcW w:w="55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5"/>
                <w:szCs w:val="15"/>
                <w:b w:val="1"/>
                <w:bCs w:val="1"/>
                <w:color w:val="auto"/>
                <w:w w:val="95"/>
              </w:rPr>
              <w:t>2020</w:t>
            </w:r>
          </w:p>
        </w:tc>
        <w:tc>
          <w:tcPr>
            <w:tcW w:w="160" w:type="dxa"/>
            <w:vAlign w:val="bottom"/>
            <w:tcBorders>
              <w:top w:val="single" w:sz="8" w:color="auto"/>
              <w:bottom w:val="single" w:sz="8" w:color="CCEEFF"/>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1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5"/>
                <w:szCs w:val="15"/>
                <w:b w:val="1"/>
                <w:bCs w:val="1"/>
                <w:color w:val="auto"/>
                <w:w w:val="95"/>
              </w:rPr>
              <w:t>2020</w:t>
            </w:r>
          </w:p>
        </w:tc>
        <w:tc>
          <w:tcPr>
            <w:tcW w:w="160" w:type="dxa"/>
            <w:vAlign w:val="bottom"/>
            <w:tcBorders>
              <w:top w:val="single" w:sz="8" w:color="auto"/>
              <w:bottom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5"/>
                <w:szCs w:val="15"/>
                <w:b w:val="1"/>
                <w:bCs w:val="1"/>
                <w:color w:val="auto"/>
                <w:w w:val="89"/>
              </w:rPr>
              <w:t>2021</w:t>
            </w:r>
          </w:p>
        </w:tc>
      </w:tr>
      <w:tr>
        <w:trPr>
          <w:trHeight w:val="215"/>
        </w:trPr>
        <w:tc>
          <w:tcPr>
            <w:tcW w:w="5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Acquisition debt imputed interest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ind w:left="820"/>
              <w:spacing w:after="0"/>
              <w:rPr>
                <w:sz w:val="20"/>
                <w:szCs w:val="20"/>
                <w:color w:val="auto"/>
              </w:rPr>
            </w:pPr>
            <w:r>
              <w:rPr>
                <w:rFonts w:ascii="Arial" w:cs="Arial" w:eastAsia="Arial" w:hAnsi="Arial"/>
                <w:sz w:val="17"/>
                <w:szCs w:val="17"/>
                <w:color w:val="auto"/>
              </w:rPr>
              <w:t>122</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ind w:left="780"/>
              <w:spacing w:after="0"/>
              <w:rPr>
                <w:sz w:val="20"/>
                <w:szCs w:val="20"/>
                <w:color w:val="auto"/>
              </w:rPr>
            </w:pPr>
            <w:r>
              <w:rPr>
                <w:rFonts w:ascii="Arial" w:cs="Arial" w:eastAsia="Arial" w:hAnsi="Arial"/>
                <w:sz w:val="17"/>
                <w:szCs w:val="17"/>
                <w:color w:val="auto"/>
              </w:rPr>
              <w:t>373</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280</w:t>
            </w:r>
          </w:p>
        </w:tc>
      </w:tr>
    </w:tbl>
    <w:p>
      <w:pPr>
        <w:spacing w:after="0" w:line="330" w:lineRule="exact"/>
        <w:rPr>
          <w:sz w:val="20"/>
          <w:szCs w:val="20"/>
          <w:color w:val="auto"/>
        </w:rPr>
      </w:pPr>
    </w:p>
    <w:p>
      <w:pPr>
        <w:ind w:left="660" w:hanging="657"/>
        <w:spacing w:after="0"/>
        <w:tabs>
          <w:tab w:leader="none" w:pos="66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SENIOR NOTES</w:t>
      </w:r>
    </w:p>
    <w:p>
      <w:pPr>
        <w:spacing w:after="0" w:line="120"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On May 13, 2021, we completed the issuance of $400.0 million in aggregate principal amount 4.25% Senior Notes due 2029 (the “New Senior Notes”) and related guarantees by the Subsidiary Guarantors in a private offering under Rule 144A and Regulation S of the Securities Act of 1933, as amended (the “Securities Act”).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28" w:name="page29"/>
    <w:bookmarkEnd w:id="28"/>
    <w:p>
      <w:pPr>
        <w:jc w:val="both"/>
        <w:ind w:firstLine="387"/>
        <w:spacing w:after="0" w:line="260" w:lineRule="auto"/>
        <w:rPr>
          <w:sz w:val="20"/>
          <w:szCs w:val="20"/>
          <w:color w:val="auto"/>
        </w:rPr>
      </w:pPr>
      <w:r>
        <w:rPr>
          <w:rFonts w:ascii="Arial" w:cs="Arial" w:eastAsia="Arial" w:hAnsi="Arial"/>
          <w:sz w:val="17"/>
          <w:szCs w:val="17"/>
          <w:color w:val="auto"/>
        </w:rPr>
        <w:t>We used the proceeds of $395.5 million from the offering of the New Senior Notes, which are net of a 1.125% debt discount of $4.5 million, together with cash on hand and borrowings under the New Credit Facility, to redeem all of our then outstanding $400.0 million in aggregate principal amount 6.625% senior notes due 2026 (the “Original Senior Notes”). We paid a premium of $19.9 million to redeem the Original Senior Notes on June 1, 2021 at a redemption price of 104.97% of the principal amount thereof, plus accrued and unpaid interest of $13.25 million. During the nine months ended September 30, 2021, we incurred $1.3 million in transaction costs related to the New Senior Notes.</w:t>
      </w:r>
    </w:p>
    <w:p>
      <w:pPr>
        <w:spacing w:after="0" w:line="77" w:lineRule="exact"/>
        <w:rPr>
          <w:sz w:val="20"/>
          <w:szCs w:val="20"/>
          <w:color w:val="auto"/>
        </w:rPr>
      </w:pPr>
    </w:p>
    <w:p>
      <w:pPr>
        <w:jc w:val="both"/>
        <w:ind w:firstLine="387"/>
        <w:spacing w:after="0" w:line="291" w:lineRule="auto"/>
        <w:rPr>
          <w:sz w:val="20"/>
          <w:szCs w:val="20"/>
          <w:color w:val="auto"/>
        </w:rPr>
      </w:pPr>
      <w:r>
        <w:rPr>
          <w:rFonts w:ascii="Arial" w:cs="Arial" w:eastAsia="Arial" w:hAnsi="Arial"/>
          <w:sz w:val="16"/>
          <w:szCs w:val="16"/>
          <w:color w:val="auto"/>
        </w:rPr>
        <w:t xml:space="preserve">For the nine months ended September 30, 2021, we recognized a net loss of $23.7 million related to the redemption of the Original Senior Notes, which was recorded in </w:t>
      </w:r>
      <w:r>
        <w:rPr>
          <w:rFonts w:ascii="Arial" w:cs="Arial" w:eastAsia="Arial" w:hAnsi="Arial"/>
          <w:sz w:val="16"/>
          <w:szCs w:val="16"/>
          <w:i w:val="1"/>
          <w:iCs w:val="1"/>
          <w:color w:val="auto"/>
        </w:rPr>
        <w:t>Loss on extinguishment of debt</w:t>
      </w:r>
      <w:r>
        <w:rPr>
          <w:rFonts w:ascii="Arial" w:cs="Arial" w:eastAsia="Arial" w:hAnsi="Arial"/>
          <w:sz w:val="16"/>
          <w:szCs w:val="16"/>
          <w:color w:val="auto"/>
        </w:rPr>
        <w:t>. The loss is composed of the $19.9 million call premium, the write-off of $3.4 million in unamortized debt discount, the write-off of $1.8 million in unamortized debt issuance costs, offset by the write-off of $1.4 million in unamortized debt premium.</w:t>
      </w:r>
    </w:p>
    <w:p>
      <w:pPr>
        <w:spacing w:after="0" w:line="54"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The New Senior Notes were issued under an indenture, dated as of May 13, 2021 (the “Indenture”), among the Company, the Subsidiary Guarantors and Wilmington Trust, National Association, as trustee (“Collateral Trustee”).</w:t>
      </w:r>
    </w:p>
    <w:p>
      <w:pPr>
        <w:spacing w:after="0" w:line="60" w:lineRule="exact"/>
        <w:rPr>
          <w:sz w:val="20"/>
          <w:szCs w:val="20"/>
          <w:color w:val="auto"/>
        </w:rPr>
      </w:pPr>
    </w:p>
    <w:p>
      <w:pPr>
        <w:jc w:val="both"/>
        <w:ind w:firstLine="387"/>
        <w:spacing w:after="0" w:line="318" w:lineRule="auto"/>
        <w:rPr>
          <w:sz w:val="20"/>
          <w:szCs w:val="20"/>
          <w:color w:val="auto"/>
        </w:rPr>
      </w:pPr>
      <w:r>
        <w:rPr>
          <w:rFonts w:ascii="Arial" w:cs="Arial" w:eastAsia="Arial" w:hAnsi="Arial"/>
          <w:sz w:val="15"/>
          <w:szCs w:val="15"/>
          <w:color w:val="auto"/>
        </w:rPr>
        <w:t>The New Senior Notes bear interest at 4.25% per year. Interest on the New Senior Notes is payable semi-annually in arrears on May 15 and November 15 of each year, beginning on November 15, 2021. The New Senior Notes mature on May 15, 2029, unless earlier redeemed or purchased. The New Senior Notes are unsecured, senior obligations and are fully and unconditionally guaranteed on a senior unsecured basis, jointly and severally by each of the Subsidiary Guarantors.</w:t>
      </w:r>
    </w:p>
    <w:p>
      <w:pPr>
        <w:spacing w:after="0" w:line="37" w:lineRule="exact"/>
        <w:rPr>
          <w:sz w:val="20"/>
          <w:szCs w:val="20"/>
          <w:color w:val="auto"/>
        </w:rPr>
      </w:pPr>
    </w:p>
    <w:p>
      <w:pPr>
        <w:jc w:val="both"/>
        <w:ind w:firstLine="387"/>
        <w:spacing w:after="0" w:line="256" w:lineRule="auto"/>
        <w:rPr>
          <w:sz w:val="20"/>
          <w:szCs w:val="20"/>
          <w:color w:val="auto"/>
        </w:rPr>
      </w:pPr>
      <w:r>
        <w:rPr>
          <w:rFonts w:ascii="Arial" w:cs="Arial" w:eastAsia="Arial" w:hAnsi="Arial"/>
          <w:sz w:val="17"/>
          <w:szCs w:val="17"/>
          <w:color w:val="auto"/>
        </w:rPr>
        <w:t>We may redeem the New Senior Notes, in whole or in part, at the redemption price of 102.13% on or after May 15, 2024, 101.06% on or after May 15, 2025 and 100% on or after May 15, 2026, plus accrued and unpaid interest, if any, to, but excluding, the redemption date. At any time before May 15, 2024, we may also redeem all or part of the New Senior Notes at the redemption prices described in the Indenture, plus accrued and unpaid interest, if any, to (but excluding) the date of redemption. In addition, before May 15, 2024, we may redeem up to 40% of the aggregate principal amount of the New Senior Notes outstanding using an amount of cash equal to the net proceeds of certain equity offerings, at a price of 104.25% of the principal amount of the New Senior Notes, plus accrued and unpaid interest, if any, to (but excluding) the date of redemption; provided that (1) at least 50% of the aggregate principal amount of the New Senior Notes (including any additional New Senior Notes) outstanding under the Indenture remain outstanding immediately after the occurrence of such redemption (unless all New Senior Notes are redeemed concurrently), and (2) each such redemption must occur within 180 days of the date of the consummation of any such equity offering.</w:t>
      </w:r>
    </w:p>
    <w:p>
      <w:pPr>
        <w:spacing w:after="0" w:line="85" w:lineRule="exact"/>
        <w:rPr>
          <w:sz w:val="20"/>
          <w:szCs w:val="20"/>
          <w:color w:val="auto"/>
        </w:rPr>
      </w:pPr>
    </w:p>
    <w:p>
      <w:pPr>
        <w:jc w:val="both"/>
        <w:ind w:firstLine="387"/>
        <w:spacing w:after="0" w:line="283" w:lineRule="auto"/>
        <w:rPr>
          <w:sz w:val="20"/>
          <w:szCs w:val="20"/>
          <w:color w:val="auto"/>
        </w:rPr>
      </w:pPr>
      <w:r>
        <w:rPr>
          <w:rFonts w:ascii="Arial" w:cs="Arial" w:eastAsia="Arial" w:hAnsi="Arial"/>
          <w:sz w:val="16"/>
          <w:szCs w:val="16"/>
          <w:color w:val="auto"/>
        </w:rPr>
        <w:t>If a “change of control” occurs, holders of the New Senior Notes will have the option to require us to purchase for cash all or a portion of their New Senior Notes at a price equal to 101% of the principal amount of the New Senior Notes, plus accrued and unpaid interest. In addition, if we make certain asset sales and do not reinvest the proceeds thereof or use such proceeds to repay certain debt, we will be required to use the proceeds of such asset sales to make an offer to purchase the New Senior Notes at a price equal to 100% of the principal amount of the New Senior Notes, plus accrued and unpaid interest.</w:t>
      </w:r>
    </w:p>
    <w:p>
      <w:pPr>
        <w:spacing w:after="0" w:line="61"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The Indenture contains restrictive covenants limiting our ability and our Restricted Subsidiaries (as defined in the Indenture) to, among other things, incur additional indebtedness or issue certain preferred shares, create liens on certain assets to secure debt, pay dividends or make other equity distributions, purchase or redeem capital stock, make certain investments, sell assets, agree to certain restrictions on the ability of Restricted Subsidiaries to make payments to us, consolidate, merge, sell or otherwise dispose of all or substantially all assets, or engage in transactions with affiliates. The Indenture also contains customary events of default.</w:t>
      </w:r>
    </w:p>
    <w:p>
      <w:pPr>
        <w:spacing w:after="0" w:line="77"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The debt discount and the debt issuance costs are being amortized using the effective interest method over the remaining term of approximately 92 months of the New Senior Notes. The effective interest rate on the unamortized debt discount and the unamortized debt issuance costs for the New Senior Notes for both three and nine months ended September 30, 2021 was 4.42% and 4.30%, respectively.</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carrying value of our Senior Notes is reflected on our Consolidated Balance Sheet as follows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ind w:left="60"/>
              <w:spacing w:after="0"/>
              <w:rPr>
                <w:sz w:val="20"/>
                <w:szCs w:val="20"/>
                <w:color w:val="auto"/>
              </w:rPr>
            </w:pPr>
            <w:r>
              <w:rPr>
                <w:rFonts w:ascii="Arial" w:cs="Arial" w:eastAsia="Arial" w:hAnsi="Arial"/>
                <w:sz w:val="15"/>
                <w:szCs w:val="15"/>
                <w:b w:val="1"/>
                <w:bCs w:val="1"/>
                <w:color w:val="auto"/>
              </w:rPr>
              <w:t>December 31, 2020</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b w:val="1"/>
                <w:bCs w:val="1"/>
                <w:color w:val="auto"/>
                <w:w w:val="94"/>
              </w:rPr>
              <w:t>September 30, 2021</w:t>
            </w:r>
          </w:p>
        </w:tc>
        <w:tc>
          <w:tcPr>
            <w:tcW w:w="0" w:type="dxa"/>
            <w:vAlign w:val="bottom"/>
          </w:tcPr>
          <w:p>
            <w:pPr>
              <w:spacing w:after="0"/>
              <w:rPr>
                <w:sz w:val="1"/>
                <w:szCs w:val="1"/>
                <w:color w:val="auto"/>
              </w:rPr>
            </w:pPr>
          </w:p>
        </w:tc>
      </w:tr>
      <w:tr>
        <w:trPr>
          <w:trHeight w:val="208"/>
        </w:trPr>
        <w:tc>
          <w:tcPr>
            <w:tcW w:w="5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 liabilities:</w:t>
            </w: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700" w:type="dxa"/>
            <w:vAlign w:val="bottom"/>
          </w:tcPr>
          <w:p>
            <w:pPr>
              <w:ind w:left="220"/>
              <w:spacing w:after="0"/>
              <w:rPr>
                <w:sz w:val="20"/>
                <w:szCs w:val="20"/>
                <w:color w:val="auto"/>
              </w:rPr>
            </w:pPr>
            <w:r>
              <w:rPr>
                <w:rFonts w:ascii="Arial" w:cs="Arial" w:eastAsia="Arial" w:hAnsi="Arial"/>
                <w:sz w:val="17"/>
                <w:szCs w:val="17"/>
                <w:color w:val="auto"/>
              </w:rPr>
              <w:t>Principal amount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400,000</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400,000</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Debt premium, net of accumulated amortization of $221</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1,467</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8"/>
        </w:trPr>
        <w:tc>
          <w:tcPr>
            <w:tcW w:w="5700" w:type="dxa"/>
            <w:vAlign w:val="bottom"/>
          </w:tcPr>
          <w:p>
            <w:pPr>
              <w:ind w:left="220"/>
              <w:spacing w:after="0" w:line="168" w:lineRule="exact"/>
              <w:rPr>
                <w:sz w:val="20"/>
                <w:szCs w:val="20"/>
                <w:color w:val="auto"/>
              </w:rPr>
            </w:pPr>
            <w:r>
              <w:rPr>
                <w:rFonts w:ascii="Arial" w:cs="Arial" w:eastAsia="Arial" w:hAnsi="Arial"/>
                <w:sz w:val="17"/>
                <w:szCs w:val="17"/>
                <w:color w:val="auto"/>
              </w:rPr>
              <w:t>Debt discount, net of accumulated amortization of $1,293 and $181,</w:t>
            </w:r>
          </w:p>
        </w:tc>
        <w:tc>
          <w:tcPr>
            <w:tcW w:w="14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7"/>
                <w:szCs w:val="17"/>
                <w:color w:val="auto"/>
              </w:rPr>
              <w:t>(3,582)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7"/>
                <w:szCs w:val="17"/>
                <w:color w:val="auto"/>
              </w:rPr>
              <w:t>(4,319)</w:t>
            </w:r>
          </w:p>
        </w:tc>
        <w:tc>
          <w:tcPr>
            <w:tcW w:w="0" w:type="dxa"/>
            <w:vAlign w:val="bottom"/>
          </w:tcPr>
          <w:p>
            <w:pPr>
              <w:spacing w:after="0"/>
              <w:rPr>
                <w:sz w:val="1"/>
                <w:szCs w:val="1"/>
                <w:color w:val="auto"/>
              </w:rPr>
            </w:pPr>
          </w:p>
        </w:tc>
      </w:tr>
      <w:tr>
        <w:trPr>
          <w:trHeight w:val="218"/>
        </w:trPr>
        <w:tc>
          <w:tcPr>
            <w:tcW w:w="5700" w:type="dxa"/>
            <w:vAlign w:val="bottom"/>
          </w:tcPr>
          <w:p>
            <w:pPr>
              <w:ind w:left="220"/>
              <w:spacing w:after="0"/>
              <w:rPr>
                <w:sz w:val="20"/>
                <w:szCs w:val="20"/>
                <w:color w:val="auto"/>
              </w:rPr>
            </w:pPr>
            <w:r>
              <w:rPr>
                <w:rFonts w:ascii="Arial" w:cs="Arial" w:eastAsia="Arial" w:hAnsi="Arial"/>
                <w:sz w:val="17"/>
                <w:szCs w:val="17"/>
                <w:color w:val="auto"/>
              </w:rPr>
              <w:t>respectively</w:t>
            </w:r>
          </w:p>
        </w:tc>
        <w:tc>
          <w:tcPr>
            <w:tcW w:w="14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700" w:type="dxa"/>
            <w:vAlign w:val="bottom"/>
            <w:shd w:val="clear" w:color="auto" w:fill="CCEEFF"/>
          </w:tcPr>
          <w:p>
            <w:pPr>
              <w:ind w:left="220"/>
              <w:spacing w:after="0" w:line="169" w:lineRule="exact"/>
              <w:rPr>
                <w:sz w:val="20"/>
                <w:szCs w:val="20"/>
                <w:color w:val="auto"/>
              </w:rPr>
            </w:pPr>
            <w:r>
              <w:rPr>
                <w:rFonts w:ascii="Arial" w:cs="Arial" w:eastAsia="Arial" w:hAnsi="Arial"/>
                <w:sz w:val="17"/>
                <w:szCs w:val="17"/>
                <w:color w:val="auto"/>
              </w:rPr>
              <w:t>Debt issuance costs, net of accumulated amortization of $496 and $51,</w:t>
            </w:r>
          </w:p>
        </w:tc>
        <w:tc>
          <w:tcPr>
            <w:tcW w:w="1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(1,917)</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(1,225)</w:t>
            </w: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respectively</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700" w:type="dxa"/>
            <w:vAlign w:val="bottom"/>
          </w:tcPr>
          <w:p>
            <w:pPr>
              <w:ind w:left="20"/>
              <w:spacing w:after="0"/>
              <w:rPr>
                <w:sz w:val="20"/>
                <w:szCs w:val="20"/>
                <w:color w:val="auto"/>
              </w:rPr>
            </w:pPr>
            <w:r>
              <w:rPr>
                <w:rFonts w:ascii="Arial" w:cs="Arial" w:eastAsia="Arial" w:hAnsi="Arial"/>
                <w:sz w:val="17"/>
                <w:szCs w:val="17"/>
                <w:color w:val="auto"/>
              </w:rPr>
              <w:t>Carrying value of the Senior Notes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395,968</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394,456</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At September 30, 2021, the fair value of the New Senior Notes, which are Level 2 measurements, was $403.2 million.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29" w:name="page30"/>
    <w:bookmarkEnd w:id="29"/>
    <w:p>
      <w:pPr>
        <w:ind w:left="400"/>
        <w:spacing w:after="0"/>
        <w:rPr>
          <w:sz w:val="20"/>
          <w:szCs w:val="20"/>
          <w:color w:val="auto"/>
        </w:rPr>
      </w:pPr>
      <w:r>
        <w:rPr>
          <w:rFonts w:ascii="Arial" w:cs="Arial" w:eastAsia="Arial" w:hAnsi="Arial"/>
          <w:sz w:val="16"/>
          <w:szCs w:val="16"/>
          <w:color w:val="auto"/>
        </w:rPr>
        <w:t>The interest expense and amortization of debt discount, debt premium and debt issuance costs related to our Senior Notes are as follows (in thousands):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gridSpan w:val="5"/>
          </w:tcPr>
          <w:p>
            <w:pPr>
              <w:ind w:left="40"/>
              <w:spacing w:after="0"/>
              <w:rPr>
                <w:sz w:val="20"/>
                <w:szCs w:val="20"/>
                <w:color w:val="auto"/>
              </w:rPr>
            </w:pPr>
            <w:r>
              <w:rPr>
                <w:rFonts w:ascii="Arial" w:cs="Arial" w:eastAsia="Arial" w:hAnsi="Arial"/>
                <w:sz w:val="15"/>
                <w:szCs w:val="15"/>
                <w:b w:val="1"/>
                <w:bCs w:val="1"/>
                <w:color w:val="auto"/>
              </w:rPr>
              <w:t>Three months ended September 30,</w:t>
            </w:r>
          </w:p>
        </w:tc>
        <w:tc>
          <w:tcPr>
            <w:tcW w:w="160" w:type="dxa"/>
            <w:vAlign w:val="bottom"/>
          </w:tcPr>
          <w:p>
            <w:pPr>
              <w:spacing w:after="0"/>
              <w:rPr>
                <w:sz w:val="17"/>
                <w:szCs w:val="17"/>
                <w:color w:val="auto"/>
              </w:rPr>
            </w:pPr>
          </w:p>
        </w:tc>
        <w:tc>
          <w:tcPr>
            <w:tcW w:w="2540" w:type="dxa"/>
            <w:vAlign w:val="bottom"/>
            <w:gridSpan w:val="4"/>
          </w:tcPr>
          <w:p>
            <w:pPr>
              <w:jc w:val="right"/>
              <w:ind w:right="136"/>
              <w:spacing w:after="0"/>
              <w:rPr>
                <w:sz w:val="20"/>
                <w:szCs w:val="20"/>
                <w:color w:val="auto"/>
              </w:rPr>
            </w:pPr>
            <w:r>
              <w:rPr>
                <w:rFonts w:ascii="Arial" w:cs="Arial" w:eastAsia="Arial" w:hAnsi="Arial"/>
                <w:sz w:val="15"/>
                <w:szCs w:val="15"/>
                <w:b w:val="1"/>
                <w:bCs w:val="1"/>
                <w:color w:val="auto"/>
                <w:w w:val="93"/>
              </w:rPr>
              <w:t>Nine months ended September 30,</w:t>
            </w:r>
          </w:p>
        </w:tc>
      </w:tr>
      <w:tr>
        <w:trPr>
          <w:trHeight w:val="200"/>
        </w:trPr>
        <w:tc>
          <w:tcPr>
            <w:tcW w:w="56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180" w:type="dxa"/>
            <w:vAlign w:val="bottom"/>
            <w:tcBorders>
              <w:top w:val="single" w:sz="8" w:color="auto"/>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1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160" w:type="dxa"/>
            <w:vAlign w:val="bottom"/>
            <w:tcBorders>
              <w:top w:val="single" w:sz="8" w:color="auto"/>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r>
      <w:tr>
        <w:trPr>
          <w:trHeight w:val="215"/>
        </w:trPr>
        <w:tc>
          <w:tcPr>
            <w:tcW w:w="5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Senior Notes interest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6,625</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19,875</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17,517</w:t>
            </w:r>
          </w:p>
        </w:tc>
      </w:tr>
      <w:tr>
        <w:trPr>
          <w:trHeight w:val="219"/>
        </w:trPr>
        <w:tc>
          <w:tcPr>
            <w:tcW w:w="5680" w:type="dxa"/>
            <w:vAlign w:val="bottom"/>
          </w:tcPr>
          <w:p>
            <w:pPr>
              <w:ind w:left="20"/>
              <w:spacing w:after="0"/>
              <w:rPr>
                <w:sz w:val="20"/>
                <w:szCs w:val="20"/>
                <w:color w:val="auto"/>
              </w:rPr>
            </w:pPr>
            <w:r>
              <w:rPr>
                <w:rFonts w:ascii="Arial" w:cs="Arial" w:eastAsia="Arial" w:hAnsi="Arial"/>
                <w:sz w:val="17"/>
                <w:szCs w:val="17"/>
                <w:color w:val="auto"/>
              </w:rPr>
              <w:t>Senior Notes amortization of debt discount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133</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393</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384</w:t>
            </w:r>
          </w:p>
        </w:tc>
      </w:tr>
      <w:tr>
        <w:trPr>
          <w:trHeight w:val="220"/>
        </w:trPr>
        <w:tc>
          <w:tcPr>
            <w:tcW w:w="5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Senior Notes amortization of debt premium</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r>
      <w:tr>
        <w:trPr>
          <w:trHeight w:val="218"/>
        </w:trPr>
        <w:tc>
          <w:tcPr>
            <w:tcW w:w="5680" w:type="dxa"/>
            <w:vAlign w:val="bottom"/>
          </w:tcPr>
          <w:p>
            <w:pPr>
              <w:ind w:left="20"/>
              <w:spacing w:after="0"/>
              <w:rPr>
                <w:sz w:val="20"/>
                <w:szCs w:val="20"/>
                <w:color w:val="auto"/>
              </w:rPr>
            </w:pPr>
            <w:r>
              <w:rPr>
                <w:rFonts w:ascii="Arial" w:cs="Arial" w:eastAsia="Arial" w:hAnsi="Arial"/>
                <w:sz w:val="17"/>
                <w:szCs w:val="17"/>
                <w:color w:val="auto"/>
              </w:rPr>
              <w:t>Senior Notes amortization of debt issuance costs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72</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208</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161</w:t>
            </w:r>
          </w:p>
        </w:tc>
      </w:tr>
    </w:tbl>
    <w:p>
      <w:pPr>
        <w:spacing w:after="0" w:line="144"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The effective interest rate on the unamortized debt discount and unamortized debt issuance costs for the Original Senior Notes, issued in May 2018, for both the three and nine months ended September 30, 2020 was 6.87% and 6.69%, respectively. The effective interest rate on the unamortized debt premium and the unamortized debt issuance costs for the additional Original Senior Notes, issued in December 2019, for both the three and nine months ended September 30, 2020 was 6.20% and 6.90%, respectively.</w:t>
      </w:r>
    </w:p>
    <w:p>
      <w:pPr>
        <w:spacing w:after="0" w:line="225" w:lineRule="exact"/>
        <w:rPr>
          <w:sz w:val="20"/>
          <w:szCs w:val="20"/>
          <w:color w:val="auto"/>
        </w:rPr>
      </w:pPr>
    </w:p>
    <w:p>
      <w:pPr>
        <w:ind w:left="620" w:hanging="617"/>
        <w:spacing w:after="0"/>
        <w:tabs>
          <w:tab w:leader="none" w:pos="62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LEASES</w:t>
      </w:r>
    </w:p>
    <w:p>
      <w:pPr>
        <w:spacing w:after="0" w:line="120" w:lineRule="exact"/>
        <w:rPr>
          <w:sz w:val="20"/>
          <w:szCs w:val="20"/>
          <w:color w:val="auto"/>
        </w:rPr>
      </w:pPr>
    </w:p>
    <w:p>
      <w:pPr>
        <w:ind w:left="400"/>
        <w:spacing w:after="0"/>
        <w:rPr>
          <w:sz w:val="20"/>
          <w:szCs w:val="20"/>
          <w:color w:val="auto"/>
        </w:rPr>
      </w:pPr>
      <w:r>
        <w:rPr>
          <w:rFonts w:ascii="Arial" w:cs="Arial" w:eastAsia="Arial" w:hAnsi="Arial"/>
          <w:sz w:val="15"/>
          <w:szCs w:val="15"/>
          <w:color w:val="auto"/>
        </w:rPr>
        <w:t>Our lease obligations consist of operating and finance leases related to real estate and equipment. The components of lease cost are as follows (in thousands):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2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gridSpan w:val="5"/>
          </w:tcPr>
          <w:p>
            <w:pPr>
              <w:ind w:left="40"/>
              <w:spacing w:after="0"/>
              <w:rPr>
                <w:sz w:val="20"/>
                <w:szCs w:val="20"/>
                <w:color w:val="auto"/>
              </w:rPr>
            </w:pPr>
            <w:r>
              <w:rPr>
                <w:rFonts w:ascii="Arial" w:cs="Arial" w:eastAsia="Arial" w:hAnsi="Arial"/>
                <w:sz w:val="15"/>
                <w:szCs w:val="15"/>
                <w:b w:val="1"/>
                <w:bCs w:val="1"/>
                <w:color w:val="auto"/>
              </w:rPr>
              <w:t>Three months ended September 30,</w:t>
            </w:r>
          </w:p>
        </w:tc>
        <w:tc>
          <w:tcPr>
            <w:tcW w:w="160" w:type="dxa"/>
            <w:vAlign w:val="bottom"/>
          </w:tcPr>
          <w:p>
            <w:pPr>
              <w:spacing w:after="0"/>
              <w:rPr>
                <w:sz w:val="17"/>
                <w:szCs w:val="17"/>
                <w:color w:val="auto"/>
              </w:rPr>
            </w:pPr>
          </w:p>
        </w:tc>
        <w:tc>
          <w:tcPr>
            <w:tcW w:w="2540" w:type="dxa"/>
            <w:vAlign w:val="bottom"/>
            <w:gridSpan w:val="4"/>
          </w:tcPr>
          <w:p>
            <w:pPr>
              <w:jc w:val="right"/>
              <w:ind w:right="135"/>
              <w:spacing w:after="0"/>
              <w:rPr>
                <w:sz w:val="20"/>
                <w:szCs w:val="20"/>
                <w:color w:val="auto"/>
              </w:rPr>
            </w:pPr>
            <w:r>
              <w:rPr>
                <w:rFonts w:ascii="Arial" w:cs="Arial" w:eastAsia="Arial" w:hAnsi="Arial"/>
                <w:sz w:val="15"/>
                <w:szCs w:val="15"/>
                <w:b w:val="1"/>
                <w:bCs w:val="1"/>
                <w:color w:val="auto"/>
                <w:w w:val="93"/>
              </w:rPr>
              <w:t>Nine months ended September 30,</w:t>
            </w:r>
          </w:p>
        </w:tc>
      </w:tr>
      <w:tr>
        <w:trPr>
          <w:trHeight w:val="203"/>
        </w:trPr>
        <w:tc>
          <w:tcPr>
            <w:tcW w:w="2220" w:type="dxa"/>
            <w:vAlign w:val="bottom"/>
          </w:tcPr>
          <w:p>
            <w:pPr>
              <w:spacing w:after="0"/>
              <w:rPr>
                <w:sz w:val="17"/>
                <w:szCs w:val="17"/>
                <w:color w:val="auto"/>
              </w:rPr>
            </w:pPr>
          </w:p>
        </w:tc>
        <w:tc>
          <w:tcPr>
            <w:tcW w:w="3460" w:type="dxa"/>
            <w:vAlign w:val="bottom"/>
            <w:gridSpan w:val="2"/>
          </w:tcPr>
          <w:p>
            <w:pPr>
              <w:ind w:left="580"/>
              <w:spacing w:after="0"/>
              <w:rPr>
                <w:sz w:val="20"/>
                <w:szCs w:val="20"/>
                <w:color w:val="auto"/>
              </w:rPr>
            </w:pPr>
            <w:r>
              <w:rPr>
                <w:rFonts w:ascii="Arial" w:cs="Arial" w:eastAsia="Arial" w:hAnsi="Arial"/>
                <w:sz w:val="15"/>
                <w:szCs w:val="15"/>
                <w:b w:val="1"/>
                <w:bCs w:val="1"/>
                <w:color w:val="auto"/>
              </w:rPr>
              <w:t>Income Statement Classification</w:t>
            </w: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1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1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r>
      <w:tr>
        <w:trPr>
          <w:trHeight w:val="215"/>
        </w:trPr>
        <w:tc>
          <w:tcPr>
            <w:tcW w:w="2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 cost</w:t>
            </w:r>
          </w:p>
        </w:tc>
        <w:tc>
          <w:tcPr>
            <w:tcW w:w="3300" w:type="dxa"/>
            <w:vAlign w:val="bottom"/>
            <w:tcBorders>
              <w:top w:val="single" w:sz="8" w:color="auto"/>
            </w:tcBorders>
            <w:shd w:val="clear" w:color="auto" w:fill="CCEEFF"/>
          </w:tcPr>
          <w:p>
            <w:pPr>
              <w:ind w:left="20"/>
              <w:spacing w:after="0" w:line="214" w:lineRule="exact"/>
              <w:rPr>
                <w:sz w:val="20"/>
                <w:szCs w:val="20"/>
                <w:color w:val="auto"/>
              </w:rPr>
            </w:pPr>
            <w:r>
              <w:rPr>
                <w:rFonts w:ascii="Arial" w:cs="Arial" w:eastAsia="Arial" w:hAnsi="Arial"/>
                <w:sz w:val="17"/>
                <w:szCs w:val="17"/>
                <w:color w:val="auto"/>
              </w:rPr>
              <w:t>Facilities and grounds expense</w:t>
            </w:r>
            <w:r>
              <w:rPr>
                <w:rFonts w:ascii="Arial" w:cs="Arial" w:eastAsia="Arial" w:hAnsi="Arial"/>
                <w:sz w:val="22"/>
                <w:szCs w:val="22"/>
                <w:color w:val="auto"/>
                <w:vertAlign w:val="superscript"/>
              </w:rPr>
              <w:t>(1)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927</w:t>
            </w: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2,838</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2,871</w:t>
            </w:r>
          </w:p>
        </w:tc>
      </w:tr>
      <w:tr>
        <w:trPr>
          <w:trHeight w:val="219"/>
        </w:trPr>
        <w:tc>
          <w:tcPr>
            <w:tcW w:w="2220" w:type="dxa"/>
            <w:vAlign w:val="bottom"/>
          </w:tcPr>
          <w:p>
            <w:pPr>
              <w:ind w:left="20"/>
              <w:spacing w:after="0"/>
              <w:rPr>
                <w:sz w:val="20"/>
                <w:szCs w:val="20"/>
                <w:color w:val="auto"/>
              </w:rPr>
            </w:pPr>
            <w:r>
              <w:rPr>
                <w:rFonts w:ascii="Arial" w:cs="Arial" w:eastAsia="Arial" w:hAnsi="Arial"/>
                <w:sz w:val="17"/>
                <w:szCs w:val="17"/>
                <w:color w:val="auto"/>
              </w:rPr>
              <w:t>Short-term lease cost</w:t>
            </w:r>
          </w:p>
        </w:tc>
        <w:tc>
          <w:tcPr>
            <w:tcW w:w="346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Facilities and grounds expense</w:t>
            </w:r>
            <w:r>
              <w:rPr>
                <w:rFonts w:ascii="Arial" w:cs="Arial" w:eastAsia="Arial" w:hAnsi="Arial"/>
                <w:sz w:val="22"/>
                <w:szCs w:val="22"/>
                <w:color w:val="auto"/>
                <w:vertAlign w:val="superscript"/>
              </w:rPr>
              <w:t>(1)</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35</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107</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145</w:t>
            </w:r>
          </w:p>
        </w:tc>
      </w:tr>
      <w:tr>
        <w:trPr>
          <w:trHeight w:val="219"/>
        </w:trPr>
        <w:tc>
          <w:tcPr>
            <w:tcW w:w="2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Variable lease cost</w:t>
            </w:r>
          </w:p>
        </w:tc>
        <w:tc>
          <w:tcPr>
            <w:tcW w:w="346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7"/>
                <w:szCs w:val="17"/>
                <w:color w:val="auto"/>
              </w:rPr>
              <w:t>Facilities and grounds expense</w:t>
            </w:r>
            <w:r>
              <w:rPr>
                <w:rFonts w:ascii="Arial" w:cs="Arial" w:eastAsia="Arial" w:hAnsi="Arial"/>
                <w:sz w:val="22"/>
                <w:szCs w:val="22"/>
                <w:color w:val="auto"/>
                <w:vertAlign w:val="superscript"/>
              </w:rPr>
              <w:t>(1)</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r>
      <w:tr>
        <w:trPr>
          <w:trHeight w:val="142"/>
        </w:trPr>
        <w:tc>
          <w:tcPr>
            <w:tcW w:w="22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19"/>
        </w:trPr>
        <w:tc>
          <w:tcPr>
            <w:tcW w:w="2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Finance lease cost:</w:t>
            </w:r>
          </w:p>
        </w:tc>
        <w:tc>
          <w:tcPr>
            <w:tcW w:w="3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9"/>
        </w:trPr>
        <w:tc>
          <w:tcPr>
            <w:tcW w:w="5680" w:type="dxa"/>
            <w:vAlign w:val="bottom"/>
            <w:gridSpan w:val="3"/>
          </w:tcPr>
          <w:p>
            <w:pPr>
              <w:ind w:left="220"/>
              <w:spacing w:after="0" w:line="220" w:lineRule="exact"/>
              <w:rPr>
                <w:sz w:val="20"/>
                <w:szCs w:val="20"/>
                <w:color w:val="auto"/>
              </w:rPr>
            </w:pPr>
            <w:r>
              <w:rPr>
                <w:rFonts w:ascii="Arial" w:cs="Arial" w:eastAsia="Arial" w:hAnsi="Arial"/>
                <w:sz w:val="17"/>
                <w:szCs w:val="17"/>
                <w:color w:val="auto"/>
              </w:rPr>
              <w:t>Depreciation of leased assets Depreciation and amortization</w:t>
            </w:r>
            <w:r>
              <w:rPr>
                <w:rFonts w:ascii="Arial" w:cs="Arial" w:eastAsia="Arial" w:hAnsi="Arial"/>
                <w:sz w:val="22"/>
                <w:szCs w:val="22"/>
                <w:color w:val="auto"/>
                <w:vertAlign w:val="superscript"/>
              </w:rPr>
              <w:t>(2)</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111</w:t>
            </w:r>
          </w:p>
        </w:tc>
        <w:tc>
          <w:tcPr>
            <w:tcW w:w="180" w:type="dxa"/>
            <w:vAlign w:val="bottom"/>
          </w:tcPr>
          <w:p>
            <w:pPr>
              <w:spacing w:after="0"/>
              <w:rPr>
                <w:sz w:val="19"/>
                <w:szCs w:val="19"/>
                <w:color w:val="auto"/>
              </w:rPr>
            </w:pP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111</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329</w:t>
            </w:r>
          </w:p>
        </w:tc>
        <w:tc>
          <w:tcPr>
            <w:tcW w:w="160" w:type="dxa"/>
            <w:vAlign w:val="bottom"/>
          </w:tcPr>
          <w:p>
            <w:pPr>
              <w:spacing w:after="0"/>
              <w:rPr>
                <w:sz w:val="19"/>
                <w:szCs w:val="19"/>
                <w:color w:val="auto"/>
              </w:rPr>
            </w:pP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328</w:t>
            </w:r>
          </w:p>
        </w:tc>
      </w:tr>
      <w:tr>
        <w:trPr>
          <w:trHeight w:val="219"/>
        </w:trPr>
        <w:tc>
          <w:tcPr>
            <w:tcW w:w="22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on lease liabilities</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7"/>
                <w:szCs w:val="17"/>
                <w:i w:val="1"/>
                <w:iCs w:val="1"/>
                <w:color w:val="auto"/>
              </w:rPr>
              <w:t>Interest expense</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1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374</w:t>
            </w:r>
          </w:p>
        </w:tc>
        <w:tc>
          <w:tcPr>
            <w:tcW w:w="1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356</w:t>
            </w:r>
          </w:p>
        </w:tc>
      </w:tr>
      <w:tr>
        <w:trPr>
          <w:trHeight w:val="212"/>
        </w:trPr>
        <w:tc>
          <w:tcPr>
            <w:tcW w:w="2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finance lease cost</w:t>
            </w:r>
          </w:p>
        </w:tc>
        <w:tc>
          <w:tcPr>
            <w:tcW w:w="33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w:t>
            </w:r>
          </w:p>
        </w:tc>
        <w:tc>
          <w:tcPr>
            <w:tcW w:w="1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703</w:t>
            </w:r>
          </w:p>
        </w:tc>
        <w:tc>
          <w:tcPr>
            <w:tcW w:w="1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684</w:t>
            </w:r>
          </w:p>
        </w:tc>
      </w:tr>
      <w:tr>
        <w:trPr>
          <w:trHeight w:val="238"/>
        </w:trPr>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lease cost</w:t>
            </w:r>
          </w:p>
        </w:tc>
        <w:tc>
          <w:tcPr>
            <w:tcW w:w="33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1,213</w:t>
            </w:r>
          </w:p>
        </w:tc>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1,257</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3,689</w:t>
            </w:r>
          </w:p>
        </w:tc>
        <w:tc>
          <w:tcPr>
            <w:tcW w:w="1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3,800</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139065</wp:posOffset>
            </wp:positionV>
            <wp:extent cx="70891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17" w:lineRule="exact"/>
        <w:rPr>
          <w:sz w:val="20"/>
          <w:szCs w:val="20"/>
          <w:color w:val="auto"/>
        </w:rPr>
      </w:pPr>
    </w:p>
    <w:p>
      <w:pPr>
        <w:ind w:left="460" w:hanging="401"/>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 xml:space="preserve">Facilities and grounds expense is included within </w:t>
      </w:r>
      <w:r>
        <w:rPr>
          <w:rFonts w:ascii="Arial" w:cs="Arial" w:eastAsia="Arial" w:hAnsi="Arial"/>
          <w:sz w:val="15"/>
          <w:szCs w:val="15"/>
          <w:i w:val="1"/>
          <w:iCs w:val="1"/>
          <w:color w:val="auto"/>
        </w:rPr>
        <w:t>Cost of service</w:t>
      </w:r>
      <w:r>
        <w:rPr>
          <w:rFonts w:ascii="Arial" w:cs="Arial" w:eastAsia="Arial" w:hAnsi="Arial"/>
          <w:sz w:val="15"/>
          <w:szCs w:val="15"/>
          <w:color w:val="auto"/>
        </w:rPr>
        <w:t xml:space="preserve"> and </w:t>
      </w:r>
      <w:r>
        <w:rPr>
          <w:rFonts w:ascii="Arial" w:cs="Arial" w:eastAsia="Arial" w:hAnsi="Arial"/>
          <w:sz w:val="15"/>
          <w:szCs w:val="15"/>
          <w:i w:val="1"/>
          <w:iCs w:val="1"/>
          <w:color w:val="auto"/>
        </w:rPr>
        <w:t>General, administrative and other</w:t>
      </w:r>
      <w:r>
        <w:rPr>
          <w:rFonts w:ascii="Arial" w:cs="Arial" w:eastAsia="Arial" w:hAnsi="Arial"/>
          <w:sz w:val="15"/>
          <w:szCs w:val="15"/>
          <w:color w:val="auto"/>
        </w:rPr>
        <w:t xml:space="preserve"> on our Consolidated Statements of Operations.</w:t>
      </w:r>
    </w:p>
    <w:p>
      <w:pPr>
        <w:spacing w:after="0" w:line="34" w:lineRule="exact"/>
        <w:rPr>
          <w:rFonts w:ascii="Arial" w:cs="Arial" w:eastAsia="Arial" w:hAnsi="Arial"/>
          <w:sz w:val="15"/>
          <w:szCs w:val="15"/>
          <w:color w:val="auto"/>
        </w:rPr>
      </w:pPr>
    </w:p>
    <w:p>
      <w:pPr>
        <w:ind w:left="460" w:hanging="401"/>
        <w:spacing w:after="0"/>
        <w:tabs>
          <w:tab w:leader="none" w:pos="4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 xml:space="preserve">Depreciation and amortization expense is included within </w:t>
      </w:r>
      <w:r>
        <w:rPr>
          <w:rFonts w:ascii="Arial" w:cs="Arial" w:eastAsia="Arial" w:hAnsi="Arial"/>
          <w:sz w:val="14"/>
          <w:szCs w:val="14"/>
          <w:i w:val="1"/>
          <w:iCs w:val="1"/>
          <w:color w:val="auto"/>
        </w:rPr>
        <w:t>Field depreciation</w:t>
      </w:r>
      <w:r>
        <w:rPr>
          <w:rFonts w:ascii="Arial" w:cs="Arial" w:eastAsia="Arial" w:hAnsi="Arial"/>
          <w:sz w:val="14"/>
          <w:szCs w:val="14"/>
          <w:color w:val="auto"/>
        </w:rPr>
        <w:t xml:space="preserve"> and </w:t>
      </w:r>
      <w:r>
        <w:rPr>
          <w:rFonts w:ascii="Arial" w:cs="Arial" w:eastAsia="Arial" w:hAnsi="Arial"/>
          <w:sz w:val="14"/>
          <w:szCs w:val="14"/>
          <w:i w:val="1"/>
          <w:iCs w:val="1"/>
          <w:color w:val="auto"/>
        </w:rPr>
        <w:t>Home office depreciation and amortization</w:t>
      </w:r>
      <w:r>
        <w:rPr>
          <w:rFonts w:ascii="Arial" w:cs="Arial" w:eastAsia="Arial" w:hAnsi="Arial"/>
          <w:sz w:val="14"/>
          <w:szCs w:val="14"/>
          <w:color w:val="auto"/>
        </w:rPr>
        <w:t xml:space="preserve"> on our Consolidated Statements of Operations.</w:t>
      </w:r>
    </w:p>
    <w:p>
      <w:pPr>
        <w:spacing w:after="0" w:line="20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Supplemental cash flow information related to our leases is as follows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74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ind w:left="320"/>
              <w:spacing w:after="0"/>
              <w:rPr>
                <w:sz w:val="20"/>
                <w:szCs w:val="20"/>
                <w:color w:val="auto"/>
              </w:rPr>
            </w:pPr>
            <w:r>
              <w:rPr>
                <w:rFonts w:ascii="Arial" w:cs="Arial" w:eastAsia="Arial" w:hAnsi="Arial"/>
                <w:sz w:val="15"/>
                <w:szCs w:val="15"/>
                <w:b w:val="1"/>
                <w:bCs w:val="1"/>
                <w:color w:val="auto"/>
                <w:w w:val="95"/>
              </w:rPr>
              <w:t>Nine months ended September 30,</w:t>
            </w:r>
          </w:p>
        </w:tc>
        <w:tc>
          <w:tcPr>
            <w:tcW w:w="6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746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left="918"/>
              <w:spacing w:after="0"/>
              <w:rPr>
                <w:sz w:val="20"/>
                <w:szCs w:val="20"/>
                <w:color w:val="auto"/>
              </w:rPr>
            </w:pPr>
            <w:r>
              <w:rPr>
                <w:rFonts w:ascii="Arial" w:cs="Arial" w:eastAsia="Arial" w:hAnsi="Arial"/>
                <w:sz w:val="15"/>
                <w:szCs w:val="15"/>
                <w:b w:val="1"/>
                <w:bCs w:val="1"/>
                <w:color w:val="auto"/>
                <w:w w:val="89"/>
              </w:rPr>
              <w:t>2020</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center"/>
              <w:ind w:left="237"/>
              <w:spacing w:after="0"/>
              <w:rPr>
                <w:sz w:val="20"/>
                <w:szCs w:val="20"/>
                <w:color w:val="auto"/>
              </w:rPr>
            </w:pPr>
            <w:r>
              <w:rPr>
                <w:rFonts w:ascii="Arial" w:cs="Arial" w:eastAsia="Arial" w:hAnsi="Arial"/>
                <w:sz w:val="15"/>
                <w:szCs w:val="15"/>
                <w:b w:val="1"/>
                <w:bCs w:val="1"/>
                <w:color w:val="auto"/>
                <w:w w:val="95"/>
              </w:rPr>
              <w:t>2021</w:t>
            </w:r>
          </w:p>
        </w:tc>
        <w:tc>
          <w:tcPr>
            <w:tcW w:w="20" w:type="dxa"/>
            <w:vAlign w:val="bottom"/>
            <w:tcBorders>
              <w:bottom w:val="single" w:sz="8" w:color="auto"/>
            </w:tcBorders>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7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for operating leases included in operating activities</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2,891</w:t>
            </w:r>
          </w:p>
        </w:tc>
        <w:tc>
          <w:tcPr>
            <w:tcW w:w="20" w:type="dxa"/>
            <w:vAlign w:val="bottom"/>
            <w:shd w:val="clear" w:color="auto" w:fill="CCEEFF"/>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7460" w:type="dxa"/>
            <w:vAlign w:val="bottom"/>
          </w:tcPr>
          <w:p>
            <w:pPr>
              <w:ind w:left="20"/>
              <w:spacing w:after="0"/>
              <w:rPr>
                <w:sz w:val="20"/>
                <w:szCs w:val="20"/>
                <w:color w:val="auto"/>
              </w:rPr>
            </w:pPr>
            <w:r>
              <w:rPr>
                <w:rFonts w:ascii="Arial" w:cs="Arial" w:eastAsia="Arial" w:hAnsi="Arial"/>
                <w:sz w:val="17"/>
                <w:szCs w:val="17"/>
                <w:color w:val="auto"/>
              </w:rPr>
              <w:t>Cash paid for finance leases included in financing activities</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621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626</w:t>
            </w:r>
          </w:p>
        </w:tc>
        <w:tc>
          <w:tcPr>
            <w:tcW w:w="20" w:type="dxa"/>
            <w:vAlign w:val="bottom"/>
          </w:tcPr>
          <w:p>
            <w:pPr>
              <w:spacing w:after="0"/>
              <w:rPr>
                <w:sz w:val="18"/>
                <w:szCs w:val="18"/>
                <w:color w:val="auto"/>
              </w:rPr>
            </w:pPr>
          </w:p>
        </w:tc>
      </w:tr>
      <w:tr>
        <w:trPr>
          <w:trHeight w:val="400"/>
        </w:trPr>
        <w:tc>
          <w:tcPr>
            <w:tcW w:w="20" w:type="dxa"/>
            <w:vAlign w:val="bottom"/>
          </w:tcPr>
          <w:p>
            <w:pPr>
              <w:spacing w:after="0"/>
              <w:rPr>
                <w:sz w:val="24"/>
                <w:szCs w:val="24"/>
                <w:color w:val="auto"/>
              </w:rPr>
            </w:pPr>
          </w:p>
        </w:tc>
        <w:tc>
          <w:tcPr>
            <w:tcW w:w="7460" w:type="dxa"/>
            <w:vAlign w:val="bottom"/>
          </w:tcPr>
          <w:p>
            <w:pPr>
              <w:ind w:left="380"/>
              <w:spacing w:after="0"/>
              <w:rPr>
                <w:sz w:val="20"/>
                <w:szCs w:val="20"/>
                <w:color w:val="auto"/>
              </w:rPr>
            </w:pPr>
            <w:r>
              <w:rPr>
                <w:rFonts w:ascii="Arial" w:cs="Arial" w:eastAsia="Arial" w:hAnsi="Arial"/>
                <w:sz w:val="17"/>
                <w:szCs w:val="17"/>
                <w:color w:val="auto"/>
              </w:rPr>
              <w:t>Right-of-use assets obtained in exchange for new leases is as follows (in thousands):</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1"/>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ind w:left="320"/>
              <w:spacing w:after="0"/>
              <w:rPr>
                <w:sz w:val="20"/>
                <w:szCs w:val="20"/>
                <w:color w:val="auto"/>
              </w:rPr>
            </w:pPr>
            <w:r>
              <w:rPr>
                <w:rFonts w:ascii="Arial" w:cs="Arial" w:eastAsia="Arial" w:hAnsi="Arial"/>
                <w:sz w:val="15"/>
                <w:szCs w:val="15"/>
                <w:b w:val="1"/>
                <w:bCs w:val="1"/>
                <w:color w:val="auto"/>
                <w:w w:val="95"/>
              </w:rPr>
              <w:t>Nine months ended September 30,</w:t>
            </w: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0"/>
        </w:trPr>
        <w:tc>
          <w:tcPr>
            <w:tcW w:w="20" w:type="dxa"/>
            <w:vAlign w:val="bottom"/>
            <w:tcBorders>
              <w:bottom w:val="single" w:sz="8" w:color="CCEEFF"/>
            </w:tcBorders>
          </w:tcPr>
          <w:p>
            <w:pPr>
              <w:spacing w:after="0"/>
              <w:rPr>
                <w:sz w:val="17"/>
                <w:szCs w:val="17"/>
                <w:color w:val="auto"/>
              </w:rPr>
            </w:pPr>
          </w:p>
        </w:tc>
        <w:tc>
          <w:tcPr>
            <w:tcW w:w="746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left="898"/>
              <w:spacing w:after="0"/>
              <w:rPr>
                <w:sz w:val="20"/>
                <w:szCs w:val="20"/>
                <w:color w:val="auto"/>
              </w:rPr>
            </w:pPr>
            <w:r>
              <w:rPr>
                <w:rFonts w:ascii="Arial" w:cs="Arial" w:eastAsia="Arial" w:hAnsi="Arial"/>
                <w:sz w:val="15"/>
                <w:szCs w:val="15"/>
                <w:b w:val="1"/>
                <w:bCs w:val="1"/>
                <w:color w:val="auto"/>
                <w:w w:val="95"/>
              </w:rPr>
              <w:t>2020</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center"/>
              <w:ind w:left="217"/>
              <w:spacing w:after="0"/>
              <w:rPr>
                <w:sz w:val="20"/>
                <w:szCs w:val="20"/>
                <w:color w:val="auto"/>
              </w:rPr>
            </w:pPr>
            <w:r>
              <w:rPr>
                <w:rFonts w:ascii="Arial" w:cs="Arial" w:eastAsia="Arial" w:hAnsi="Arial"/>
                <w:sz w:val="15"/>
                <w:szCs w:val="15"/>
                <w:b w:val="1"/>
                <w:bCs w:val="1"/>
                <w:color w:val="auto"/>
                <w:w w:val="89"/>
              </w:rPr>
              <w:t>2021</w:t>
            </w:r>
          </w:p>
        </w:tc>
        <w:tc>
          <w:tcPr>
            <w:tcW w:w="20" w:type="dxa"/>
            <w:vAlign w:val="bottom"/>
          </w:tcPr>
          <w:p>
            <w:pPr>
              <w:spacing w:after="0"/>
              <w:rPr>
                <w:sz w:val="17"/>
                <w:szCs w:val="17"/>
                <w:color w:val="auto"/>
              </w:rPr>
            </w:pPr>
          </w:p>
        </w:tc>
      </w:tr>
      <w:tr>
        <w:trPr>
          <w:trHeight w:val="215"/>
        </w:trPr>
        <w:tc>
          <w:tcPr>
            <w:tcW w:w="20" w:type="dxa"/>
            <w:vAlign w:val="bottom"/>
            <w:shd w:val="clear" w:color="auto" w:fill="CCEEFF"/>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7"/>
                <w:szCs w:val="17"/>
                <w:color w:val="auto"/>
              </w:rPr>
              <w:t>Right-of-use assets obtained in exchange for new operating lease liabilities</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center"/>
              <w:ind w:left="938"/>
              <w:spacing w:after="0"/>
              <w:rPr>
                <w:sz w:val="20"/>
                <w:szCs w:val="20"/>
                <w:color w:val="auto"/>
              </w:rPr>
            </w:pPr>
            <w:r>
              <w:rPr>
                <w:rFonts w:ascii="Arial" w:cs="Arial" w:eastAsia="Arial" w:hAnsi="Arial"/>
                <w:sz w:val="17"/>
                <w:szCs w:val="17"/>
                <w:color w:val="auto"/>
                <w:w w:val="84"/>
              </w:rPr>
              <w:t>75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39"/>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(1,358)</w:t>
            </w:r>
          </w:p>
        </w:tc>
        <w:tc>
          <w:tcPr>
            <w:tcW w:w="2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7"/>
                <w:szCs w:val="17"/>
                <w:color w:val="auto"/>
              </w:rPr>
              <w:t>Right-of-use assets obtained in exchange for new finance lease liabilities</w:t>
            </w:r>
          </w:p>
        </w:tc>
        <w:tc>
          <w:tcPr>
            <w:tcW w:w="420" w:type="dxa"/>
            <w:vAlign w:val="bottom"/>
          </w:tcPr>
          <w:p>
            <w:pPr>
              <w:spacing w:after="0"/>
              <w:rPr>
                <w:sz w:val="18"/>
                <w:szCs w:val="18"/>
                <w:color w:val="auto"/>
              </w:rPr>
            </w:pPr>
          </w:p>
        </w:tc>
        <w:tc>
          <w:tcPr>
            <w:tcW w:w="1580" w:type="dxa"/>
            <w:vAlign w:val="bottom"/>
            <w:gridSpan w:val="3"/>
          </w:tcPr>
          <w:p>
            <w:pPr>
              <w:jc w:val="center"/>
              <w:ind w:left="698"/>
              <w:spacing w:after="0"/>
              <w:rPr>
                <w:sz w:val="20"/>
                <w:szCs w:val="20"/>
                <w:color w:val="auto"/>
              </w:rPr>
            </w:pPr>
            <w:r>
              <w:rPr>
                <w:rFonts w:ascii="Arial" w:cs="Arial" w:eastAsia="Arial" w:hAnsi="Arial"/>
                <w:sz w:val="17"/>
                <w:szCs w:val="17"/>
                <w:color w:val="auto"/>
                <w:w w:val="93"/>
              </w:rPr>
              <w:t>—</w:t>
            </w:r>
          </w:p>
        </w:tc>
        <w:tc>
          <w:tcPr>
            <w:tcW w:w="1100" w:type="dxa"/>
            <w:vAlign w:val="bottom"/>
          </w:tcPr>
          <w:p>
            <w:pPr>
              <w:spacing w:after="0"/>
              <w:rPr>
                <w:sz w:val="18"/>
                <w:szCs w:val="18"/>
                <w:color w:val="auto"/>
              </w:rPr>
            </w:pPr>
          </w:p>
        </w:tc>
        <w:tc>
          <w:tcPr>
            <w:tcW w:w="660" w:type="dxa"/>
            <w:vAlign w:val="bottom"/>
            <w:gridSpan w:val="2"/>
          </w:tcPr>
          <w:p>
            <w:pPr>
              <w:jc w:val="center"/>
              <w:ind w:left="237"/>
              <w:spacing w:after="0"/>
              <w:rPr>
                <w:sz w:val="20"/>
                <w:szCs w:val="20"/>
                <w:color w:val="auto"/>
              </w:rPr>
            </w:pPr>
            <w:r>
              <w:rPr>
                <w:rFonts w:ascii="Arial" w:cs="Arial" w:eastAsia="Arial" w:hAnsi="Arial"/>
                <w:sz w:val="17"/>
                <w:szCs w:val="17"/>
                <w:color w:val="auto"/>
              </w:rPr>
              <w:t>—</w:t>
            </w:r>
          </w:p>
        </w:tc>
      </w:tr>
    </w:tbl>
    <w:p>
      <w:pPr>
        <w:spacing w:after="0" w:line="183" w:lineRule="exact"/>
        <w:rPr>
          <w:sz w:val="20"/>
          <w:szCs w:val="20"/>
          <w:color w:val="auto"/>
        </w:rPr>
      </w:pPr>
    </w:p>
    <w:p>
      <w:pPr>
        <w:jc w:val="both"/>
        <w:ind w:firstLine="387"/>
        <w:spacing w:after="0" w:line="318" w:lineRule="auto"/>
        <w:rPr>
          <w:sz w:val="20"/>
          <w:szCs w:val="20"/>
          <w:color w:val="auto"/>
        </w:rPr>
      </w:pPr>
      <w:r>
        <w:rPr>
          <w:rFonts w:ascii="Arial" w:cs="Arial" w:eastAsia="Arial" w:hAnsi="Arial"/>
          <w:sz w:val="15"/>
          <w:szCs w:val="15"/>
          <w:color w:val="auto"/>
        </w:rPr>
        <w:t>During the three and nine months ended September 30, 2021, we received a leasehold improvement allowance of $1.4 million for the renovation of our home office space in Houston, Texas from our lessor. We recorded a leasehold improvement asset as property plant and equipment and reduced our right-of-use asset by $1.4 million. The leasehold improvement allowance will be recognized prospectively by ratably reducing the lease expense over the remaining lease term.</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30" w:name="page31"/>
    <w:bookmarkEnd w:id="30"/>
    <w:p>
      <w:pPr>
        <w:ind w:left="400"/>
        <w:spacing w:after="0"/>
        <w:rPr>
          <w:sz w:val="20"/>
          <w:szCs w:val="20"/>
          <w:color w:val="auto"/>
        </w:rPr>
      </w:pPr>
      <w:r>
        <w:rPr>
          <w:rFonts w:ascii="Arial" w:cs="Arial" w:eastAsia="Arial" w:hAnsi="Arial"/>
          <w:sz w:val="17"/>
          <w:szCs w:val="17"/>
          <w:color w:val="auto"/>
        </w:rPr>
        <w:t>Supplemental balance sheet information related to leases is as follows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000" w:type="dxa"/>
            <w:vAlign w:val="bottom"/>
          </w:tcPr>
          <w:p>
            <w:pPr>
              <w:ind w:left="1320"/>
              <w:spacing w:after="0"/>
              <w:rPr>
                <w:sz w:val="20"/>
                <w:szCs w:val="20"/>
                <w:color w:val="auto"/>
              </w:rPr>
            </w:pPr>
            <w:r>
              <w:rPr>
                <w:rFonts w:ascii="Arial" w:cs="Arial" w:eastAsia="Arial" w:hAnsi="Arial"/>
                <w:sz w:val="15"/>
                <w:szCs w:val="15"/>
                <w:b w:val="1"/>
                <w:bCs w:val="1"/>
                <w:color w:val="auto"/>
              </w:rPr>
              <w:t>Lease Type</w:t>
            </w:r>
          </w:p>
        </w:tc>
        <w:tc>
          <w:tcPr>
            <w:tcW w:w="4620" w:type="dxa"/>
            <w:vAlign w:val="bottom"/>
          </w:tcPr>
          <w:p>
            <w:pPr>
              <w:ind w:left="1560"/>
              <w:spacing w:after="0"/>
              <w:rPr>
                <w:sz w:val="20"/>
                <w:szCs w:val="20"/>
                <w:color w:val="auto"/>
              </w:rPr>
            </w:pPr>
            <w:r>
              <w:rPr>
                <w:rFonts w:ascii="Arial" w:cs="Arial" w:eastAsia="Arial" w:hAnsi="Arial"/>
                <w:sz w:val="15"/>
                <w:szCs w:val="15"/>
                <w:b w:val="1"/>
                <w:bCs w:val="1"/>
                <w:color w:val="auto"/>
              </w:rPr>
              <w:t>Balance Sheet Classification</w:t>
            </w:r>
          </w:p>
        </w:tc>
        <w:tc>
          <w:tcPr>
            <w:tcW w:w="300" w:type="dxa"/>
            <w:vAlign w:val="bottom"/>
          </w:tcPr>
          <w:p>
            <w:pPr>
              <w:spacing w:after="0"/>
              <w:rPr>
                <w:sz w:val="17"/>
                <w:szCs w:val="17"/>
                <w:color w:val="auto"/>
              </w:rPr>
            </w:pPr>
          </w:p>
        </w:tc>
        <w:tc>
          <w:tcPr>
            <w:tcW w:w="1560" w:type="dxa"/>
            <w:vAlign w:val="bottom"/>
            <w:gridSpan w:val="2"/>
          </w:tcPr>
          <w:p>
            <w:pPr>
              <w:ind w:left="180"/>
              <w:spacing w:after="0"/>
              <w:rPr>
                <w:sz w:val="20"/>
                <w:szCs w:val="20"/>
                <w:color w:val="auto"/>
              </w:rPr>
            </w:pPr>
            <w:r>
              <w:rPr>
                <w:rFonts w:ascii="Arial" w:cs="Arial" w:eastAsia="Arial" w:hAnsi="Arial"/>
                <w:sz w:val="15"/>
                <w:szCs w:val="15"/>
                <w:b w:val="1"/>
                <w:bCs w:val="1"/>
                <w:color w:val="auto"/>
              </w:rPr>
              <w:t>December 31, 2020</w:t>
            </w: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September 30, 2021</w:t>
            </w:r>
          </w:p>
        </w:tc>
      </w:tr>
      <w:tr>
        <w:trPr>
          <w:trHeight w:val="215"/>
        </w:trPr>
        <w:tc>
          <w:tcPr>
            <w:tcW w:w="3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462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7"/>
                <w:szCs w:val="17"/>
                <w:i w:val="1"/>
                <w:iCs w:val="1"/>
                <w:color w:val="auto"/>
              </w:rPr>
              <w:t>Operating lease right-of-use assets</w:t>
            </w: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21,201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18,307</w:t>
            </w:r>
          </w:p>
        </w:tc>
      </w:tr>
      <w:tr>
        <w:trPr>
          <w:trHeight w:val="142"/>
        </w:trPr>
        <w:tc>
          <w:tcPr>
            <w:tcW w:w="300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219"/>
        </w:trPr>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Finance lease right-of-use assets</w:t>
            </w:r>
          </w:p>
        </w:tc>
        <w:tc>
          <w:tcPr>
            <w:tcW w:w="4620" w:type="dxa"/>
            <w:vAlign w:val="bottom"/>
            <w:shd w:val="clear" w:color="auto" w:fill="CCEEFF"/>
          </w:tcPr>
          <w:p>
            <w:pPr>
              <w:ind w:left="380"/>
              <w:spacing w:after="0"/>
              <w:rPr>
                <w:sz w:val="20"/>
                <w:szCs w:val="20"/>
                <w:color w:val="auto"/>
              </w:rPr>
            </w:pPr>
            <w:r>
              <w:rPr>
                <w:rFonts w:ascii="Arial" w:cs="Arial" w:eastAsia="Arial" w:hAnsi="Arial"/>
                <w:sz w:val="17"/>
                <w:szCs w:val="17"/>
                <w:i w:val="1"/>
                <w:iCs w:val="1"/>
                <w:color w:val="auto"/>
              </w:rPr>
              <w:t>Property, plant and equipment, net</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6,770</w:t>
            </w:r>
          </w:p>
        </w:tc>
      </w:tr>
      <w:tr>
        <w:trPr>
          <w:trHeight w:val="219"/>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Accumulated depreciation</w:t>
            </w:r>
          </w:p>
        </w:tc>
        <w:tc>
          <w:tcPr>
            <w:tcW w:w="4620" w:type="dxa"/>
            <w:vAlign w:val="bottom"/>
            <w:tcBorders>
              <w:bottom w:val="single" w:sz="8" w:color="CCEEFF"/>
            </w:tcBorders>
          </w:tcPr>
          <w:p>
            <w:pPr>
              <w:ind w:left="380"/>
              <w:spacing w:after="0"/>
              <w:rPr>
                <w:sz w:val="20"/>
                <w:szCs w:val="20"/>
                <w:color w:val="auto"/>
              </w:rPr>
            </w:pPr>
            <w:r>
              <w:rPr>
                <w:rFonts w:ascii="Arial" w:cs="Arial" w:eastAsia="Arial" w:hAnsi="Arial"/>
                <w:sz w:val="17"/>
                <w:szCs w:val="17"/>
                <w:i w:val="1"/>
                <w:iCs w:val="1"/>
                <w:color w:val="auto"/>
              </w:rPr>
              <w:t>Property, plant and equipment, net</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(2,333)</w:t>
            </w:r>
          </w:p>
        </w:tc>
      </w:tr>
      <w:tr>
        <w:trPr>
          <w:trHeight w:val="213"/>
        </w:trPr>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Finance lease right-of-use assets, net</w:t>
            </w:r>
          </w:p>
        </w:tc>
        <w:tc>
          <w:tcPr>
            <w:tcW w:w="46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4,765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4,437</w:t>
            </w:r>
          </w:p>
        </w:tc>
      </w:tr>
      <w:tr>
        <w:trPr>
          <w:trHeight w:val="142"/>
        </w:trPr>
        <w:tc>
          <w:tcPr>
            <w:tcW w:w="300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219"/>
        </w:trPr>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current liabilities</w:t>
            </w:r>
          </w:p>
        </w:tc>
        <w:tc>
          <w:tcPr>
            <w:tcW w:w="4620" w:type="dxa"/>
            <w:vAlign w:val="bottom"/>
            <w:shd w:val="clear" w:color="auto" w:fill="CCEEFF"/>
          </w:tcPr>
          <w:p>
            <w:pPr>
              <w:ind w:left="380"/>
              <w:spacing w:after="0"/>
              <w:rPr>
                <w:sz w:val="20"/>
                <w:szCs w:val="20"/>
                <w:color w:val="auto"/>
              </w:rPr>
            </w:pPr>
            <w:r>
              <w:rPr>
                <w:rFonts w:ascii="Arial" w:cs="Arial" w:eastAsia="Arial" w:hAnsi="Arial"/>
                <w:sz w:val="17"/>
                <w:szCs w:val="17"/>
                <w:i w:val="1"/>
                <w:iCs w:val="1"/>
                <w:color w:val="auto"/>
              </w:rPr>
              <w:t>Current portion of operating lease obligations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1,954</w:t>
            </w:r>
          </w:p>
        </w:tc>
      </w:tr>
      <w:tr>
        <w:trPr>
          <w:trHeight w:val="219"/>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Finance lease current liabilities</w:t>
            </w:r>
          </w:p>
        </w:tc>
        <w:tc>
          <w:tcPr>
            <w:tcW w:w="4620" w:type="dxa"/>
            <w:vAlign w:val="bottom"/>
            <w:tcBorders>
              <w:bottom w:val="single" w:sz="8" w:color="CCEEFF"/>
            </w:tcBorders>
          </w:tcPr>
          <w:p>
            <w:pPr>
              <w:ind w:left="380"/>
              <w:spacing w:after="0"/>
              <w:rPr>
                <w:sz w:val="20"/>
                <w:szCs w:val="20"/>
                <w:color w:val="auto"/>
              </w:rPr>
            </w:pPr>
            <w:r>
              <w:rPr>
                <w:rFonts w:ascii="Arial" w:cs="Arial" w:eastAsia="Arial" w:hAnsi="Arial"/>
                <w:sz w:val="17"/>
                <w:szCs w:val="17"/>
                <w:i w:val="1"/>
                <w:iCs w:val="1"/>
                <w:color w:val="auto"/>
              </w:rPr>
              <w:t>Current portion of finance lease obligations</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357</w:t>
            </w:r>
          </w:p>
        </w:tc>
      </w:tr>
      <w:tr>
        <w:trPr>
          <w:trHeight w:val="213"/>
        </w:trPr>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current lease liabilities</w:t>
            </w:r>
          </w:p>
        </w:tc>
        <w:tc>
          <w:tcPr>
            <w:tcW w:w="46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2,311</w:t>
            </w:r>
          </w:p>
        </w:tc>
      </w:tr>
      <w:tr>
        <w:trPr>
          <w:trHeight w:val="142"/>
        </w:trPr>
        <w:tc>
          <w:tcPr>
            <w:tcW w:w="300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219"/>
        </w:trPr>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non-current liabilities</w:t>
            </w:r>
          </w:p>
        </w:tc>
        <w:tc>
          <w:tcPr>
            <w:tcW w:w="4620" w:type="dxa"/>
            <w:vAlign w:val="bottom"/>
            <w:shd w:val="clear" w:color="auto" w:fill="CCEEFF"/>
          </w:tcPr>
          <w:p>
            <w:pPr>
              <w:ind w:left="380"/>
              <w:spacing w:after="0"/>
              <w:rPr>
                <w:sz w:val="20"/>
                <w:szCs w:val="20"/>
                <w:color w:val="auto"/>
              </w:rPr>
            </w:pPr>
            <w:r>
              <w:rPr>
                <w:rFonts w:ascii="Arial" w:cs="Arial" w:eastAsia="Arial" w:hAnsi="Arial"/>
                <w:sz w:val="17"/>
                <w:szCs w:val="17"/>
                <w:i w:val="1"/>
                <w:iCs w:val="1"/>
                <w:color w:val="auto"/>
                <w:w w:val="98"/>
              </w:rPr>
              <w:t>Obligations under operating leases, net of current portion</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18,951</w:t>
            </w:r>
          </w:p>
        </w:tc>
      </w:tr>
      <w:tr>
        <w:trPr>
          <w:trHeight w:val="219"/>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Finance lease non-current liabilities</w:t>
            </w:r>
          </w:p>
        </w:tc>
        <w:tc>
          <w:tcPr>
            <w:tcW w:w="4620" w:type="dxa"/>
            <w:vAlign w:val="bottom"/>
            <w:tcBorders>
              <w:bottom w:val="single" w:sz="8" w:color="CCEEFF"/>
            </w:tcBorders>
          </w:tcPr>
          <w:p>
            <w:pPr>
              <w:ind w:left="380"/>
              <w:spacing w:after="0"/>
              <w:rPr>
                <w:sz w:val="20"/>
                <w:szCs w:val="20"/>
                <w:color w:val="auto"/>
              </w:rPr>
            </w:pPr>
            <w:r>
              <w:rPr>
                <w:rFonts w:ascii="Arial" w:cs="Arial" w:eastAsia="Arial" w:hAnsi="Arial"/>
                <w:sz w:val="17"/>
                <w:szCs w:val="17"/>
                <w:i w:val="1"/>
                <w:iCs w:val="1"/>
                <w:color w:val="auto"/>
              </w:rPr>
              <w:t>Obligations under finance leases, net of current portion</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5,531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5,258</w:t>
            </w:r>
          </w:p>
        </w:tc>
      </w:tr>
      <w:tr>
        <w:trPr>
          <w:trHeight w:val="213"/>
        </w:trPr>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non-current lease liabilities</w:t>
            </w:r>
          </w:p>
        </w:tc>
        <w:tc>
          <w:tcPr>
            <w:tcW w:w="46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24,209</w:t>
            </w:r>
          </w:p>
        </w:tc>
      </w:tr>
      <w:tr>
        <w:trPr>
          <w:trHeight w:val="155"/>
        </w:trPr>
        <w:tc>
          <w:tcPr>
            <w:tcW w:w="3000" w:type="dxa"/>
            <w:vAlign w:val="bottom"/>
            <w:tcBorders>
              <w:bottom w:val="single" w:sz="8" w:color="CCEEFF"/>
            </w:tcBorders>
          </w:tcPr>
          <w:p>
            <w:pPr>
              <w:spacing w:after="0"/>
              <w:rPr>
                <w:sz w:val="13"/>
                <w:szCs w:val="13"/>
                <w:color w:val="auto"/>
              </w:rPr>
            </w:pPr>
          </w:p>
        </w:tc>
        <w:tc>
          <w:tcPr>
            <w:tcW w:w="46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r>
      <w:tr>
        <w:trPr>
          <w:trHeight w:val="237"/>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lease liabilities</w:t>
            </w:r>
          </w:p>
        </w:tc>
        <w:tc>
          <w:tcPr>
            <w:tcW w:w="46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28,238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26,520</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average lease terms and discount rates at September 30, 2021 are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3"/>
          </w:tcPr>
          <w:p>
            <w:pPr>
              <w:jc w:val="center"/>
              <w:ind w:right="480"/>
              <w:spacing w:after="0"/>
              <w:rPr>
                <w:sz w:val="20"/>
                <w:szCs w:val="20"/>
                <w:color w:val="auto"/>
              </w:rPr>
            </w:pPr>
            <w:r>
              <w:rPr>
                <w:rFonts w:ascii="Arial" w:cs="Arial" w:eastAsia="Arial" w:hAnsi="Arial"/>
                <w:sz w:val="15"/>
                <w:szCs w:val="15"/>
                <w:b w:val="1"/>
                <w:bCs w:val="1"/>
                <w:color w:val="auto"/>
                <w:w w:val="91"/>
              </w:rPr>
              <w:t>Weighted-average</w:t>
            </w:r>
          </w:p>
        </w:tc>
        <w:tc>
          <w:tcPr>
            <w:tcW w:w="1880" w:type="dxa"/>
            <w:vAlign w:val="bottom"/>
            <w:gridSpan w:val="3"/>
            <w:vMerge w:val="restart"/>
          </w:tcPr>
          <w:p>
            <w:pPr>
              <w:jc w:val="right"/>
              <w:spacing w:after="0"/>
              <w:rPr>
                <w:sz w:val="20"/>
                <w:szCs w:val="20"/>
                <w:color w:val="auto"/>
              </w:rPr>
            </w:pPr>
            <w:r>
              <w:rPr>
                <w:rFonts w:ascii="Arial" w:cs="Arial" w:eastAsia="Arial" w:hAnsi="Arial"/>
                <w:sz w:val="15"/>
                <w:szCs w:val="15"/>
                <w:b w:val="1"/>
                <w:bCs w:val="1"/>
                <w:color w:val="auto"/>
                <w:w w:val="92"/>
              </w:rPr>
              <w:t>Weighted-average discount</w:t>
            </w:r>
          </w:p>
        </w:tc>
        <w:tc>
          <w:tcPr>
            <w:tcW w:w="0" w:type="dxa"/>
            <w:vAlign w:val="bottom"/>
          </w:tcPr>
          <w:p>
            <w:pPr>
              <w:spacing w:after="0"/>
              <w:rPr>
                <w:sz w:val="1"/>
                <w:szCs w:val="1"/>
                <w:color w:val="auto"/>
              </w:rPr>
            </w:pPr>
          </w:p>
        </w:tc>
      </w:tr>
      <w:tr>
        <w:trPr>
          <w:trHeight w:val="155"/>
        </w:trPr>
        <w:tc>
          <w:tcPr>
            <w:tcW w:w="7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4"/>
          </w:tcPr>
          <w:p>
            <w:pPr>
              <w:jc w:val="center"/>
              <w:ind w:right="360"/>
              <w:spacing w:after="0" w:line="155" w:lineRule="exact"/>
              <w:rPr>
                <w:sz w:val="20"/>
                <w:szCs w:val="20"/>
                <w:color w:val="auto"/>
              </w:rPr>
            </w:pPr>
            <w:r>
              <w:rPr>
                <w:rFonts w:ascii="Arial" w:cs="Arial" w:eastAsia="Arial" w:hAnsi="Arial"/>
                <w:sz w:val="15"/>
                <w:szCs w:val="15"/>
                <w:b w:val="1"/>
                <w:bCs w:val="1"/>
                <w:color w:val="auto"/>
                <w:w w:val="91"/>
              </w:rPr>
              <w:t>remaining lease term</w:t>
            </w:r>
          </w:p>
        </w:tc>
        <w:tc>
          <w:tcPr>
            <w:tcW w:w="18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7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3"/>
          </w:tcPr>
          <w:p>
            <w:pPr>
              <w:jc w:val="center"/>
              <w:ind w:right="480"/>
              <w:spacing w:after="0"/>
              <w:rPr>
                <w:sz w:val="20"/>
                <w:szCs w:val="20"/>
                <w:color w:val="auto"/>
              </w:rPr>
            </w:pPr>
            <w:r>
              <w:rPr>
                <w:rFonts w:ascii="Arial" w:cs="Arial" w:eastAsia="Arial" w:hAnsi="Arial"/>
                <w:sz w:val="15"/>
                <w:szCs w:val="15"/>
                <w:b w:val="1"/>
                <w:bCs w:val="1"/>
                <w:color w:val="auto"/>
                <w:w w:val="93"/>
              </w:rPr>
              <w:t>(years)</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ind w:right="715"/>
              <w:spacing w:after="0"/>
              <w:rPr>
                <w:sz w:val="20"/>
                <w:szCs w:val="20"/>
                <w:color w:val="auto"/>
              </w:rPr>
            </w:pPr>
            <w:r>
              <w:rPr>
                <w:rFonts w:ascii="Arial" w:cs="Arial" w:eastAsia="Arial" w:hAnsi="Arial"/>
                <w:sz w:val="15"/>
                <w:szCs w:val="15"/>
                <w:b w:val="1"/>
                <w:bCs w:val="1"/>
                <w:color w:val="auto"/>
              </w:rPr>
              <w:t>rate</w:t>
            </w:r>
          </w:p>
        </w:tc>
        <w:tc>
          <w:tcPr>
            <w:tcW w:w="0" w:type="dxa"/>
            <w:vAlign w:val="bottom"/>
          </w:tcPr>
          <w:p>
            <w:pPr>
              <w:spacing w:after="0"/>
              <w:rPr>
                <w:sz w:val="1"/>
                <w:szCs w:val="1"/>
                <w:color w:val="auto"/>
              </w:rPr>
            </w:pPr>
          </w:p>
        </w:tc>
      </w:tr>
      <w:tr>
        <w:trPr>
          <w:trHeight w:val="215"/>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leases</w:t>
            </w: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center"/>
              <w:ind w:left="1076"/>
              <w:spacing w:after="0"/>
              <w:rPr>
                <w:sz w:val="20"/>
                <w:szCs w:val="20"/>
                <w:color w:val="auto"/>
              </w:rPr>
            </w:pPr>
            <w:r>
              <w:rPr>
                <w:rFonts w:ascii="Arial" w:cs="Arial" w:eastAsia="Arial" w:hAnsi="Arial"/>
                <w:sz w:val="17"/>
                <w:szCs w:val="17"/>
                <w:color w:val="auto"/>
                <w:w w:val="90"/>
              </w:rPr>
              <w:t>10.1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8.1 %</w:t>
            </w:r>
          </w:p>
        </w:tc>
        <w:tc>
          <w:tcPr>
            <w:tcW w:w="0" w:type="dxa"/>
            <w:vAlign w:val="bottom"/>
          </w:tcPr>
          <w:p>
            <w:pPr>
              <w:spacing w:after="0"/>
              <w:rPr>
                <w:sz w:val="1"/>
                <w:szCs w:val="1"/>
                <w:color w:val="auto"/>
              </w:rPr>
            </w:pPr>
          </w:p>
        </w:tc>
      </w:tr>
      <w:tr>
        <w:trPr>
          <w:trHeight w:val="218"/>
        </w:trPr>
        <w:tc>
          <w:tcPr>
            <w:tcW w:w="7360" w:type="dxa"/>
            <w:vAlign w:val="bottom"/>
          </w:tcPr>
          <w:p>
            <w:pPr>
              <w:ind w:left="20"/>
              <w:spacing w:after="0"/>
              <w:rPr>
                <w:sz w:val="20"/>
                <w:szCs w:val="20"/>
                <w:color w:val="auto"/>
              </w:rPr>
            </w:pPr>
            <w:r>
              <w:rPr>
                <w:rFonts w:ascii="Arial" w:cs="Arial" w:eastAsia="Arial" w:hAnsi="Arial"/>
                <w:sz w:val="17"/>
                <w:szCs w:val="17"/>
                <w:color w:val="auto"/>
              </w:rPr>
              <w:t>Finance leases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ind w:left="1076"/>
              <w:spacing w:after="0"/>
              <w:rPr>
                <w:sz w:val="20"/>
                <w:szCs w:val="20"/>
                <w:color w:val="auto"/>
              </w:rPr>
            </w:pPr>
            <w:r>
              <w:rPr>
                <w:rFonts w:ascii="Arial" w:cs="Arial" w:eastAsia="Arial" w:hAnsi="Arial"/>
                <w:sz w:val="17"/>
                <w:szCs w:val="17"/>
                <w:color w:val="auto"/>
                <w:w w:val="90"/>
              </w:rPr>
              <w:t>12.5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8.2 %</w:t>
            </w:r>
          </w:p>
        </w:tc>
        <w:tc>
          <w:tcPr>
            <w:tcW w:w="0" w:type="dxa"/>
            <w:vAlign w:val="bottom"/>
          </w:tcPr>
          <w:p>
            <w:pPr>
              <w:spacing w:after="0"/>
              <w:rPr>
                <w:sz w:val="1"/>
                <w:szCs w:val="1"/>
                <w:color w:val="auto"/>
              </w:rPr>
            </w:pPr>
          </w:p>
        </w:tc>
      </w:tr>
      <w:tr>
        <w:trPr>
          <w:trHeight w:val="387"/>
        </w:trPr>
        <w:tc>
          <w:tcPr>
            <w:tcW w:w="9340" w:type="dxa"/>
            <w:vAlign w:val="bottom"/>
            <w:gridSpan w:val="6"/>
          </w:tcPr>
          <w:p>
            <w:pPr>
              <w:ind w:left="400"/>
              <w:spacing w:after="0"/>
              <w:rPr>
                <w:sz w:val="20"/>
                <w:szCs w:val="20"/>
                <w:color w:val="auto"/>
              </w:rPr>
            </w:pPr>
            <w:r>
              <w:rPr>
                <w:rFonts w:ascii="Arial" w:cs="Arial" w:eastAsia="Arial" w:hAnsi="Arial"/>
                <w:sz w:val="17"/>
                <w:szCs w:val="17"/>
                <w:color w:val="auto"/>
                <w:w w:val="95"/>
              </w:rPr>
              <w:t>The aggregate future lease payments for operating and finance leases at September 30, 2021 are as follows (in thousands):</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7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3"/>
          </w:tcPr>
          <w:p>
            <w:pPr>
              <w:ind w:left="500"/>
              <w:spacing w:after="0"/>
              <w:rPr>
                <w:sz w:val="20"/>
                <w:szCs w:val="20"/>
                <w:color w:val="auto"/>
              </w:rPr>
            </w:pPr>
            <w:r>
              <w:rPr>
                <w:rFonts w:ascii="Arial" w:cs="Arial" w:eastAsia="Arial" w:hAnsi="Arial"/>
                <w:sz w:val="15"/>
                <w:szCs w:val="15"/>
                <w:b w:val="1"/>
                <w:bCs w:val="1"/>
                <w:color w:val="auto"/>
              </w:rPr>
              <w:t>Operating</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395"/>
              <w:spacing w:after="0"/>
              <w:rPr>
                <w:sz w:val="20"/>
                <w:szCs w:val="20"/>
                <w:color w:val="auto"/>
              </w:rPr>
            </w:pPr>
            <w:r>
              <w:rPr>
                <w:rFonts w:ascii="Arial" w:cs="Arial" w:eastAsia="Arial" w:hAnsi="Arial"/>
                <w:sz w:val="15"/>
                <w:szCs w:val="15"/>
                <w:b w:val="1"/>
                <w:bCs w:val="1"/>
                <w:color w:val="auto"/>
              </w:rPr>
              <w:t>Finance</w:t>
            </w:r>
          </w:p>
        </w:tc>
        <w:tc>
          <w:tcPr>
            <w:tcW w:w="0" w:type="dxa"/>
            <w:vAlign w:val="bottom"/>
          </w:tcPr>
          <w:p>
            <w:pPr>
              <w:spacing w:after="0"/>
              <w:rPr>
                <w:sz w:val="1"/>
                <w:szCs w:val="1"/>
                <w:color w:val="auto"/>
              </w:rPr>
            </w:pPr>
          </w:p>
        </w:tc>
      </w:tr>
      <w:tr>
        <w:trPr>
          <w:trHeight w:val="202"/>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Lease payments due:</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360" w:type="dxa"/>
            <w:vAlign w:val="bottom"/>
          </w:tcPr>
          <w:p>
            <w:pPr>
              <w:ind w:left="120"/>
              <w:spacing w:after="0"/>
              <w:rPr>
                <w:sz w:val="20"/>
                <w:szCs w:val="20"/>
                <w:color w:val="auto"/>
              </w:rPr>
            </w:pPr>
            <w:r>
              <w:rPr>
                <w:rFonts w:ascii="Arial" w:cs="Arial" w:eastAsia="Arial" w:hAnsi="Arial"/>
                <w:sz w:val="17"/>
                <w:szCs w:val="17"/>
                <w:color w:val="auto"/>
              </w:rPr>
              <w:t>Remainder of 2021</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ind w:right="80"/>
              <w:spacing w:after="0"/>
              <w:rPr>
                <w:sz w:val="20"/>
                <w:szCs w:val="20"/>
                <w:color w:val="auto"/>
              </w:rPr>
            </w:pPr>
            <w:r>
              <w:rPr>
                <w:rFonts w:ascii="Arial" w:cs="Arial" w:eastAsia="Arial" w:hAnsi="Arial"/>
                <w:sz w:val="17"/>
                <w:szCs w:val="17"/>
                <w:color w:val="auto"/>
              </w:rPr>
              <w:t>935</w:t>
            </w:r>
          </w:p>
        </w:tc>
        <w:tc>
          <w:tcPr>
            <w:tcW w:w="100" w:type="dxa"/>
            <w:vAlign w:val="bottom"/>
          </w:tcPr>
          <w:p>
            <w:pPr>
              <w:spacing w:after="0"/>
              <w:rPr>
                <w:sz w:val="19"/>
                <w:szCs w:val="19"/>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209</w:t>
            </w:r>
          </w:p>
        </w:tc>
        <w:tc>
          <w:tcPr>
            <w:tcW w:w="0" w:type="dxa"/>
            <w:vAlign w:val="bottom"/>
          </w:tcPr>
          <w:p>
            <w:pPr>
              <w:spacing w:after="0"/>
              <w:rPr>
                <w:sz w:val="1"/>
                <w:szCs w:val="1"/>
                <w:color w:val="auto"/>
              </w:rPr>
            </w:pPr>
          </w:p>
        </w:tc>
      </w:tr>
      <w:tr>
        <w:trPr>
          <w:trHeight w:val="220"/>
        </w:trPr>
        <w:tc>
          <w:tcPr>
            <w:tcW w:w="7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2022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3,453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860</w:t>
            </w:r>
          </w:p>
        </w:tc>
        <w:tc>
          <w:tcPr>
            <w:tcW w:w="0" w:type="dxa"/>
            <w:vAlign w:val="bottom"/>
          </w:tcPr>
          <w:p>
            <w:pPr>
              <w:spacing w:after="0"/>
              <w:rPr>
                <w:sz w:val="1"/>
                <w:szCs w:val="1"/>
                <w:color w:val="auto"/>
              </w:rPr>
            </w:pPr>
          </w:p>
        </w:tc>
      </w:tr>
      <w:tr>
        <w:trPr>
          <w:trHeight w:val="219"/>
        </w:trPr>
        <w:tc>
          <w:tcPr>
            <w:tcW w:w="7360" w:type="dxa"/>
            <w:vAlign w:val="bottom"/>
          </w:tcPr>
          <w:p>
            <w:pPr>
              <w:ind w:left="120"/>
              <w:spacing w:after="0"/>
              <w:rPr>
                <w:sz w:val="20"/>
                <w:szCs w:val="20"/>
                <w:color w:val="auto"/>
              </w:rPr>
            </w:pPr>
            <w:r>
              <w:rPr>
                <w:rFonts w:ascii="Arial" w:cs="Arial" w:eastAsia="Arial" w:hAnsi="Arial"/>
                <w:sz w:val="17"/>
                <w:szCs w:val="17"/>
                <w:color w:val="auto"/>
              </w:rPr>
              <w:t>2023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7"/>
                <w:szCs w:val="17"/>
                <w:color w:val="auto"/>
              </w:rPr>
              <w:t>3,326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860</w:t>
            </w:r>
          </w:p>
        </w:tc>
        <w:tc>
          <w:tcPr>
            <w:tcW w:w="0" w:type="dxa"/>
            <w:vAlign w:val="bottom"/>
          </w:tcPr>
          <w:p>
            <w:pPr>
              <w:spacing w:after="0"/>
              <w:rPr>
                <w:sz w:val="1"/>
                <w:szCs w:val="1"/>
                <w:color w:val="auto"/>
              </w:rPr>
            </w:pPr>
          </w:p>
        </w:tc>
      </w:tr>
      <w:tr>
        <w:trPr>
          <w:trHeight w:val="220"/>
        </w:trPr>
        <w:tc>
          <w:tcPr>
            <w:tcW w:w="7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2024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w:t>
            </w:r>
          </w:p>
        </w:tc>
        <w:tc>
          <w:tcPr>
            <w:tcW w:w="0" w:type="dxa"/>
            <w:vAlign w:val="bottom"/>
          </w:tcPr>
          <w:p>
            <w:pPr>
              <w:spacing w:after="0"/>
              <w:rPr>
                <w:sz w:val="1"/>
                <w:szCs w:val="1"/>
                <w:color w:val="auto"/>
              </w:rPr>
            </w:pPr>
          </w:p>
        </w:tc>
      </w:tr>
      <w:tr>
        <w:trPr>
          <w:trHeight w:val="219"/>
        </w:trPr>
        <w:tc>
          <w:tcPr>
            <w:tcW w:w="7360" w:type="dxa"/>
            <w:vAlign w:val="bottom"/>
          </w:tcPr>
          <w:p>
            <w:pPr>
              <w:ind w:left="120"/>
              <w:spacing w:after="0"/>
              <w:rPr>
                <w:sz w:val="20"/>
                <w:szCs w:val="20"/>
                <w:color w:val="auto"/>
              </w:rPr>
            </w:pPr>
            <w:r>
              <w:rPr>
                <w:rFonts w:ascii="Arial" w:cs="Arial" w:eastAsia="Arial" w:hAnsi="Arial"/>
                <w:sz w:val="17"/>
                <w:szCs w:val="17"/>
                <w:color w:val="auto"/>
              </w:rPr>
              <w:t>2025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7"/>
                <w:szCs w:val="17"/>
                <w:color w:val="auto"/>
              </w:rPr>
              <w:t>3,162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736</w:t>
            </w:r>
          </w:p>
        </w:tc>
        <w:tc>
          <w:tcPr>
            <w:tcW w:w="0" w:type="dxa"/>
            <w:vAlign w:val="bottom"/>
          </w:tcPr>
          <w:p>
            <w:pPr>
              <w:spacing w:after="0"/>
              <w:rPr>
                <w:sz w:val="1"/>
                <w:szCs w:val="1"/>
                <w:color w:val="auto"/>
              </w:rPr>
            </w:pPr>
          </w:p>
        </w:tc>
      </w:tr>
      <w:tr>
        <w:trPr>
          <w:trHeight w:val="220"/>
        </w:trPr>
        <w:tc>
          <w:tcPr>
            <w:tcW w:w="7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Thereafter</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16,187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5,555</w:t>
            </w:r>
          </w:p>
        </w:tc>
        <w:tc>
          <w:tcPr>
            <w:tcW w:w="0" w:type="dxa"/>
            <w:vAlign w:val="bottom"/>
          </w:tcPr>
          <w:p>
            <w:pPr>
              <w:spacing w:after="0"/>
              <w:rPr>
                <w:sz w:val="1"/>
                <w:szCs w:val="1"/>
                <w:color w:val="auto"/>
              </w:rPr>
            </w:pPr>
          </w:p>
        </w:tc>
      </w:tr>
      <w:tr>
        <w:trPr>
          <w:trHeight w:val="212"/>
        </w:trPr>
        <w:tc>
          <w:tcPr>
            <w:tcW w:w="7360" w:type="dxa"/>
            <w:vAlign w:val="bottom"/>
          </w:tcPr>
          <w:p>
            <w:pPr>
              <w:ind w:left="20"/>
              <w:spacing w:after="0"/>
              <w:rPr>
                <w:sz w:val="20"/>
                <w:szCs w:val="20"/>
                <w:color w:val="auto"/>
              </w:rPr>
            </w:pPr>
            <w:r>
              <w:rPr>
                <w:rFonts w:ascii="Arial" w:cs="Arial" w:eastAsia="Arial" w:hAnsi="Arial"/>
                <w:sz w:val="17"/>
                <w:szCs w:val="17"/>
                <w:color w:val="auto"/>
              </w:rPr>
              <w:t>Total lease payments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7"/>
                <w:szCs w:val="17"/>
                <w:color w:val="auto"/>
              </w:rPr>
              <w:t>30,364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9,011</w:t>
            </w: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Less: Interest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gridSpan w:val="2"/>
            <w:shd w:val="clear" w:color="auto" w:fill="CCEEFF"/>
          </w:tcPr>
          <w:p>
            <w:pPr>
              <w:jc w:val="center"/>
              <w:ind w:left="976"/>
              <w:spacing w:after="0"/>
              <w:rPr>
                <w:sz w:val="20"/>
                <w:szCs w:val="20"/>
                <w:color w:val="auto"/>
              </w:rPr>
            </w:pPr>
            <w:r>
              <w:rPr>
                <w:rFonts w:ascii="Arial" w:cs="Arial" w:eastAsia="Arial" w:hAnsi="Arial"/>
                <w:sz w:val="17"/>
                <w:szCs w:val="17"/>
                <w:color w:val="auto"/>
                <w:w w:val="92"/>
              </w:rPr>
              <w:t>(9,459)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(3,396)</w:t>
            </w:r>
          </w:p>
        </w:tc>
        <w:tc>
          <w:tcPr>
            <w:tcW w:w="0" w:type="dxa"/>
            <w:vAlign w:val="bottom"/>
          </w:tcPr>
          <w:p>
            <w:pPr>
              <w:spacing w:after="0"/>
              <w:rPr>
                <w:sz w:val="1"/>
                <w:szCs w:val="1"/>
                <w:color w:val="auto"/>
              </w:rPr>
            </w:pPr>
          </w:p>
        </w:tc>
      </w:tr>
      <w:tr>
        <w:trPr>
          <w:trHeight w:val="213"/>
        </w:trPr>
        <w:tc>
          <w:tcPr>
            <w:tcW w:w="7360" w:type="dxa"/>
            <w:vAlign w:val="bottom"/>
          </w:tcPr>
          <w:p>
            <w:pPr>
              <w:ind w:left="20"/>
              <w:spacing w:after="0"/>
              <w:rPr>
                <w:sz w:val="20"/>
                <w:szCs w:val="20"/>
                <w:color w:val="auto"/>
              </w:rPr>
            </w:pPr>
            <w:r>
              <w:rPr>
                <w:rFonts w:ascii="Arial" w:cs="Arial" w:eastAsia="Arial" w:hAnsi="Arial"/>
                <w:sz w:val="17"/>
                <w:szCs w:val="17"/>
                <w:color w:val="auto"/>
              </w:rPr>
              <w:t>Present value of lease liabilities</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ind w:right="80"/>
              <w:spacing w:after="0"/>
              <w:rPr>
                <w:sz w:val="20"/>
                <w:szCs w:val="20"/>
                <w:color w:val="auto"/>
              </w:rPr>
            </w:pPr>
            <w:r>
              <w:rPr>
                <w:rFonts w:ascii="Arial" w:cs="Arial" w:eastAsia="Arial" w:hAnsi="Arial"/>
                <w:sz w:val="17"/>
                <w:szCs w:val="17"/>
                <w:color w:val="auto"/>
              </w:rPr>
              <w:t>20,905</w:t>
            </w:r>
          </w:p>
        </w:tc>
        <w:tc>
          <w:tcPr>
            <w:tcW w:w="100" w:type="dxa"/>
            <w:vAlign w:val="bottom"/>
          </w:tcPr>
          <w:p>
            <w:pPr>
              <w:spacing w:after="0"/>
              <w:rPr>
                <w:sz w:val="18"/>
                <w:szCs w:val="18"/>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5,615</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At September 30, 2021, we had no additional significant operating or finance leases that had not yet commenced.</w:t>
      </w:r>
    </w:p>
    <w:p>
      <w:pPr>
        <w:spacing w:after="0" w:line="263" w:lineRule="exact"/>
        <w:rPr>
          <w:sz w:val="20"/>
          <w:szCs w:val="20"/>
          <w:color w:val="auto"/>
        </w:rPr>
      </w:pPr>
    </w:p>
    <w:p>
      <w:pPr>
        <w:ind w:left="620" w:hanging="617"/>
        <w:spacing w:after="0"/>
        <w:tabs>
          <w:tab w:leader="none" w:pos="620"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w:t>
      </w:r>
    </w:p>
    <w:p>
      <w:pPr>
        <w:spacing w:after="0" w:line="120"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6"/>
          <w:szCs w:val="16"/>
          <w:i w:val="1"/>
          <w:iCs w:val="1"/>
          <w:color w:val="auto"/>
        </w:rPr>
        <w:t>Chinchilla v. Carriage Services, Inc., et al.</w:t>
      </w:r>
      <w:r>
        <w:rPr>
          <w:rFonts w:ascii="Arial" w:cs="Arial" w:eastAsia="Arial" w:hAnsi="Arial"/>
          <w:sz w:val="16"/>
          <w:szCs w:val="16"/>
          <w:color w:val="auto"/>
        </w:rPr>
        <w:t>, Superior Court of California, San Joaquin County, Case No. STK-CV-UOE-2021-0004661. On May 19, 2021, a</w:t>
      </w:r>
      <w:r>
        <w:rPr>
          <w:rFonts w:ascii="Arial" w:cs="Arial" w:eastAsia="Arial" w:hAnsi="Arial"/>
          <w:sz w:val="16"/>
          <w:szCs w:val="16"/>
          <w:i w:val="1"/>
          <w:iCs w:val="1"/>
          <w:color w:val="auto"/>
        </w:rPr>
        <w:t xml:space="preserve"> </w:t>
      </w:r>
      <w:r>
        <w:rPr>
          <w:rFonts w:ascii="Arial" w:cs="Arial" w:eastAsia="Arial" w:hAnsi="Arial"/>
          <w:sz w:val="16"/>
          <w:szCs w:val="16"/>
          <w:color w:val="auto"/>
        </w:rPr>
        <w:t>putative class action against the Company and several of our subsidiaries was filed. Plaintiff, a former employee, seeks monetary damages on behalf of himself and other similarly situated current and former non-exempt employees in California. Plaintiff claims that the Company failed to, among other things, pay minimum wages, provide meal and rest breaks, pay overtime, provide accurately itemized wage statements, reimburse employees for business expenses, and provide wages when due. At September 30, 2021, we are unable to reasonably estimate the possible loss or ranges of loss, if any.</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31" w:name="page32"/>
    <w:bookmarkEnd w:id="31"/>
    <w:p>
      <w:pPr>
        <w:ind w:left="620" w:hanging="617"/>
        <w:spacing w:after="0"/>
        <w:tabs>
          <w:tab w:leader="none" w:pos="62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w:t>
      </w:r>
      <w:r>
        <w:rPr>
          <w:rFonts w:ascii="Arial" w:cs="Arial" w:eastAsia="Arial" w:hAnsi="Arial"/>
          <w:sz w:val="17"/>
          <w:szCs w:val="17"/>
          <w:color w:val="auto"/>
        </w:rPr>
        <w:t>’</w:t>
      </w:r>
      <w:r>
        <w:rPr>
          <w:rFonts w:ascii="Arial" w:cs="Arial" w:eastAsia="Arial" w:hAnsi="Arial"/>
          <w:sz w:val="17"/>
          <w:szCs w:val="17"/>
          <w:b w:val="1"/>
          <w:bCs w:val="1"/>
          <w:color w:val="auto"/>
        </w:rPr>
        <w:t xml:space="preserve"> EQUITY</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Restricted Stock</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Restricted stock activity is as follows (in thousands, except shares):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520" w:type="dxa"/>
            <w:vAlign w:val="bottom"/>
          </w:tcPr>
          <w:p>
            <w:pPr>
              <w:spacing w:after="0"/>
              <w:rPr>
                <w:sz w:val="17"/>
                <w:szCs w:val="17"/>
                <w:color w:val="auto"/>
              </w:rPr>
            </w:pPr>
          </w:p>
        </w:tc>
        <w:tc>
          <w:tcPr>
            <w:tcW w:w="3420" w:type="dxa"/>
            <w:vAlign w:val="bottom"/>
            <w:tcBorders>
              <w:bottom w:val="single" w:sz="8" w:color="auto"/>
            </w:tcBorders>
            <w:gridSpan w:val="4"/>
          </w:tcPr>
          <w:p>
            <w:pPr>
              <w:jc w:val="right"/>
              <w:ind w:right="17"/>
              <w:spacing w:after="0"/>
              <w:rPr>
                <w:sz w:val="20"/>
                <w:szCs w:val="20"/>
                <w:color w:val="auto"/>
              </w:rPr>
            </w:pPr>
            <w:r>
              <w:rPr>
                <w:rFonts w:ascii="Arial" w:cs="Arial" w:eastAsia="Arial" w:hAnsi="Arial"/>
                <w:sz w:val="15"/>
                <w:szCs w:val="15"/>
                <w:b w:val="1"/>
                <w:bCs w:val="1"/>
                <w:color w:val="auto"/>
              </w:rPr>
              <w:t>Three months ended September 30,</w:t>
            </w:r>
          </w:p>
        </w:tc>
        <w:tc>
          <w:tcPr>
            <w:tcW w:w="8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5"/>
          </w:tcPr>
          <w:p>
            <w:pPr>
              <w:jc w:val="right"/>
              <w:ind w:right="54"/>
              <w:spacing w:after="0"/>
              <w:rPr>
                <w:sz w:val="20"/>
                <w:szCs w:val="20"/>
                <w:color w:val="auto"/>
              </w:rPr>
            </w:pPr>
            <w:r>
              <w:rPr>
                <w:rFonts w:ascii="Arial" w:cs="Arial" w:eastAsia="Arial" w:hAnsi="Arial"/>
                <w:sz w:val="15"/>
                <w:szCs w:val="15"/>
                <w:b w:val="1"/>
                <w:bCs w:val="1"/>
                <w:color w:val="auto"/>
                <w:w w:val="92"/>
              </w:rPr>
              <w:t>Nine months ended September 30,</w:t>
            </w:r>
          </w:p>
        </w:tc>
        <w:tc>
          <w:tcPr>
            <w:tcW w:w="860" w:type="dxa"/>
            <w:vAlign w:val="bottom"/>
            <w:tcBorders>
              <w:bottom w:val="single" w:sz="8" w:color="auto"/>
            </w:tcBorders>
          </w:tcPr>
          <w:p>
            <w:pPr>
              <w:spacing w:after="0"/>
              <w:rPr>
                <w:sz w:val="17"/>
                <w:szCs w:val="17"/>
                <w:color w:val="auto"/>
              </w:rPr>
            </w:pPr>
          </w:p>
        </w:tc>
      </w:tr>
      <w:tr>
        <w:trPr>
          <w:trHeight w:val="200"/>
        </w:trPr>
        <w:tc>
          <w:tcPr>
            <w:tcW w:w="25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2020</w:t>
            </w: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2021</w:t>
            </w:r>
          </w:p>
        </w:tc>
        <w:tc>
          <w:tcPr>
            <w:tcW w:w="860" w:type="dxa"/>
            <w:vAlign w:val="bottom"/>
            <w:tcBorders>
              <w:bottom w:val="single" w:sz="8" w:color="auto"/>
            </w:tcBorders>
          </w:tcPr>
          <w:p>
            <w:pPr>
              <w:spacing w:after="0"/>
              <w:rPr>
                <w:sz w:val="17"/>
                <w:szCs w:val="17"/>
                <w:color w:val="auto"/>
              </w:rPr>
            </w:pPr>
          </w:p>
        </w:tc>
      </w:tr>
      <w:tr>
        <w:trPr>
          <w:trHeight w:val="202"/>
        </w:trPr>
        <w:tc>
          <w:tcPr>
            <w:tcW w:w="25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78"/>
              <w:spacing w:after="0"/>
              <w:rPr>
                <w:sz w:val="20"/>
                <w:szCs w:val="20"/>
                <w:color w:val="auto"/>
              </w:rPr>
            </w:pPr>
            <w:r>
              <w:rPr>
                <w:rFonts w:ascii="Arial" w:cs="Arial" w:eastAsia="Arial" w:hAnsi="Arial"/>
                <w:sz w:val="15"/>
                <w:szCs w:val="15"/>
                <w:b w:val="1"/>
                <w:bCs w:val="1"/>
                <w:color w:val="auto"/>
              </w:rPr>
              <w:t>Shares</w:t>
            </w:r>
          </w:p>
        </w:tc>
        <w:tc>
          <w:tcPr>
            <w:tcW w:w="8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Fair Value</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77"/>
              <w:spacing w:after="0"/>
              <w:rPr>
                <w:sz w:val="20"/>
                <w:szCs w:val="20"/>
                <w:color w:val="auto"/>
              </w:rPr>
            </w:pPr>
            <w:r>
              <w:rPr>
                <w:rFonts w:ascii="Arial" w:cs="Arial" w:eastAsia="Arial" w:hAnsi="Arial"/>
                <w:sz w:val="15"/>
                <w:szCs w:val="15"/>
                <w:b w:val="1"/>
                <w:bCs w:val="1"/>
                <w:color w:val="auto"/>
              </w:rPr>
              <w:t>Shares</w:t>
            </w:r>
          </w:p>
        </w:tc>
        <w:tc>
          <w:tcPr>
            <w:tcW w:w="8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Fair Value</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57"/>
              <w:spacing w:after="0"/>
              <w:rPr>
                <w:sz w:val="20"/>
                <w:szCs w:val="20"/>
                <w:color w:val="auto"/>
              </w:rPr>
            </w:pPr>
            <w:r>
              <w:rPr>
                <w:rFonts w:ascii="Arial" w:cs="Arial" w:eastAsia="Arial" w:hAnsi="Arial"/>
                <w:sz w:val="15"/>
                <w:szCs w:val="15"/>
                <w:b w:val="1"/>
                <w:bCs w:val="1"/>
                <w:color w:val="auto"/>
              </w:rPr>
              <w:t>Shares</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6"/>
              <w:spacing w:after="0"/>
              <w:rPr>
                <w:sz w:val="20"/>
                <w:szCs w:val="20"/>
                <w:color w:val="auto"/>
              </w:rPr>
            </w:pPr>
            <w:r>
              <w:rPr>
                <w:rFonts w:ascii="Arial" w:cs="Arial" w:eastAsia="Arial" w:hAnsi="Arial"/>
                <w:sz w:val="15"/>
                <w:szCs w:val="15"/>
                <w:b w:val="1"/>
                <w:bCs w:val="1"/>
                <w:color w:val="auto"/>
                <w:w w:val="94"/>
              </w:rPr>
              <w:t>Fair Value</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77"/>
              <w:spacing w:after="0"/>
              <w:rPr>
                <w:sz w:val="20"/>
                <w:szCs w:val="20"/>
                <w:color w:val="auto"/>
              </w:rPr>
            </w:pPr>
            <w:r>
              <w:rPr>
                <w:rFonts w:ascii="Arial" w:cs="Arial" w:eastAsia="Arial" w:hAnsi="Arial"/>
                <w:sz w:val="15"/>
                <w:szCs w:val="15"/>
                <w:b w:val="1"/>
                <w:bCs w:val="1"/>
                <w:color w:val="auto"/>
              </w:rPr>
              <w:t>Shares</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6"/>
              <w:spacing w:after="0"/>
              <w:rPr>
                <w:sz w:val="20"/>
                <w:szCs w:val="20"/>
                <w:color w:val="auto"/>
              </w:rPr>
            </w:pPr>
            <w:r>
              <w:rPr>
                <w:rFonts w:ascii="Arial" w:cs="Arial" w:eastAsia="Arial" w:hAnsi="Arial"/>
                <w:sz w:val="15"/>
                <w:szCs w:val="15"/>
                <w:b w:val="1"/>
                <w:bCs w:val="1"/>
                <w:color w:val="auto"/>
                <w:w w:val="94"/>
              </w:rPr>
              <w:t>Fair Value</w:t>
            </w:r>
          </w:p>
        </w:tc>
      </w:tr>
      <w:tr>
        <w:trPr>
          <w:trHeight w:val="219"/>
        </w:trPr>
        <w:tc>
          <w:tcPr>
            <w:tcW w:w="2520" w:type="dxa"/>
            <w:vAlign w:val="bottom"/>
          </w:tcPr>
          <w:p>
            <w:pPr>
              <w:ind w:left="20"/>
              <w:spacing w:after="0" w:line="220" w:lineRule="exact"/>
              <w:rPr>
                <w:sz w:val="20"/>
                <w:szCs w:val="20"/>
                <w:color w:val="auto"/>
              </w:rPr>
            </w:pPr>
            <w:r>
              <w:rPr>
                <w:rFonts w:ascii="Arial" w:cs="Arial" w:eastAsia="Arial" w:hAnsi="Arial"/>
                <w:sz w:val="17"/>
                <w:szCs w:val="17"/>
                <w:color w:val="auto"/>
              </w:rPr>
              <w:t>Granted</w:t>
            </w:r>
            <w:r>
              <w:rPr>
                <w:rFonts w:ascii="Arial" w:cs="Arial" w:eastAsia="Arial" w:hAnsi="Arial"/>
                <w:sz w:val="22"/>
                <w:szCs w:val="22"/>
                <w:color w:val="auto"/>
                <w:vertAlign w:val="superscript"/>
              </w:rPr>
              <w:t>(1)</w:t>
            </w:r>
          </w:p>
        </w:tc>
        <w:tc>
          <w:tcPr>
            <w:tcW w:w="1200" w:type="dxa"/>
            <w:vAlign w:val="bottom"/>
          </w:tcPr>
          <w:p>
            <w:pPr>
              <w:jc w:val="right"/>
              <w:spacing w:after="0"/>
              <w:rPr>
                <w:sz w:val="20"/>
                <w:szCs w:val="20"/>
                <w:color w:val="auto"/>
              </w:rPr>
            </w:pPr>
            <w:r>
              <w:rPr>
                <w:rFonts w:ascii="Arial" w:cs="Arial" w:eastAsia="Arial" w:hAnsi="Arial"/>
                <w:sz w:val="17"/>
                <w:szCs w:val="17"/>
                <w:color w:val="auto"/>
              </w:rPr>
              <w:t>— $</w:t>
            </w:r>
          </w:p>
        </w:tc>
        <w:tc>
          <w:tcPr>
            <w:tcW w:w="1020" w:type="dxa"/>
            <w:vAlign w:val="bottom"/>
            <w:gridSpan w:val="2"/>
          </w:tcPr>
          <w:p>
            <w:pPr>
              <w:ind w:left="62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 $</w:t>
            </w:r>
          </w:p>
        </w:tc>
        <w:tc>
          <w:tcPr>
            <w:tcW w:w="1020" w:type="dxa"/>
            <w:vAlign w:val="bottom"/>
            <w:gridSpan w:val="2"/>
          </w:tcPr>
          <w:p>
            <w:pPr>
              <w:ind w:left="62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10,200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255</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9,300</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324</w:t>
            </w:r>
          </w:p>
        </w:tc>
      </w:tr>
      <w:tr>
        <w:trPr>
          <w:trHeight w:val="219"/>
        </w:trPr>
        <w:tc>
          <w:tcPr>
            <w:tcW w:w="2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Returned for payroll taxes</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714 $</w:t>
            </w:r>
          </w:p>
        </w:tc>
        <w:tc>
          <w:tcPr>
            <w:tcW w:w="8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16</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711 $</w:t>
            </w:r>
          </w:p>
        </w:tc>
        <w:tc>
          <w:tcPr>
            <w:tcW w:w="8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28</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10,588</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10,399</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w:t>
            </w:r>
          </w:p>
        </w:tc>
      </w:tr>
      <w:tr>
        <w:trPr>
          <w:trHeight w:val="218"/>
        </w:trPr>
        <w:tc>
          <w:tcPr>
            <w:tcW w:w="2520" w:type="dxa"/>
            <w:vAlign w:val="bottom"/>
          </w:tcPr>
          <w:p>
            <w:pPr>
              <w:ind w:left="20"/>
              <w:spacing w:after="0"/>
              <w:rPr>
                <w:sz w:val="20"/>
                <w:szCs w:val="20"/>
                <w:color w:val="auto"/>
              </w:rPr>
            </w:pPr>
            <w:r>
              <w:rPr>
                <w:rFonts w:ascii="Arial" w:cs="Arial" w:eastAsia="Arial" w:hAnsi="Arial"/>
                <w:sz w:val="17"/>
                <w:szCs w:val="17"/>
                <w:color w:val="auto"/>
              </w:rPr>
              <w:t>Cancelled</w:t>
            </w:r>
          </w:p>
        </w:tc>
        <w:tc>
          <w:tcPr>
            <w:tcW w:w="1200" w:type="dxa"/>
            <w:vAlign w:val="bottom"/>
          </w:tcPr>
          <w:p>
            <w:pPr>
              <w:jc w:val="right"/>
              <w:spacing w:after="0"/>
              <w:rPr>
                <w:sz w:val="20"/>
                <w:szCs w:val="20"/>
                <w:color w:val="auto"/>
              </w:rPr>
            </w:pPr>
            <w:r>
              <w:rPr>
                <w:rFonts w:ascii="Arial" w:cs="Arial" w:eastAsia="Arial" w:hAnsi="Arial"/>
                <w:sz w:val="17"/>
                <w:szCs w:val="17"/>
                <w:color w:val="auto"/>
              </w:rPr>
              <w:t>— $</w:t>
            </w:r>
          </w:p>
        </w:tc>
        <w:tc>
          <w:tcPr>
            <w:tcW w:w="1020" w:type="dxa"/>
            <w:vAlign w:val="bottom"/>
            <w:gridSpan w:val="2"/>
          </w:tcPr>
          <w:p>
            <w:pPr>
              <w:ind w:left="62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 $</w:t>
            </w:r>
          </w:p>
        </w:tc>
        <w:tc>
          <w:tcPr>
            <w:tcW w:w="1020" w:type="dxa"/>
            <w:vAlign w:val="bottom"/>
            <w:gridSpan w:val="2"/>
          </w:tcPr>
          <w:p>
            <w:pPr>
              <w:ind w:left="62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966</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71139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3905" cy="8255"/>
                    </a:xfrm>
                    <a:prstGeom prst="rect">
                      <a:avLst/>
                    </a:prstGeom>
                    <a:noFill/>
                  </pic:spPr>
                </pic:pic>
              </a:graphicData>
            </a:graphic>
          </wp:anchor>
        </w:drawing>
      </w:r>
    </w:p>
    <w:p>
      <w:pPr>
        <w:spacing w:after="0" w:line="58" w:lineRule="exact"/>
        <w:rPr>
          <w:sz w:val="20"/>
          <w:szCs w:val="20"/>
          <w:color w:val="auto"/>
        </w:rPr>
      </w:pPr>
    </w:p>
    <w:p>
      <w:pPr>
        <w:ind w:left="400" w:hanging="380"/>
        <w:spacing w:after="0"/>
        <w:tabs>
          <w:tab w:leader="none" w:pos="400" w:val="left"/>
        </w:tabs>
        <w:numPr>
          <w:ilvl w:val="0"/>
          <w:numId w:val="18"/>
        </w:numPr>
        <w:rPr>
          <w:rFonts w:ascii="Arial" w:cs="Arial" w:eastAsia="Arial" w:hAnsi="Arial"/>
          <w:sz w:val="26"/>
          <w:szCs w:val="26"/>
          <w:color w:val="auto"/>
          <w:vertAlign w:val="superscript"/>
        </w:rPr>
      </w:pPr>
      <w:r>
        <w:rPr>
          <w:rFonts w:ascii="Arial" w:cs="Arial" w:eastAsia="Arial" w:hAnsi="Arial"/>
          <w:sz w:val="13"/>
          <w:szCs w:val="13"/>
          <w:color w:val="auto"/>
        </w:rPr>
        <w:t>Restricted stock granted during the nine months ended September 30, 2020 and 2021 vest over a three-year period at a weighted average stock price of $25.00 and $34.79, respectively.</w:t>
      </w:r>
    </w:p>
    <w:p>
      <w:pPr>
        <w:spacing w:after="0" w:line="193"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 xml:space="preserve">We recorded stock-based compensation expense, which is included in </w:t>
      </w:r>
      <w:r>
        <w:rPr>
          <w:rFonts w:ascii="Arial" w:cs="Arial" w:eastAsia="Arial" w:hAnsi="Arial"/>
          <w:sz w:val="17"/>
          <w:szCs w:val="17"/>
          <w:i w:val="1"/>
          <w:iCs w:val="1"/>
          <w:color w:val="auto"/>
        </w:rPr>
        <w:t>General, administrative and other expenses</w:t>
      </w:r>
      <w:r>
        <w:rPr>
          <w:rFonts w:ascii="Arial" w:cs="Arial" w:eastAsia="Arial" w:hAnsi="Arial"/>
          <w:sz w:val="17"/>
          <w:szCs w:val="17"/>
          <w:color w:val="auto"/>
        </w:rPr>
        <w:t xml:space="preserve">, for restricted stock awards of $183,000 and $89,000, for the three months ended September 30, 2020 and 2021, respectively and $551,000 and $308,000, for the nine months ended September 30, 2020 </w:t>
      </w:r>
      <w:r>
        <w:rPr>
          <w:rFonts w:ascii="Arial" w:cs="Arial" w:eastAsia="Arial" w:hAnsi="Arial"/>
          <w:sz w:val="15"/>
          <w:szCs w:val="15"/>
          <w:color w:val="auto"/>
        </w:rPr>
        <w:t xml:space="preserve">and </w:t>
      </w:r>
      <w:r>
        <w:rPr>
          <w:rFonts w:ascii="Arial" w:cs="Arial" w:eastAsia="Arial" w:hAnsi="Arial"/>
          <w:sz w:val="17"/>
          <w:szCs w:val="17"/>
          <w:color w:val="auto"/>
        </w:rPr>
        <w:t>2021,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Options</w:t>
      </w:r>
    </w:p>
    <w:p>
      <w:pPr>
        <w:spacing w:after="0" w:line="114"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During the nine months ended September 30, 2021, we granted 150,000 options to a certain key employee at a weighted average price of $34.79. These options will vest when the price of our common stock closes at or above $53.39 (50,000 options) and $77.34 (100,000 options) for three consecutive days within the ten-year term and the employee has remained continuously employed by us through such date. The fair value of these options was $1.7 million. In addition, in accordance with the terms of the separation agreement, we accelerated 12,980 options in connection with the resignation of an employee which resulted in an additional $129,000 of stock-based compensation expense.</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Additional stock option activity is as follows (in thousands, except shares):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520" w:type="dxa"/>
            <w:vAlign w:val="bottom"/>
          </w:tcPr>
          <w:p>
            <w:pPr>
              <w:spacing w:after="0"/>
              <w:rPr>
                <w:sz w:val="17"/>
                <w:szCs w:val="17"/>
                <w:color w:val="auto"/>
              </w:rPr>
            </w:pPr>
          </w:p>
        </w:tc>
        <w:tc>
          <w:tcPr>
            <w:tcW w:w="3420" w:type="dxa"/>
            <w:vAlign w:val="bottom"/>
            <w:tcBorders>
              <w:bottom w:val="single" w:sz="8" w:color="auto"/>
            </w:tcBorders>
            <w:gridSpan w:val="4"/>
          </w:tcPr>
          <w:p>
            <w:pPr>
              <w:jc w:val="right"/>
              <w:ind w:right="18"/>
              <w:spacing w:after="0"/>
              <w:rPr>
                <w:sz w:val="20"/>
                <w:szCs w:val="20"/>
                <w:color w:val="auto"/>
              </w:rPr>
            </w:pPr>
            <w:r>
              <w:rPr>
                <w:rFonts w:ascii="Arial" w:cs="Arial" w:eastAsia="Arial" w:hAnsi="Arial"/>
                <w:sz w:val="15"/>
                <w:szCs w:val="15"/>
                <w:b w:val="1"/>
                <w:bCs w:val="1"/>
                <w:color w:val="auto"/>
              </w:rPr>
              <w:t>Three months ended September 30,</w:t>
            </w:r>
          </w:p>
        </w:tc>
        <w:tc>
          <w:tcPr>
            <w:tcW w:w="8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5"/>
          </w:tcPr>
          <w:p>
            <w:pPr>
              <w:jc w:val="right"/>
              <w:ind w:right="54"/>
              <w:spacing w:after="0"/>
              <w:rPr>
                <w:sz w:val="20"/>
                <w:szCs w:val="20"/>
                <w:color w:val="auto"/>
              </w:rPr>
            </w:pPr>
            <w:r>
              <w:rPr>
                <w:rFonts w:ascii="Arial" w:cs="Arial" w:eastAsia="Arial" w:hAnsi="Arial"/>
                <w:sz w:val="15"/>
                <w:szCs w:val="15"/>
                <w:b w:val="1"/>
                <w:bCs w:val="1"/>
                <w:color w:val="auto"/>
                <w:w w:val="92"/>
              </w:rPr>
              <w:t>Nine months ended September 30,</w:t>
            </w:r>
          </w:p>
        </w:tc>
        <w:tc>
          <w:tcPr>
            <w:tcW w:w="860" w:type="dxa"/>
            <w:vAlign w:val="bottom"/>
            <w:tcBorders>
              <w:bottom w:val="single" w:sz="8" w:color="auto"/>
            </w:tcBorders>
          </w:tcPr>
          <w:p>
            <w:pPr>
              <w:spacing w:after="0"/>
              <w:rPr>
                <w:sz w:val="17"/>
                <w:szCs w:val="17"/>
                <w:color w:val="auto"/>
              </w:rPr>
            </w:pPr>
          </w:p>
        </w:tc>
      </w:tr>
      <w:tr>
        <w:trPr>
          <w:trHeight w:val="200"/>
        </w:trPr>
        <w:tc>
          <w:tcPr>
            <w:tcW w:w="25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2020</w:t>
            </w: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2021</w:t>
            </w:r>
          </w:p>
        </w:tc>
        <w:tc>
          <w:tcPr>
            <w:tcW w:w="860" w:type="dxa"/>
            <w:vAlign w:val="bottom"/>
            <w:tcBorders>
              <w:bottom w:val="single" w:sz="8" w:color="auto"/>
            </w:tcBorders>
          </w:tcPr>
          <w:p>
            <w:pPr>
              <w:spacing w:after="0"/>
              <w:rPr>
                <w:sz w:val="17"/>
                <w:szCs w:val="17"/>
                <w:color w:val="auto"/>
              </w:rPr>
            </w:pPr>
          </w:p>
        </w:tc>
      </w:tr>
      <w:tr>
        <w:trPr>
          <w:trHeight w:val="202"/>
        </w:trPr>
        <w:tc>
          <w:tcPr>
            <w:tcW w:w="25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79"/>
              <w:spacing w:after="0"/>
              <w:rPr>
                <w:sz w:val="20"/>
                <w:szCs w:val="20"/>
                <w:color w:val="auto"/>
              </w:rPr>
            </w:pPr>
            <w:r>
              <w:rPr>
                <w:rFonts w:ascii="Arial" w:cs="Arial" w:eastAsia="Arial" w:hAnsi="Arial"/>
                <w:sz w:val="15"/>
                <w:szCs w:val="15"/>
                <w:b w:val="1"/>
                <w:bCs w:val="1"/>
                <w:color w:val="auto"/>
              </w:rPr>
              <w:t>Shares</w:t>
            </w:r>
          </w:p>
        </w:tc>
        <w:tc>
          <w:tcPr>
            <w:tcW w:w="8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Fair Value</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78"/>
              <w:spacing w:after="0"/>
              <w:rPr>
                <w:sz w:val="20"/>
                <w:szCs w:val="20"/>
                <w:color w:val="auto"/>
              </w:rPr>
            </w:pPr>
            <w:r>
              <w:rPr>
                <w:rFonts w:ascii="Arial" w:cs="Arial" w:eastAsia="Arial" w:hAnsi="Arial"/>
                <w:sz w:val="15"/>
                <w:szCs w:val="15"/>
                <w:b w:val="1"/>
                <w:bCs w:val="1"/>
                <w:color w:val="auto"/>
              </w:rPr>
              <w:t>Shares</w:t>
            </w:r>
          </w:p>
        </w:tc>
        <w:tc>
          <w:tcPr>
            <w:tcW w:w="8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Fair Value</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58"/>
              <w:spacing w:after="0"/>
              <w:rPr>
                <w:sz w:val="20"/>
                <w:szCs w:val="20"/>
                <w:color w:val="auto"/>
              </w:rPr>
            </w:pPr>
            <w:r>
              <w:rPr>
                <w:rFonts w:ascii="Arial" w:cs="Arial" w:eastAsia="Arial" w:hAnsi="Arial"/>
                <w:sz w:val="15"/>
                <w:szCs w:val="15"/>
                <w:b w:val="1"/>
                <w:bCs w:val="1"/>
                <w:color w:val="auto"/>
              </w:rPr>
              <w:t>Shares</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5"/>
                <w:szCs w:val="15"/>
                <w:b w:val="1"/>
                <w:bCs w:val="1"/>
                <w:color w:val="auto"/>
                <w:w w:val="94"/>
              </w:rPr>
              <w:t>Fair Value</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78"/>
              <w:spacing w:after="0"/>
              <w:rPr>
                <w:sz w:val="20"/>
                <w:szCs w:val="20"/>
                <w:color w:val="auto"/>
              </w:rPr>
            </w:pPr>
            <w:r>
              <w:rPr>
                <w:rFonts w:ascii="Arial" w:cs="Arial" w:eastAsia="Arial" w:hAnsi="Arial"/>
                <w:sz w:val="15"/>
                <w:szCs w:val="15"/>
                <w:b w:val="1"/>
                <w:bCs w:val="1"/>
                <w:color w:val="auto"/>
              </w:rPr>
              <w:t>Shares</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5"/>
                <w:szCs w:val="15"/>
                <w:b w:val="1"/>
                <w:bCs w:val="1"/>
                <w:color w:val="auto"/>
                <w:w w:val="94"/>
              </w:rPr>
              <w:t>Fair Value</w:t>
            </w:r>
          </w:p>
        </w:tc>
      </w:tr>
      <w:tr>
        <w:trPr>
          <w:trHeight w:val="219"/>
        </w:trPr>
        <w:tc>
          <w:tcPr>
            <w:tcW w:w="2520" w:type="dxa"/>
            <w:vAlign w:val="bottom"/>
          </w:tcPr>
          <w:p>
            <w:pPr>
              <w:ind w:left="20"/>
              <w:spacing w:after="0" w:line="220" w:lineRule="exact"/>
              <w:rPr>
                <w:sz w:val="20"/>
                <w:szCs w:val="20"/>
                <w:color w:val="auto"/>
              </w:rPr>
            </w:pPr>
            <w:r>
              <w:rPr>
                <w:rFonts w:ascii="Arial" w:cs="Arial" w:eastAsia="Arial" w:hAnsi="Arial"/>
                <w:sz w:val="17"/>
                <w:szCs w:val="17"/>
                <w:color w:val="auto"/>
              </w:rPr>
              <w:t>Granted</w:t>
            </w:r>
            <w:r>
              <w:rPr>
                <w:rFonts w:ascii="Arial" w:cs="Arial" w:eastAsia="Arial" w:hAnsi="Arial"/>
                <w:sz w:val="22"/>
                <w:szCs w:val="22"/>
                <w:color w:val="auto"/>
                <w:vertAlign w:val="superscript"/>
              </w:rPr>
              <w:t>(1)</w:t>
            </w:r>
          </w:p>
        </w:tc>
        <w:tc>
          <w:tcPr>
            <w:tcW w:w="1200" w:type="dxa"/>
            <w:vAlign w:val="bottom"/>
          </w:tcPr>
          <w:p>
            <w:pPr>
              <w:jc w:val="right"/>
              <w:spacing w:after="0"/>
              <w:rPr>
                <w:sz w:val="20"/>
                <w:szCs w:val="20"/>
                <w:color w:val="auto"/>
              </w:rPr>
            </w:pPr>
            <w:r>
              <w:rPr>
                <w:rFonts w:ascii="Arial" w:cs="Arial" w:eastAsia="Arial" w:hAnsi="Arial"/>
                <w:sz w:val="17"/>
                <w:szCs w:val="17"/>
                <w:color w:val="auto"/>
              </w:rPr>
              <w:t>— $</w:t>
            </w:r>
          </w:p>
        </w:tc>
        <w:tc>
          <w:tcPr>
            <w:tcW w:w="1020" w:type="dxa"/>
            <w:vAlign w:val="bottom"/>
            <w:gridSpan w:val="2"/>
          </w:tcPr>
          <w:p>
            <w:pPr>
              <w:ind w:left="62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 $</w:t>
            </w:r>
          </w:p>
        </w:tc>
        <w:tc>
          <w:tcPr>
            <w:tcW w:w="1020" w:type="dxa"/>
            <w:vAlign w:val="bottom"/>
            <w:gridSpan w:val="2"/>
          </w:tcPr>
          <w:p>
            <w:pPr>
              <w:ind w:left="62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20,000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92</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701,400</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7,115</w:t>
            </w:r>
          </w:p>
        </w:tc>
      </w:tr>
      <w:tr>
        <w:trPr>
          <w:trHeight w:val="219"/>
        </w:trPr>
        <w:tc>
          <w:tcPr>
            <w:tcW w:w="2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Cancelled</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8,800 $</w:t>
            </w:r>
          </w:p>
        </w:tc>
        <w:tc>
          <w:tcPr>
            <w:tcW w:w="8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52</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6,000 $</w:t>
            </w:r>
          </w:p>
        </w:tc>
        <w:tc>
          <w:tcPr>
            <w:tcW w:w="8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61</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146,034</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846</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19,684</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71139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3905" cy="8255"/>
                    </a:xfrm>
                    <a:prstGeom prst="rect">
                      <a:avLst/>
                    </a:prstGeom>
                    <a:noFill/>
                  </pic:spPr>
                </pic:pic>
              </a:graphicData>
            </a:graphic>
          </wp:anchor>
        </w:drawing>
      </w:r>
    </w:p>
    <w:p>
      <w:pPr>
        <w:spacing w:after="0" w:line="194" w:lineRule="exact"/>
        <w:rPr>
          <w:sz w:val="20"/>
          <w:szCs w:val="20"/>
          <w:color w:val="auto"/>
        </w:rPr>
      </w:pPr>
    </w:p>
    <w:p>
      <w:pPr>
        <w:ind w:left="400" w:right="60" w:hanging="380"/>
        <w:spacing w:after="0" w:line="181" w:lineRule="auto"/>
        <w:tabs>
          <w:tab w:leader="none" w:pos="400" w:val="left"/>
        </w:tabs>
        <w:numPr>
          <w:ilvl w:val="0"/>
          <w:numId w:val="19"/>
        </w:numPr>
        <w:rPr>
          <w:rFonts w:ascii="Arial" w:cs="Arial" w:eastAsia="Arial" w:hAnsi="Arial"/>
          <w:sz w:val="23"/>
          <w:szCs w:val="23"/>
          <w:color w:val="auto"/>
          <w:vertAlign w:val="superscript"/>
        </w:rPr>
      </w:pPr>
      <w:r>
        <w:rPr>
          <w:rFonts w:ascii="Arial" w:cs="Arial" w:eastAsia="Arial" w:hAnsi="Arial"/>
          <w:sz w:val="12"/>
          <w:szCs w:val="12"/>
          <w:color w:val="auto"/>
        </w:rPr>
        <w:t>Stock options granted during the nine months ended September 30, 2020 and 2021 had a weighted average price of $18.02 and $34.79, respectively. The options granted in 2020 vest over a three-year period and have a ten-year term. The options granted in 2021 vest over a five-year period and have a ten-year term.</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5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5"/>
          </w:tcPr>
          <w:p>
            <w:pPr>
              <w:jc w:val="right"/>
              <w:ind w:right="94"/>
              <w:spacing w:after="0"/>
              <w:rPr>
                <w:sz w:val="20"/>
                <w:szCs w:val="20"/>
                <w:color w:val="auto"/>
              </w:rPr>
            </w:pPr>
            <w:r>
              <w:rPr>
                <w:rFonts w:ascii="Arial" w:cs="Arial" w:eastAsia="Arial" w:hAnsi="Arial"/>
                <w:sz w:val="15"/>
                <w:szCs w:val="15"/>
                <w:b w:val="1"/>
                <w:bCs w:val="1"/>
                <w:color w:val="auto"/>
                <w:w w:val="92"/>
              </w:rPr>
              <w:t>Three months ended September 30,</w:t>
            </w:r>
          </w:p>
        </w:tc>
        <w:tc>
          <w:tcPr>
            <w:tcW w:w="7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5"/>
          </w:tcPr>
          <w:p>
            <w:pPr>
              <w:jc w:val="right"/>
              <w:ind w:right="134"/>
              <w:spacing w:after="0"/>
              <w:rPr>
                <w:sz w:val="20"/>
                <w:szCs w:val="20"/>
                <w:color w:val="auto"/>
              </w:rPr>
            </w:pPr>
            <w:r>
              <w:rPr>
                <w:rFonts w:ascii="Arial" w:cs="Arial" w:eastAsia="Arial" w:hAnsi="Arial"/>
                <w:sz w:val="15"/>
                <w:szCs w:val="15"/>
                <w:b w:val="1"/>
                <w:bCs w:val="1"/>
                <w:color w:val="auto"/>
                <w:w w:val="92"/>
              </w:rPr>
              <w:t>Nine months ended September 30,</w:t>
            </w:r>
          </w:p>
        </w:tc>
        <w:tc>
          <w:tcPr>
            <w:tcW w:w="780" w:type="dxa"/>
            <w:vAlign w:val="bottom"/>
            <w:tcBorders>
              <w:bottom w:val="single" w:sz="8" w:color="auto"/>
            </w:tcBorders>
          </w:tcPr>
          <w:p>
            <w:pPr>
              <w:spacing w:after="0"/>
              <w:rPr>
                <w:sz w:val="17"/>
                <w:szCs w:val="17"/>
                <w:color w:val="auto"/>
              </w:rPr>
            </w:pPr>
          </w:p>
        </w:tc>
      </w:tr>
      <w:tr>
        <w:trPr>
          <w:trHeight w:val="200"/>
        </w:trPr>
        <w:tc>
          <w:tcPr>
            <w:tcW w:w="252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5"/>
                <w:szCs w:val="15"/>
                <w:b w:val="1"/>
                <w:bCs w:val="1"/>
                <w:color w:val="auto"/>
              </w:rPr>
              <w:t>2020</w:t>
            </w:r>
          </w:p>
        </w:tc>
        <w:tc>
          <w:tcPr>
            <w:tcW w:w="7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5"/>
                <w:szCs w:val="15"/>
                <w:b w:val="1"/>
                <w:bCs w:val="1"/>
                <w:color w:val="auto"/>
              </w:rPr>
              <w:t>2021</w:t>
            </w:r>
          </w:p>
        </w:tc>
        <w:tc>
          <w:tcPr>
            <w:tcW w:w="7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gridSpan w:val="2"/>
          </w:tcPr>
          <w:p>
            <w:pPr>
              <w:jc w:val="right"/>
              <w:ind w:right="478"/>
              <w:spacing w:after="0"/>
              <w:rPr>
                <w:sz w:val="20"/>
                <w:szCs w:val="20"/>
                <w:color w:val="auto"/>
              </w:rPr>
            </w:pPr>
            <w:r>
              <w:rPr>
                <w:rFonts w:ascii="Arial" w:cs="Arial" w:eastAsia="Arial" w:hAnsi="Arial"/>
                <w:sz w:val="15"/>
                <w:szCs w:val="15"/>
                <w:b w:val="1"/>
                <w:bCs w:val="1"/>
                <w:color w:val="auto"/>
              </w:rPr>
              <w:t>2020</w:t>
            </w:r>
          </w:p>
        </w:tc>
        <w:tc>
          <w:tcPr>
            <w:tcW w:w="3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5"/>
                <w:szCs w:val="15"/>
                <w:b w:val="1"/>
                <w:bCs w:val="1"/>
                <w:color w:val="auto"/>
              </w:rPr>
              <w:t>2021</w:t>
            </w:r>
          </w:p>
        </w:tc>
        <w:tc>
          <w:tcPr>
            <w:tcW w:w="780" w:type="dxa"/>
            <w:vAlign w:val="bottom"/>
            <w:tcBorders>
              <w:bottom w:val="single" w:sz="8" w:color="auto"/>
            </w:tcBorders>
          </w:tcPr>
          <w:p>
            <w:pPr>
              <w:spacing w:after="0"/>
              <w:rPr>
                <w:sz w:val="17"/>
                <w:szCs w:val="17"/>
                <w:color w:val="auto"/>
              </w:rPr>
            </w:pPr>
          </w:p>
        </w:tc>
      </w:tr>
      <w:tr>
        <w:trPr>
          <w:trHeight w:val="202"/>
        </w:trPr>
        <w:tc>
          <w:tcPr>
            <w:tcW w:w="25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37"/>
              <w:spacing w:after="0"/>
              <w:rPr>
                <w:sz w:val="20"/>
                <w:szCs w:val="20"/>
                <w:color w:val="auto"/>
              </w:rPr>
            </w:pPr>
            <w:r>
              <w:rPr>
                <w:rFonts w:ascii="Arial" w:cs="Arial" w:eastAsia="Arial" w:hAnsi="Arial"/>
                <w:sz w:val="15"/>
                <w:szCs w:val="15"/>
                <w:b w:val="1"/>
                <w:bCs w:val="1"/>
                <w:color w:val="auto"/>
              </w:rPr>
              <w:t>Shares</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ind w:left="100"/>
              <w:spacing w:after="0"/>
              <w:rPr>
                <w:sz w:val="20"/>
                <w:szCs w:val="20"/>
                <w:color w:val="auto"/>
              </w:rPr>
            </w:pPr>
            <w:r>
              <w:rPr>
                <w:rFonts w:ascii="Arial" w:cs="Arial" w:eastAsia="Arial" w:hAnsi="Arial"/>
                <w:sz w:val="15"/>
                <w:szCs w:val="15"/>
                <w:b w:val="1"/>
                <w:bCs w:val="1"/>
                <w:color w:val="auto"/>
              </w:rPr>
              <w:t>Cash</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77"/>
              <w:spacing w:after="0"/>
              <w:rPr>
                <w:sz w:val="20"/>
                <w:szCs w:val="20"/>
                <w:color w:val="auto"/>
              </w:rPr>
            </w:pPr>
            <w:r>
              <w:rPr>
                <w:rFonts w:ascii="Arial" w:cs="Arial" w:eastAsia="Arial" w:hAnsi="Arial"/>
                <w:sz w:val="15"/>
                <w:szCs w:val="15"/>
                <w:b w:val="1"/>
                <w:bCs w:val="1"/>
                <w:color w:val="auto"/>
              </w:rPr>
              <w:t>Shares</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ind w:left="100"/>
              <w:spacing w:after="0"/>
              <w:rPr>
                <w:sz w:val="20"/>
                <w:szCs w:val="20"/>
                <w:color w:val="auto"/>
              </w:rPr>
            </w:pPr>
            <w:r>
              <w:rPr>
                <w:rFonts w:ascii="Arial" w:cs="Arial" w:eastAsia="Arial" w:hAnsi="Arial"/>
                <w:sz w:val="15"/>
                <w:szCs w:val="15"/>
                <w:b w:val="1"/>
                <w:bCs w:val="1"/>
                <w:color w:val="auto"/>
              </w:rPr>
              <w:t>Cash</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57"/>
              <w:spacing w:after="0"/>
              <w:rPr>
                <w:sz w:val="20"/>
                <w:szCs w:val="20"/>
                <w:color w:val="auto"/>
              </w:rPr>
            </w:pPr>
            <w:r>
              <w:rPr>
                <w:rFonts w:ascii="Arial" w:cs="Arial" w:eastAsia="Arial" w:hAnsi="Arial"/>
                <w:sz w:val="15"/>
                <w:szCs w:val="15"/>
                <w:b w:val="1"/>
                <w:bCs w:val="1"/>
                <w:color w:val="auto"/>
              </w:rPr>
              <w:t>Shares</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Cash</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77"/>
              <w:spacing w:after="0"/>
              <w:rPr>
                <w:sz w:val="20"/>
                <w:szCs w:val="20"/>
                <w:color w:val="auto"/>
              </w:rPr>
            </w:pPr>
            <w:r>
              <w:rPr>
                <w:rFonts w:ascii="Arial" w:cs="Arial" w:eastAsia="Arial" w:hAnsi="Arial"/>
                <w:sz w:val="15"/>
                <w:szCs w:val="15"/>
                <w:b w:val="1"/>
                <w:bCs w:val="1"/>
                <w:color w:val="auto"/>
              </w:rPr>
              <w:t>Shares</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56"/>
              <w:spacing w:after="0"/>
              <w:rPr>
                <w:sz w:val="20"/>
                <w:szCs w:val="20"/>
                <w:color w:val="auto"/>
              </w:rPr>
            </w:pPr>
            <w:r>
              <w:rPr>
                <w:rFonts w:ascii="Arial" w:cs="Arial" w:eastAsia="Arial" w:hAnsi="Arial"/>
                <w:sz w:val="15"/>
                <w:szCs w:val="15"/>
                <w:b w:val="1"/>
                <w:bCs w:val="1"/>
                <w:color w:val="auto"/>
              </w:rPr>
              <w:t>Cash</w:t>
            </w:r>
          </w:p>
        </w:tc>
      </w:tr>
      <w:tr>
        <w:trPr>
          <w:trHeight w:val="219"/>
        </w:trPr>
        <w:tc>
          <w:tcPr>
            <w:tcW w:w="2520" w:type="dxa"/>
            <w:vAlign w:val="bottom"/>
          </w:tcPr>
          <w:p>
            <w:pPr>
              <w:ind w:left="20"/>
              <w:spacing w:after="0" w:line="220" w:lineRule="exact"/>
              <w:rPr>
                <w:sz w:val="20"/>
                <w:szCs w:val="20"/>
                <w:color w:val="auto"/>
              </w:rPr>
            </w:pPr>
            <w:r>
              <w:rPr>
                <w:rFonts w:ascii="Arial" w:cs="Arial" w:eastAsia="Arial" w:hAnsi="Arial"/>
                <w:sz w:val="17"/>
                <w:szCs w:val="17"/>
                <w:color w:val="auto"/>
              </w:rPr>
              <w:t>Exercised</w:t>
            </w:r>
            <w:r>
              <w:rPr>
                <w:rFonts w:ascii="Arial" w:cs="Arial" w:eastAsia="Arial" w:hAnsi="Arial"/>
                <w:sz w:val="22"/>
                <w:szCs w:val="22"/>
                <w:color w:val="auto"/>
                <w:vertAlign w:val="superscript"/>
              </w:rPr>
              <w:t>(1)</w:t>
            </w:r>
          </w:p>
        </w:tc>
        <w:tc>
          <w:tcPr>
            <w:tcW w:w="960" w:type="dxa"/>
            <w:vAlign w:val="bottom"/>
          </w:tcPr>
          <w:p>
            <w:pPr>
              <w:jc w:val="right"/>
              <w:spacing w:after="0"/>
              <w:rPr>
                <w:sz w:val="20"/>
                <w:szCs w:val="20"/>
                <w:color w:val="auto"/>
              </w:rPr>
            </w:pPr>
            <w:r>
              <w:rPr>
                <w:rFonts w:ascii="Arial" w:cs="Arial" w:eastAsia="Arial" w:hAnsi="Arial"/>
                <w:sz w:val="17"/>
                <w:szCs w:val="17"/>
                <w:color w:val="auto"/>
              </w:rPr>
              <w:t>17,913</w:t>
            </w:r>
          </w:p>
        </w:tc>
        <w:tc>
          <w:tcPr>
            <w:tcW w:w="320" w:type="dxa"/>
            <w:vAlign w:val="bottom"/>
          </w:tcPr>
          <w:p>
            <w:pPr>
              <w:spacing w:after="0"/>
              <w:rPr>
                <w:sz w:val="19"/>
                <w:szCs w:val="19"/>
                <w:color w:val="auto"/>
              </w:rPr>
            </w:pPr>
          </w:p>
        </w:tc>
        <w:tc>
          <w:tcPr>
            <w:tcW w:w="940" w:type="dxa"/>
            <w:vAlign w:val="bottom"/>
            <w:gridSpan w:val="2"/>
          </w:tcPr>
          <w:p>
            <w:pPr>
              <w:jc w:val="center"/>
              <w:ind w:left="216"/>
              <w:spacing w:after="0"/>
              <w:rPr>
                <w:sz w:val="20"/>
                <w:szCs w:val="20"/>
                <w:color w:val="auto"/>
              </w:rPr>
            </w:pPr>
            <w:r>
              <w:rPr>
                <w:rFonts w:ascii="Arial" w:cs="Arial" w:eastAsia="Arial" w:hAnsi="Arial"/>
                <w:sz w:val="17"/>
                <w:szCs w:val="17"/>
                <w:color w:val="auto"/>
                <w:w w:val="98"/>
              </w:rPr>
              <w:t>N/A</w:t>
            </w:r>
          </w:p>
        </w:tc>
        <w:tc>
          <w:tcPr>
            <w:tcW w:w="1000" w:type="dxa"/>
            <w:vAlign w:val="bottom"/>
          </w:tcPr>
          <w:p>
            <w:pPr>
              <w:jc w:val="right"/>
              <w:spacing w:after="0"/>
              <w:rPr>
                <w:sz w:val="20"/>
                <w:szCs w:val="20"/>
                <w:color w:val="auto"/>
              </w:rPr>
            </w:pPr>
            <w:r>
              <w:rPr>
                <w:rFonts w:ascii="Arial" w:cs="Arial" w:eastAsia="Arial" w:hAnsi="Arial"/>
                <w:sz w:val="17"/>
                <w:szCs w:val="17"/>
                <w:color w:val="auto"/>
              </w:rPr>
              <w:t>32,665</w:t>
            </w:r>
          </w:p>
        </w:tc>
        <w:tc>
          <w:tcPr>
            <w:tcW w:w="280" w:type="dxa"/>
            <w:vAlign w:val="bottom"/>
          </w:tcPr>
          <w:p>
            <w:pPr>
              <w:spacing w:after="0"/>
              <w:rPr>
                <w:sz w:val="19"/>
                <w:szCs w:val="19"/>
                <w:color w:val="auto"/>
              </w:rPr>
            </w:pPr>
          </w:p>
        </w:tc>
        <w:tc>
          <w:tcPr>
            <w:tcW w:w="940" w:type="dxa"/>
            <w:vAlign w:val="bottom"/>
            <w:gridSpan w:val="2"/>
          </w:tcPr>
          <w:p>
            <w:pPr>
              <w:jc w:val="center"/>
              <w:ind w:left="216"/>
              <w:spacing w:after="0"/>
              <w:rPr>
                <w:sz w:val="20"/>
                <w:szCs w:val="20"/>
                <w:color w:val="auto"/>
              </w:rPr>
            </w:pPr>
            <w:r>
              <w:rPr>
                <w:rFonts w:ascii="Arial" w:cs="Arial" w:eastAsia="Arial" w:hAnsi="Arial"/>
                <w:sz w:val="17"/>
                <w:szCs w:val="17"/>
                <w:color w:val="auto"/>
                <w:w w:val="98"/>
              </w:rPr>
              <w:t>N/A</w:t>
            </w:r>
          </w:p>
        </w:tc>
        <w:tc>
          <w:tcPr>
            <w:tcW w:w="980" w:type="dxa"/>
            <w:vAlign w:val="bottom"/>
          </w:tcPr>
          <w:p>
            <w:pPr>
              <w:jc w:val="right"/>
              <w:spacing w:after="0"/>
              <w:rPr>
                <w:sz w:val="20"/>
                <w:szCs w:val="20"/>
                <w:color w:val="auto"/>
              </w:rPr>
            </w:pPr>
            <w:r>
              <w:rPr>
                <w:rFonts w:ascii="Arial" w:cs="Arial" w:eastAsia="Arial" w:hAnsi="Arial"/>
                <w:sz w:val="17"/>
                <w:szCs w:val="17"/>
                <w:color w:val="auto"/>
              </w:rPr>
              <w:t>17,913</w:t>
            </w:r>
          </w:p>
        </w:tc>
        <w:tc>
          <w:tcPr>
            <w:tcW w:w="760" w:type="dxa"/>
            <w:vAlign w:val="bottom"/>
          </w:tcPr>
          <w:p>
            <w:pPr>
              <w:spacing w:after="0"/>
              <w:rPr>
                <w:sz w:val="19"/>
                <w:szCs w:val="19"/>
                <w:color w:val="auto"/>
              </w:rPr>
            </w:pPr>
          </w:p>
        </w:tc>
        <w:tc>
          <w:tcPr>
            <w:tcW w:w="480" w:type="dxa"/>
            <w:vAlign w:val="bottom"/>
            <w:gridSpan w:val="2"/>
          </w:tcPr>
          <w:p>
            <w:pPr>
              <w:jc w:val="center"/>
              <w:ind w:right="160"/>
              <w:spacing w:after="0"/>
              <w:rPr>
                <w:sz w:val="20"/>
                <w:szCs w:val="20"/>
                <w:color w:val="auto"/>
              </w:rPr>
            </w:pPr>
            <w:r>
              <w:rPr>
                <w:rFonts w:ascii="Arial" w:cs="Arial" w:eastAsia="Arial" w:hAnsi="Arial"/>
                <w:sz w:val="17"/>
                <w:szCs w:val="17"/>
                <w:color w:val="auto"/>
                <w:w w:val="98"/>
              </w:rPr>
              <w:t>N/A</w:t>
            </w:r>
          </w:p>
        </w:tc>
        <w:tc>
          <w:tcPr>
            <w:tcW w:w="1000" w:type="dxa"/>
            <w:vAlign w:val="bottom"/>
          </w:tcPr>
          <w:p>
            <w:pPr>
              <w:jc w:val="right"/>
              <w:spacing w:after="0"/>
              <w:rPr>
                <w:sz w:val="20"/>
                <w:szCs w:val="20"/>
                <w:color w:val="auto"/>
              </w:rPr>
            </w:pPr>
            <w:r>
              <w:rPr>
                <w:rFonts w:ascii="Arial" w:cs="Arial" w:eastAsia="Arial" w:hAnsi="Arial"/>
                <w:sz w:val="17"/>
                <w:szCs w:val="17"/>
                <w:color w:val="auto"/>
              </w:rPr>
              <w:t>314,294</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N/A</w:t>
            </w:r>
          </w:p>
        </w:tc>
      </w:tr>
      <w:tr>
        <w:trPr>
          <w:trHeight w:val="219"/>
        </w:trPr>
        <w:tc>
          <w:tcPr>
            <w:tcW w:w="252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Returned for option price</w:t>
            </w:r>
            <w:r>
              <w:rPr>
                <w:rFonts w:ascii="Arial" w:cs="Arial" w:eastAsia="Arial" w:hAnsi="Arial"/>
                <w:sz w:val="22"/>
                <w:szCs w:val="22"/>
                <w:color w:val="auto"/>
                <w:vertAlign w:val="superscript"/>
              </w:rPr>
              <w:t>(2)</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4,426</w:t>
            </w:r>
          </w:p>
        </w:tc>
        <w:tc>
          <w:tcPr>
            <w:tcW w:w="3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center"/>
              <w:ind w:left="236"/>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17,790</w:t>
            </w:r>
          </w:p>
        </w:tc>
        <w:tc>
          <w:tcPr>
            <w:tcW w:w="2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center"/>
              <w:ind w:left="236"/>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4,426</w:t>
            </w:r>
          </w:p>
        </w:tc>
        <w:tc>
          <w:tcPr>
            <w:tcW w:w="760" w:type="dxa"/>
            <w:vAlign w:val="bottom"/>
            <w:shd w:val="clear" w:color="auto" w:fill="CCEEFF"/>
          </w:tcPr>
          <w:p>
            <w:pPr>
              <w:jc w:val="right"/>
              <w:ind w:right="518"/>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center"/>
              <w:ind w:right="1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166,359</w:t>
            </w:r>
          </w:p>
        </w:tc>
        <w:tc>
          <w:tcPr>
            <w:tcW w:w="2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880</w:t>
            </w:r>
          </w:p>
        </w:tc>
      </w:tr>
      <w:tr>
        <w:trPr>
          <w:trHeight w:val="291"/>
        </w:trPr>
        <w:tc>
          <w:tcPr>
            <w:tcW w:w="2520" w:type="dxa"/>
            <w:vAlign w:val="bottom"/>
          </w:tcPr>
          <w:p>
            <w:pPr>
              <w:ind w:left="20"/>
              <w:spacing w:after="0"/>
              <w:rPr>
                <w:sz w:val="20"/>
                <w:szCs w:val="20"/>
                <w:color w:val="auto"/>
              </w:rPr>
            </w:pPr>
            <w:r>
              <w:rPr>
                <w:rFonts w:ascii="Arial" w:cs="Arial" w:eastAsia="Arial" w:hAnsi="Arial"/>
                <w:sz w:val="17"/>
                <w:szCs w:val="17"/>
                <w:color w:val="auto"/>
              </w:rPr>
              <w:t>Returned for payroll taxes</w:t>
            </w:r>
            <w:r>
              <w:rPr>
                <w:rFonts w:ascii="Arial" w:cs="Arial" w:eastAsia="Arial" w:hAnsi="Arial"/>
                <w:sz w:val="22"/>
                <w:szCs w:val="22"/>
                <w:color w:val="auto"/>
                <w:vertAlign w:val="superscript"/>
              </w:rPr>
              <w:t>(3)</w:t>
            </w:r>
          </w:p>
        </w:tc>
        <w:tc>
          <w:tcPr>
            <w:tcW w:w="960" w:type="dxa"/>
            <w:vAlign w:val="bottom"/>
          </w:tcPr>
          <w:p>
            <w:pPr>
              <w:jc w:val="right"/>
              <w:spacing w:after="0"/>
              <w:rPr>
                <w:sz w:val="20"/>
                <w:szCs w:val="20"/>
                <w:color w:val="auto"/>
              </w:rPr>
            </w:pPr>
            <w:r>
              <w:rPr>
                <w:rFonts w:ascii="Arial" w:cs="Arial" w:eastAsia="Arial" w:hAnsi="Arial"/>
                <w:sz w:val="17"/>
                <w:szCs w:val="17"/>
                <w:color w:val="auto"/>
              </w:rPr>
              <w:t>1,333</w:t>
            </w:r>
          </w:p>
        </w:tc>
        <w:tc>
          <w:tcPr>
            <w:tcW w:w="32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780" w:type="dxa"/>
            <w:vAlign w:val="bottom"/>
          </w:tcPr>
          <w:p>
            <w:pPr>
              <w:jc w:val="center"/>
              <w:ind w:left="396"/>
              <w:spacing w:after="0"/>
              <w:rPr>
                <w:sz w:val="20"/>
                <w:szCs w:val="20"/>
                <w:color w:val="auto"/>
              </w:rPr>
            </w:pPr>
            <w:r>
              <w:rPr>
                <w:rFonts w:ascii="Arial" w:cs="Arial" w:eastAsia="Arial" w:hAnsi="Arial"/>
                <w:sz w:val="17"/>
                <w:szCs w:val="17"/>
                <w:color w:val="auto"/>
                <w:w w:val="94"/>
              </w:rPr>
              <w:t>31</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2,192</w:t>
            </w:r>
          </w:p>
        </w:tc>
        <w:tc>
          <w:tcPr>
            <w:tcW w:w="28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780" w:type="dxa"/>
            <w:vAlign w:val="bottom"/>
          </w:tcPr>
          <w:p>
            <w:pPr>
              <w:jc w:val="center"/>
              <w:ind w:left="396"/>
              <w:spacing w:after="0"/>
              <w:rPr>
                <w:sz w:val="20"/>
                <w:szCs w:val="20"/>
                <w:color w:val="auto"/>
              </w:rPr>
            </w:pPr>
            <w:r>
              <w:rPr>
                <w:rFonts w:ascii="Arial" w:cs="Arial" w:eastAsia="Arial" w:hAnsi="Arial"/>
                <w:sz w:val="17"/>
                <w:szCs w:val="17"/>
                <w:color w:val="auto"/>
                <w:w w:val="94"/>
              </w:rPr>
              <w:t>82</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1,333</w:t>
            </w:r>
          </w:p>
        </w:tc>
        <w:tc>
          <w:tcPr>
            <w:tcW w:w="760" w:type="dxa"/>
            <w:vAlign w:val="bottom"/>
          </w:tcPr>
          <w:p>
            <w:pPr>
              <w:jc w:val="right"/>
              <w:ind w:right="518"/>
              <w:spacing w:after="0"/>
              <w:rPr>
                <w:sz w:val="20"/>
                <w:szCs w:val="20"/>
                <w:color w:val="auto"/>
              </w:rPr>
            </w:pPr>
            <w:r>
              <w:rPr>
                <w:rFonts w:ascii="Arial" w:cs="Arial" w:eastAsia="Arial" w:hAnsi="Arial"/>
                <w:sz w:val="17"/>
                <w:szCs w:val="17"/>
                <w:color w:val="auto"/>
              </w:rPr>
              <w:t>$</w:t>
            </w:r>
          </w:p>
        </w:tc>
        <w:tc>
          <w:tcPr>
            <w:tcW w:w="320" w:type="dxa"/>
            <w:vAlign w:val="bottom"/>
          </w:tcPr>
          <w:p>
            <w:pPr>
              <w:jc w:val="center"/>
              <w:spacing w:after="0"/>
              <w:rPr>
                <w:sz w:val="20"/>
                <w:szCs w:val="20"/>
                <w:color w:val="auto"/>
              </w:rPr>
            </w:pPr>
            <w:r>
              <w:rPr>
                <w:rFonts w:ascii="Arial" w:cs="Arial" w:eastAsia="Arial" w:hAnsi="Arial"/>
                <w:sz w:val="17"/>
                <w:szCs w:val="17"/>
                <w:color w:val="auto"/>
                <w:w w:val="94"/>
              </w:rPr>
              <w:t>31</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20,163</w:t>
            </w:r>
          </w:p>
        </w:tc>
        <w:tc>
          <w:tcPr>
            <w:tcW w:w="28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1,058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52705</wp:posOffset>
            </wp:positionV>
            <wp:extent cx="71139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3905" cy="8255"/>
                    </a:xfrm>
                    <a:prstGeom prst="rect">
                      <a:avLst/>
                    </a:prstGeom>
                    <a:noFill/>
                  </pic:spPr>
                </pic:pic>
              </a:graphicData>
            </a:graphic>
          </wp:anchor>
        </w:drawing>
      </w:r>
    </w:p>
    <w:p>
      <w:pPr>
        <w:spacing w:after="0" w:line="109" w:lineRule="exact"/>
        <w:rPr>
          <w:sz w:val="20"/>
          <w:szCs w:val="20"/>
          <w:color w:val="auto"/>
        </w:rPr>
      </w:pPr>
    </w:p>
    <w:p>
      <w:pPr>
        <w:jc w:val="both"/>
        <w:ind w:left="400" w:right="60" w:hanging="380"/>
        <w:spacing w:after="0" w:line="180" w:lineRule="auto"/>
        <w:tabs>
          <w:tab w:leader="none" w:pos="400" w:val="left"/>
        </w:tabs>
        <w:numPr>
          <w:ilvl w:val="0"/>
          <w:numId w:val="20"/>
        </w:numPr>
        <w:rPr>
          <w:rFonts w:ascii="Arial" w:cs="Arial" w:eastAsia="Arial" w:hAnsi="Arial"/>
          <w:sz w:val="24"/>
          <w:szCs w:val="24"/>
          <w:color w:val="auto"/>
          <w:vertAlign w:val="superscript"/>
        </w:rPr>
      </w:pPr>
      <w:r>
        <w:rPr>
          <w:rFonts w:ascii="Arial" w:cs="Arial" w:eastAsia="Arial" w:hAnsi="Arial"/>
          <w:sz w:val="13"/>
          <w:szCs w:val="13"/>
          <w:color w:val="auto"/>
        </w:rPr>
        <w:t>Stock options exercised during the three months ended September 30, 2020 and 2021 had a weighted average exercise price of $5.70 and $21.81, respectively, with an aggregate intrinsic value of $0.3 million and $0.6 million, respectively. Stock options exercised during the nine months ended September 30, 2020 and 2021 had a weighted average exercise price of $5.70 and $21.78 respectively, with an aggregate intrinsic value of $0.3 million and $5.0 million, respectively.</w:t>
      </w:r>
    </w:p>
    <w:p>
      <w:pPr>
        <w:spacing w:after="0" w:line="7" w:lineRule="exact"/>
        <w:rPr>
          <w:rFonts w:ascii="Arial" w:cs="Arial" w:eastAsia="Arial" w:hAnsi="Arial"/>
          <w:sz w:val="24"/>
          <w:szCs w:val="24"/>
          <w:color w:val="auto"/>
          <w:vertAlign w:val="superscript"/>
        </w:rPr>
      </w:pPr>
    </w:p>
    <w:p>
      <w:pPr>
        <w:ind w:left="400" w:hanging="380"/>
        <w:spacing w:after="0"/>
        <w:tabs>
          <w:tab w:leader="none" w:pos="4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cash received for the payment of the option price.</w:t>
      </w:r>
    </w:p>
    <w:p>
      <w:pPr>
        <w:spacing w:after="0" w:line="19" w:lineRule="exact"/>
        <w:rPr>
          <w:rFonts w:ascii="Arial" w:cs="Arial" w:eastAsia="Arial" w:hAnsi="Arial"/>
          <w:sz w:val="14"/>
          <w:szCs w:val="14"/>
          <w:color w:val="auto"/>
        </w:rPr>
      </w:pPr>
    </w:p>
    <w:p>
      <w:pPr>
        <w:ind w:left="400" w:hanging="380"/>
        <w:spacing w:after="0"/>
        <w:tabs>
          <w:tab w:leader="none" w:pos="4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cash withheld for the payment of payroll taxes.</w:t>
      </w:r>
    </w:p>
    <w:p>
      <w:pPr>
        <w:spacing w:after="0" w:line="206"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 xml:space="preserve">We recorded stock-based compensation expense, which is included in </w:t>
      </w:r>
      <w:r>
        <w:rPr>
          <w:rFonts w:ascii="Arial" w:cs="Arial" w:eastAsia="Arial" w:hAnsi="Arial"/>
          <w:sz w:val="17"/>
          <w:szCs w:val="17"/>
          <w:i w:val="1"/>
          <w:iCs w:val="1"/>
          <w:color w:val="auto"/>
        </w:rPr>
        <w:t>General, administrative and other expenses</w:t>
      </w:r>
      <w:r>
        <w:rPr>
          <w:rFonts w:ascii="Arial" w:cs="Arial" w:eastAsia="Arial" w:hAnsi="Arial"/>
          <w:sz w:val="17"/>
          <w:szCs w:val="17"/>
          <w:color w:val="auto"/>
        </w:rPr>
        <w:t xml:space="preserve">, for stock options, including the accelerated stock options discussed above of $165,000 and $467,000, for the three months ended September 30, 2020 and 2021, respectively and $502,000 and $1,507,000, for the nine months ended September 30, 2020 </w:t>
      </w:r>
      <w:r>
        <w:rPr>
          <w:rFonts w:ascii="Arial" w:cs="Arial" w:eastAsia="Arial" w:hAnsi="Arial"/>
          <w:sz w:val="15"/>
          <w:szCs w:val="15"/>
          <w:color w:val="auto"/>
        </w:rPr>
        <w:t>and</w:t>
      </w:r>
      <w:r>
        <w:rPr>
          <w:rFonts w:ascii="Arial" w:cs="Arial" w:eastAsia="Arial" w:hAnsi="Arial"/>
          <w:sz w:val="17"/>
          <w:szCs w:val="17"/>
          <w:color w:val="auto"/>
        </w:rPr>
        <w:t xml:space="preserve"> 2021, respectively.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15"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i w:val="1"/>
          <w:iCs w:val="1"/>
          <w:color w:val="auto"/>
        </w:rPr>
        <w:t>Performance Awards</w:t>
      </w:r>
    </w:p>
    <w:p>
      <w:pPr>
        <w:spacing w:after="0" w:line="114"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During the nine months ended September 30, 2020</w:t>
      </w:r>
      <w:r>
        <w:rPr>
          <w:rFonts w:ascii="Arial" w:cs="Arial" w:eastAsia="Arial" w:hAnsi="Arial"/>
          <w:sz w:val="15"/>
          <w:szCs w:val="15"/>
          <w:color w:val="auto"/>
        </w:rPr>
        <w:t>,</w:t>
      </w:r>
      <w:r>
        <w:rPr>
          <w:rFonts w:ascii="Arial" w:cs="Arial" w:eastAsia="Arial" w:hAnsi="Arial"/>
          <w:sz w:val="17"/>
          <w:szCs w:val="17"/>
          <w:color w:val="auto"/>
        </w:rPr>
        <w:t xml:space="preserve"> we issued 237,500 performance awards to certain employees, payable in shares, with a fair value of $2.8 million. On May 19, 2020, we cancelled all performance award agreements previously awarded to all individuals during 2019 and the February 19, 2020 award. Concurrently with the cancellation, the Compensation Committee of the Board of Directors (the “Board”) approved 368,921 new performance awards to be issued to certain employees. These new performance awards were treated as a modification of the cancelled awards and resulted in an additional $1.7 million of incremental compensation expense.</w:t>
      </w:r>
    </w:p>
    <w:p>
      <w:pPr>
        <w:spacing w:after="0" w:line="77"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On June 1, 2021, we amended the performance award agreements granted on May 19, 2020 for three of our executives. The amendment increased the amount of performance awards payable in shares for the last three predetermined growth targets. These awards will vest (if at all) on December 31, 2024, provided that the Company’s common stock reaches the predetermined growth targets for the sustained period ending on December 31, 2024. The amendment was treated as a modification of the original performance award agreement and resulted in an additional $2.6 million of incremental compensation expense, expected to be recognized over the remaining term of 43 months.</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Additional performance award activity is as follows (in thousands, except shares):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520" w:type="dxa"/>
            <w:vAlign w:val="bottom"/>
          </w:tcPr>
          <w:p>
            <w:pPr>
              <w:spacing w:after="0"/>
              <w:rPr>
                <w:sz w:val="17"/>
                <w:szCs w:val="17"/>
                <w:color w:val="auto"/>
              </w:rPr>
            </w:pPr>
          </w:p>
        </w:tc>
        <w:tc>
          <w:tcPr>
            <w:tcW w:w="3420" w:type="dxa"/>
            <w:vAlign w:val="bottom"/>
            <w:tcBorders>
              <w:bottom w:val="single" w:sz="8" w:color="auto"/>
            </w:tcBorders>
            <w:gridSpan w:val="5"/>
          </w:tcPr>
          <w:p>
            <w:pPr>
              <w:jc w:val="right"/>
              <w:ind w:right="14"/>
              <w:spacing w:after="0"/>
              <w:rPr>
                <w:sz w:val="20"/>
                <w:szCs w:val="20"/>
                <w:color w:val="auto"/>
              </w:rPr>
            </w:pPr>
            <w:r>
              <w:rPr>
                <w:rFonts w:ascii="Arial" w:cs="Arial" w:eastAsia="Arial" w:hAnsi="Arial"/>
                <w:sz w:val="15"/>
                <w:szCs w:val="15"/>
                <w:b w:val="1"/>
                <w:bCs w:val="1"/>
                <w:color w:val="auto"/>
              </w:rPr>
              <w:t>Three months ended September 30,</w:t>
            </w:r>
          </w:p>
        </w:tc>
        <w:tc>
          <w:tcPr>
            <w:tcW w:w="8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5"/>
          </w:tcPr>
          <w:p>
            <w:pPr>
              <w:jc w:val="right"/>
              <w:ind w:right="54"/>
              <w:spacing w:after="0"/>
              <w:rPr>
                <w:sz w:val="20"/>
                <w:szCs w:val="20"/>
                <w:color w:val="auto"/>
              </w:rPr>
            </w:pPr>
            <w:r>
              <w:rPr>
                <w:rFonts w:ascii="Arial" w:cs="Arial" w:eastAsia="Arial" w:hAnsi="Arial"/>
                <w:sz w:val="15"/>
                <w:szCs w:val="15"/>
                <w:b w:val="1"/>
                <w:bCs w:val="1"/>
                <w:color w:val="auto"/>
                <w:w w:val="92"/>
              </w:rPr>
              <w:t>Nine months ended September 30,</w:t>
            </w:r>
          </w:p>
        </w:tc>
        <w:tc>
          <w:tcPr>
            <w:tcW w:w="860" w:type="dxa"/>
            <w:vAlign w:val="bottom"/>
            <w:tcBorders>
              <w:bottom w:val="single" w:sz="8" w:color="auto"/>
            </w:tcBorders>
          </w:tcPr>
          <w:p>
            <w:pPr>
              <w:spacing w:after="0"/>
              <w:rPr>
                <w:sz w:val="17"/>
                <w:szCs w:val="17"/>
                <w:color w:val="auto"/>
              </w:rPr>
            </w:pPr>
          </w:p>
        </w:tc>
      </w:tr>
      <w:tr>
        <w:trPr>
          <w:trHeight w:val="200"/>
        </w:trPr>
        <w:tc>
          <w:tcPr>
            <w:tcW w:w="25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2021</w:t>
            </w: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2020</w:t>
            </w: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2021</w:t>
            </w:r>
          </w:p>
        </w:tc>
        <w:tc>
          <w:tcPr>
            <w:tcW w:w="860" w:type="dxa"/>
            <w:vAlign w:val="bottom"/>
            <w:tcBorders>
              <w:bottom w:val="single" w:sz="8" w:color="auto"/>
            </w:tcBorders>
          </w:tcPr>
          <w:p>
            <w:pPr>
              <w:spacing w:after="0"/>
              <w:rPr>
                <w:sz w:val="17"/>
                <w:szCs w:val="17"/>
                <w:color w:val="auto"/>
              </w:rPr>
            </w:pPr>
          </w:p>
        </w:tc>
      </w:tr>
      <w:tr>
        <w:trPr>
          <w:trHeight w:val="202"/>
        </w:trPr>
        <w:tc>
          <w:tcPr>
            <w:tcW w:w="25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79"/>
              <w:spacing w:after="0"/>
              <w:rPr>
                <w:sz w:val="20"/>
                <w:szCs w:val="20"/>
                <w:color w:val="auto"/>
              </w:rPr>
            </w:pPr>
            <w:r>
              <w:rPr>
                <w:rFonts w:ascii="Arial" w:cs="Arial" w:eastAsia="Arial" w:hAnsi="Arial"/>
                <w:sz w:val="15"/>
                <w:szCs w:val="15"/>
                <w:b w:val="1"/>
                <w:bCs w:val="1"/>
                <w:color w:val="auto"/>
              </w:rPr>
              <w:t>Shares</w:t>
            </w: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5"/>
                <w:szCs w:val="15"/>
                <w:b w:val="1"/>
                <w:bCs w:val="1"/>
                <w:color w:val="auto"/>
                <w:w w:val="94"/>
              </w:rPr>
              <w:t>Fair Value</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78"/>
              <w:spacing w:after="0"/>
              <w:rPr>
                <w:sz w:val="20"/>
                <w:szCs w:val="20"/>
                <w:color w:val="auto"/>
              </w:rPr>
            </w:pPr>
            <w:r>
              <w:rPr>
                <w:rFonts w:ascii="Arial" w:cs="Arial" w:eastAsia="Arial" w:hAnsi="Arial"/>
                <w:sz w:val="15"/>
                <w:szCs w:val="15"/>
                <w:b w:val="1"/>
                <w:bCs w:val="1"/>
                <w:color w:val="auto"/>
              </w:rPr>
              <w:t>Shares</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5"/>
                <w:szCs w:val="15"/>
                <w:b w:val="1"/>
                <w:bCs w:val="1"/>
                <w:color w:val="auto"/>
                <w:w w:val="94"/>
              </w:rPr>
              <w:t>Fair Value</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58"/>
              <w:spacing w:after="0"/>
              <w:rPr>
                <w:sz w:val="20"/>
                <w:szCs w:val="20"/>
                <w:color w:val="auto"/>
              </w:rPr>
            </w:pPr>
            <w:r>
              <w:rPr>
                <w:rFonts w:ascii="Arial" w:cs="Arial" w:eastAsia="Arial" w:hAnsi="Arial"/>
                <w:sz w:val="15"/>
                <w:szCs w:val="15"/>
                <w:b w:val="1"/>
                <w:bCs w:val="1"/>
                <w:color w:val="auto"/>
              </w:rPr>
              <w:t>Shares</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5"/>
                <w:szCs w:val="15"/>
                <w:b w:val="1"/>
                <w:bCs w:val="1"/>
                <w:color w:val="auto"/>
                <w:w w:val="94"/>
              </w:rPr>
              <w:t>Fair Value</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78"/>
              <w:spacing w:after="0"/>
              <w:rPr>
                <w:sz w:val="20"/>
                <w:szCs w:val="20"/>
                <w:color w:val="auto"/>
              </w:rPr>
            </w:pPr>
            <w:r>
              <w:rPr>
                <w:rFonts w:ascii="Arial" w:cs="Arial" w:eastAsia="Arial" w:hAnsi="Arial"/>
                <w:sz w:val="15"/>
                <w:szCs w:val="15"/>
                <w:b w:val="1"/>
                <w:bCs w:val="1"/>
                <w:color w:val="auto"/>
              </w:rPr>
              <w:t>Shares</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5"/>
                <w:szCs w:val="15"/>
                <w:b w:val="1"/>
                <w:bCs w:val="1"/>
                <w:color w:val="auto"/>
                <w:w w:val="94"/>
              </w:rPr>
              <w:t>Fair Value</w:t>
            </w:r>
          </w:p>
        </w:tc>
      </w:tr>
      <w:tr>
        <w:trPr>
          <w:trHeight w:val="219"/>
        </w:trPr>
        <w:tc>
          <w:tcPr>
            <w:tcW w:w="2520" w:type="dxa"/>
            <w:vAlign w:val="bottom"/>
          </w:tcPr>
          <w:p>
            <w:pPr>
              <w:ind w:left="20"/>
              <w:spacing w:after="0"/>
              <w:rPr>
                <w:sz w:val="20"/>
                <w:szCs w:val="20"/>
                <w:color w:val="auto"/>
              </w:rPr>
            </w:pPr>
            <w:r>
              <w:rPr>
                <w:rFonts w:ascii="Arial" w:cs="Arial" w:eastAsia="Arial" w:hAnsi="Arial"/>
                <w:sz w:val="17"/>
                <w:szCs w:val="17"/>
                <w:color w:val="auto"/>
              </w:rPr>
              <w:t>Granted</w:t>
            </w:r>
          </w:p>
        </w:tc>
        <w:tc>
          <w:tcPr>
            <w:tcW w:w="1200" w:type="dxa"/>
            <w:vAlign w:val="bottom"/>
          </w:tcPr>
          <w:p>
            <w:pPr>
              <w:jc w:val="right"/>
              <w:spacing w:after="0"/>
              <w:rPr>
                <w:sz w:val="20"/>
                <w:szCs w:val="20"/>
                <w:color w:val="auto"/>
              </w:rPr>
            </w:pPr>
            <w:r>
              <w:rPr>
                <w:rFonts w:ascii="Arial" w:cs="Arial" w:eastAsia="Arial" w:hAnsi="Arial"/>
                <w:sz w:val="17"/>
                <w:szCs w:val="17"/>
                <w:color w:val="auto"/>
              </w:rPr>
              <w:t>9,782 $</w:t>
            </w:r>
          </w:p>
        </w:tc>
        <w:tc>
          <w:tcPr>
            <w:tcW w:w="860" w:type="dxa"/>
            <w:vAlign w:val="bottom"/>
          </w:tcPr>
          <w:p>
            <w:pPr>
              <w:jc w:val="right"/>
              <w:spacing w:after="0"/>
              <w:rPr>
                <w:sz w:val="20"/>
                <w:szCs w:val="20"/>
                <w:color w:val="auto"/>
              </w:rPr>
            </w:pPr>
            <w:r>
              <w:rPr>
                <w:rFonts w:ascii="Arial" w:cs="Arial" w:eastAsia="Arial" w:hAnsi="Arial"/>
                <w:sz w:val="17"/>
                <w:szCs w:val="17"/>
                <w:color w:val="auto"/>
              </w:rPr>
              <w:t>244</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29,548</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1,062</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23,756</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469</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39,802</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1,464</w:t>
            </w:r>
          </w:p>
        </w:tc>
      </w:tr>
      <w:tr>
        <w:trPr>
          <w:trHeight w:val="220"/>
        </w:trPr>
        <w:tc>
          <w:tcPr>
            <w:tcW w:w="2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Cancelled</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6,987</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33,538</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631</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41,922</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w:t>
            </w:r>
          </w:p>
        </w:tc>
      </w:tr>
    </w:tbl>
    <w:p>
      <w:pPr>
        <w:spacing w:after="0" w:line="181" w:lineRule="exact"/>
        <w:rPr>
          <w:sz w:val="20"/>
          <w:szCs w:val="20"/>
          <w:color w:val="auto"/>
        </w:rPr>
      </w:pPr>
    </w:p>
    <w:p>
      <w:pPr>
        <w:jc w:val="both"/>
        <w:ind w:firstLine="387"/>
        <w:spacing w:after="0" w:line="276" w:lineRule="auto"/>
        <w:rPr>
          <w:sz w:val="20"/>
          <w:szCs w:val="20"/>
          <w:color w:val="auto"/>
        </w:rPr>
      </w:pPr>
      <w:r>
        <w:rPr>
          <w:rFonts w:ascii="Arial" w:cs="Arial" w:eastAsia="Arial" w:hAnsi="Arial"/>
          <w:sz w:val="17"/>
          <w:szCs w:val="17"/>
          <w:color w:val="auto"/>
        </w:rPr>
        <w:t>The fair values of the performance awards granted during the nine months ended September 30, 2021 were determined by using the Monte-Carlo simulation pricing model with the following assumptions: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24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April 16, 2021</w:t>
            </w:r>
          </w:p>
        </w:tc>
        <w:tc>
          <w:tcPr>
            <w:tcW w:w="160" w:type="dxa"/>
            <w:vAlign w:val="bottom"/>
            <w:tcBorders>
              <w:bottom w:val="single" w:sz="8" w:color="CCEEFF"/>
            </w:tcBorders>
          </w:tcPr>
          <w:p>
            <w:pPr>
              <w:spacing w:after="0"/>
              <w:rPr>
                <w:sz w:val="17"/>
                <w:szCs w:val="17"/>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June 1, 2021</w:t>
            </w:r>
          </w:p>
        </w:tc>
        <w:tc>
          <w:tcPr>
            <w:tcW w:w="140" w:type="dxa"/>
            <w:vAlign w:val="bottom"/>
            <w:tcBorders>
              <w:bottom w:val="single" w:sz="8" w:color="CCEEFF"/>
            </w:tcBorders>
          </w:tcPr>
          <w:p>
            <w:pPr>
              <w:spacing w:after="0"/>
              <w:rPr>
                <w:sz w:val="17"/>
                <w:szCs w:val="17"/>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August 12, 2021</w:t>
            </w:r>
          </w:p>
        </w:tc>
        <w:tc>
          <w:tcPr>
            <w:tcW w:w="140" w:type="dxa"/>
            <w:vAlign w:val="bottom"/>
            <w:tcBorders>
              <w:bottom w:val="single" w:sz="8" w:color="CCEEFF"/>
            </w:tcBorders>
          </w:tcPr>
          <w:p>
            <w:pPr>
              <w:spacing w:after="0"/>
              <w:rPr>
                <w:sz w:val="17"/>
                <w:szCs w:val="17"/>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September 15, 2021</w:t>
            </w:r>
          </w:p>
        </w:tc>
      </w:tr>
      <w:tr>
        <w:trPr>
          <w:trHeight w:val="164"/>
        </w:trPr>
        <w:tc>
          <w:tcPr>
            <w:tcW w:w="2520" w:type="dxa"/>
            <w:vAlign w:val="bottom"/>
            <w:gridSpan w:val="2"/>
            <w:shd w:val="clear" w:color="auto" w:fill="CCEEFF"/>
          </w:tcPr>
          <w:p>
            <w:pPr>
              <w:ind w:left="20"/>
              <w:spacing w:after="0" w:line="164" w:lineRule="exact"/>
              <w:rPr>
                <w:sz w:val="20"/>
                <w:szCs w:val="20"/>
                <w:color w:val="auto"/>
              </w:rPr>
            </w:pPr>
            <w:r>
              <w:rPr>
                <w:rFonts w:ascii="Arial" w:cs="Arial" w:eastAsia="Arial" w:hAnsi="Arial"/>
                <w:sz w:val="17"/>
                <w:szCs w:val="17"/>
                <w:color w:val="auto"/>
              </w:rPr>
              <w:t>Performance Period</w:t>
            </w:r>
          </w:p>
        </w:tc>
        <w:tc>
          <w:tcPr>
            <w:tcW w:w="2200" w:type="dxa"/>
            <w:vAlign w:val="bottom"/>
            <w:gridSpan w:val="2"/>
            <w:shd w:val="clear" w:color="auto" w:fill="CCEEFF"/>
          </w:tcPr>
          <w:p>
            <w:pPr>
              <w:jc w:val="right"/>
              <w:ind w:right="180"/>
              <w:spacing w:after="0" w:line="164" w:lineRule="exact"/>
              <w:rPr>
                <w:sz w:val="20"/>
                <w:szCs w:val="20"/>
                <w:color w:val="auto"/>
              </w:rPr>
            </w:pPr>
            <w:r>
              <w:rPr>
                <w:rFonts w:ascii="Arial" w:cs="Arial" w:eastAsia="Arial" w:hAnsi="Arial"/>
                <w:sz w:val="17"/>
                <w:szCs w:val="17"/>
                <w:color w:val="auto"/>
              </w:rPr>
              <w:t>April 16, 2021 - December</w:t>
            </w:r>
          </w:p>
        </w:tc>
        <w:tc>
          <w:tcPr>
            <w:tcW w:w="2200" w:type="dxa"/>
            <w:vAlign w:val="bottom"/>
            <w:gridSpan w:val="2"/>
            <w:shd w:val="clear" w:color="auto" w:fill="CCEEFF"/>
          </w:tcPr>
          <w:p>
            <w:pPr>
              <w:jc w:val="right"/>
              <w:ind w:right="160"/>
              <w:spacing w:after="0" w:line="164" w:lineRule="exact"/>
              <w:rPr>
                <w:sz w:val="20"/>
                <w:szCs w:val="20"/>
                <w:color w:val="auto"/>
              </w:rPr>
            </w:pPr>
            <w:r>
              <w:rPr>
                <w:rFonts w:ascii="Arial" w:cs="Arial" w:eastAsia="Arial" w:hAnsi="Arial"/>
                <w:sz w:val="17"/>
                <w:szCs w:val="17"/>
                <w:color w:val="auto"/>
                <w:w w:val="91"/>
              </w:rPr>
              <w:t>June 1, 2021 - December 31,</w:t>
            </w:r>
          </w:p>
        </w:tc>
        <w:tc>
          <w:tcPr>
            <w:tcW w:w="2220" w:type="dxa"/>
            <w:vAlign w:val="bottom"/>
            <w:gridSpan w:val="2"/>
            <w:shd w:val="clear" w:color="auto" w:fill="CCEEFF"/>
          </w:tcPr>
          <w:p>
            <w:pPr>
              <w:jc w:val="right"/>
              <w:ind w:right="160"/>
              <w:spacing w:after="0" w:line="164" w:lineRule="exact"/>
              <w:rPr>
                <w:sz w:val="20"/>
                <w:szCs w:val="20"/>
                <w:color w:val="auto"/>
              </w:rPr>
            </w:pPr>
            <w:r>
              <w:rPr>
                <w:rFonts w:ascii="Arial" w:cs="Arial" w:eastAsia="Arial" w:hAnsi="Arial"/>
                <w:sz w:val="17"/>
                <w:szCs w:val="17"/>
                <w:color w:val="auto"/>
                <w:w w:val="93"/>
              </w:rPr>
              <w:t>August 12, 2021 - December</w:t>
            </w:r>
          </w:p>
        </w:tc>
        <w:tc>
          <w:tcPr>
            <w:tcW w:w="2080" w:type="dxa"/>
            <w:vAlign w:val="bottom"/>
            <w:shd w:val="clear" w:color="auto" w:fill="CCEEFF"/>
          </w:tcPr>
          <w:p>
            <w:pPr>
              <w:jc w:val="right"/>
              <w:spacing w:after="0" w:line="164" w:lineRule="exact"/>
              <w:rPr>
                <w:sz w:val="20"/>
                <w:szCs w:val="20"/>
                <w:color w:val="auto"/>
              </w:rPr>
            </w:pPr>
            <w:r>
              <w:rPr>
                <w:rFonts w:ascii="Arial" w:cs="Arial" w:eastAsia="Arial" w:hAnsi="Arial"/>
                <w:sz w:val="17"/>
                <w:szCs w:val="17"/>
                <w:color w:val="auto"/>
              </w:rPr>
              <w:t>September 15, 2021 -</w:t>
            </w:r>
          </w:p>
        </w:tc>
      </w:tr>
      <w:tr>
        <w:trPr>
          <w:trHeight w:val="219"/>
        </w:trPr>
        <w:tc>
          <w:tcPr>
            <w:tcW w:w="2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31, 2024</w:t>
            </w:r>
          </w:p>
        </w:tc>
        <w:tc>
          <w:tcPr>
            <w:tcW w:w="16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2024</w:t>
            </w:r>
          </w:p>
        </w:tc>
        <w:tc>
          <w:tcPr>
            <w:tcW w:w="1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31, 2024</w:t>
            </w:r>
          </w:p>
        </w:tc>
        <w:tc>
          <w:tcPr>
            <w:tcW w:w="1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December 31, 2024</w:t>
            </w:r>
          </w:p>
        </w:tc>
      </w:tr>
      <w:tr>
        <w:trPr>
          <w:trHeight w:val="219"/>
        </w:trPr>
        <w:tc>
          <w:tcPr>
            <w:tcW w:w="2520" w:type="dxa"/>
            <w:vAlign w:val="bottom"/>
            <w:gridSpan w:val="2"/>
          </w:tcPr>
          <w:p>
            <w:pPr>
              <w:ind w:left="20"/>
              <w:spacing w:after="0"/>
              <w:rPr>
                <w:sz w:val="20"/>
                <w:szCs w:val="20"/>
                <w:color w:val="auto"/>
              </w:rPr>
            </w:pPr>
            <w:r>
              <w:rPr>
                <w:rFonts w:ascii="Arial" w:cs="Arial" w:eastAsia="Arial" w:hAnsi="Arial"/>
                <w:sz w:val="17"/>
                <w:szCs w:val="17"/>
                <w:color w:val="auto"/>
              </w:rPr>
              <w:t>Simulation period (years)</w:t>
            </w:r>
          </w:p>
        </w:tc>
        <w:tc>
          <w:tcPr>
            <w:tcW w:w="2040" w:type="dxa"/>
            <w:vAlign w:val="bottom"/>
          </w:tcPr>
          <w:p>
            <w:pPr>
              <w:jc w:val="right"/>
              <w:spacing w:after="0"/>
              <w:rPr>
                <w:sz w:val="20"/>
                <w:szCs w:val="20"/>
                <w:color w:val="auto"/>
              </w:rPr>
            </w:pPr>
            <w:r>
              <w:rPr>
                <w:rFonts w:ascii="Arial" w:cs="Arial" w:eastAsia="Arial" w:hAnsi="Arial"/>
                <w:sz w:val="17"/>
                <w:szCs w:val="17"/>
                <w:color w:val="auto"/>
              </w:rPr>
              <w:t>3.71</w:t>
            </w:r>
          </w:p>
        </w:tc>
        <w:tc>
          <w:tcPr>
            <w:tcW w:w="16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3.58</w:t>
            </w:r>
          </w:p>
        </w:tc>
        <w:tc>
          <w:tcPr>
            <w:tcW w:w="1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3.39</w:t>
            </w:r>
          </w:p>
        </w:tc>
        <w:tc>
          <w:tcPr>
            <w:tcW w:w="1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3.29</w:t>
            </w:r>
          </w:p>
        </w:tc>
      </w:tr>
      <w:tr>
        <w:trPr>
          <w:trHeight w:val="220"/>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Share price at grant date</w:t>
            </w:r>
          </w:p>
        </w:tc>
        <w:tc>
          <w:tcPr>
            <w:tcW w:w="2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$35.83</w:t>
            </w:r>
          </w:p>
        </w:tc>
        <w:tc>
          <w:tcPr>
            <w:tcW w:w="16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$38.78</w:t>
            </w:r>
          </w:p>
        </w:tc>
        <w:tc>
          <w:tcPr>
            <w:tcW w:w="1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$39.48</w:t>
            </w:r>
          </w:p>
        </w:tc>
        <w:tc>
          <w:tcPr>
            <w:tcW w:w="1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$45.27</w:t>
            </w:r>
          </w:p>
        </w:tc>
      </w:tr>
      <w:tr>
        <w:trPr>
          <w:trHeight w:val="219"/>
        </w:trPr>
        <w:tc>
          <w:tcPr>
            <w:tcW w:w="2520" w:type="dxa"/>
            <w:vAlign w:val="bottom"/>
            <w:gridSpan w:val="2"/>
          </w:tcPr>
          <w:p>
            <w:pPr>
              <w:ind w:left="20"/>
              <w:spacing w:after="0"/>
              <w:rPr>
                <w:sz w:val="20"/>
                <w:szCs w:val="20"/>
                <w:color w:val="auto"/>
              </w:rPr>
            </w:pPr>
            <w:r>
              <w:rPr>
                <w:rFonts w:ascii="Arial" w:cs="Arial" w:eastAsia="Arial" w:hAnsi="Arial"/>
                <w:sz w:val="17"/>
                <w:szCs w:val="17"/>
                <w:color w:val="auto"/>
              </w:rPr>
              <w:t>Expected volatility</w:t>
            </w:r>
          </w:p>
        </w:tc>
        <w:tc>
          <w:tcPr>
            <w:tcW w:w="2040" w:type="dxa"/>
            <w:vAlign w:val="bottom"/>
          </w:tcPr>
          <w:p>
            <w:pPr>
              <w:jc w:val="right"/>
              <w:spacing w:after="0"/>
              <w:rPr>
                <w:sz w:val="20"/>
                <w:szCs w:val="20"/>
                <w:color w:val="auto"/>
              </w:rPr>
            </w:pPr>
            <w:r>
              <w:rPr>
                <w:rFonts w:ascii="Arial" w:cs="Arial" w:eastAsia="Arial" w:hAnsi="Arial"/>
                <w:sz w:val="17"/>
                <w:szCs w:val="17"/>
                <w:color w:val="auto"/>
              </w:rPr>
              <w:t>41.17 %</w:t>
            </w:r>
          </w:p>
        </w:tc>
        <w:tc>
          <w:tcPr>
            <w:tcW w:w="16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41.79 %</w:t>
            </w:r>
          </w:p>
        </w:tc>
        <w:tc>
          <w:tcPr>
            <w:tcW w:w="1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42.85 %</w:t>
            </w:r>
          </w:p>
        </w:tc>
        <w:tc>
          <w:tcPr>
            <w:tcW w:w="1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43.44 %</w:t>
            </w:r>
          </w:p>
        </w:tc>
      </w:tr>
      <w:tr>
        <w:trPr>
          <w:trHeight w:val="220"/>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2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0.52 %</w:t>
            </w:r>
          </w:p>
        </w:tc>
        <w:tc>
          <w:tcPr>
            <w:tcW w:w="16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0.46 %</w:t>
            </w:r>
          </w:p>
        </w:tc>
        <w:tc>
          <w:tcPr>
            <w:tcW w:w="1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0.53 %</w:t>
            </w:r>
          </w:p>
        </w:tc>
        <w:tc>
          <w:tcPr>
            <w:tcW w:w="1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0.49 %</w:t>
            </w:r>
          </w:p>
        </w:tc>
      </w:tr>
    </w:tbl>
    <w:p>
      <w:pPr>
        <w:spacing w:after="0" w:line="168"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 xml:space="preserve">We recorded stock-based compensation expense, which is included in </w:t>
      </w:r>
      <w:r>
        <w:rPr>
          <w:rFonts w:ascii="Arial" w:cs="Arial" w:eastAsia="Arial" w:hAnsi="Arial"/>
          <w:sz w:val="17"/>
          <w:szCs w:val="17"/>
          <w:i w:val="1"/>
          <w:iCs w:val="1"/>
          <w:color w:val="auto"/>
        </w:rPr>
        <w:t>General, administrative and other expenses</w:t>
      </w:r>
      <w:r>
        <w:rPr>
          <w:rFonts w:ascii="Arial" w:cs="Arial" w:eastAsia="Arial" w:hAnsi="Arial"/>
          <w:sz w:val="17"/>
          <w:szCs w:val="17"/>
          <w:color w:val="auto"/>
        </w:rPr>
        <w:t xml:space="preserve">, for performance awards of $286,000 and $475,000 for the three months ended September 30, 2020 and 2021, respectively and $589,000 and $1,064,000 for the nine months ended September 30, 2020 </w:t>
      </w:r>
      <w:r>
        <w:rPr>
          <w:rFonts w:ascii="Arial" w:cs="Arial" w:eastAsia="Arial" w:hAnsi="Arial"/>
          <w:sz w:val="15"/>
          <w:szCs w:val="15"/>
          <w:color w:val="auto"/>
        </w:rPr>
        <w:t>and</w:t>
      </w:r>
      <w:r>
        <w:rPr>
          <w:rFonts w:ascii="Arial" w:cs="Arial" w:eastAsia="Arial" w:hAnsi="Arial"/>
          <w:sz w:val="17"/>
          <w:szCs w:val="17"/>
          <w:color w:val="auto"/>
        </w:rPr>
        <w:t xml:space="preserve"> 2021,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Employee Stock Purchase Plan</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ESPP activity is as follows (in thousands, except shares):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5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5"/>
                <w:szCs w:val="15"/>
                <w:b w:val="1"/>
                <w:bCs w:val="1"/>
                <w:color w:val="auto"/>
                <w:w w:val="92"/>
              </w:rPr>
              <w:t>Three months ended September 30,</w:t>
            </w:r>
          </w:p>
        </w:tc>
        <w:tc>
          <w:tcPr>
            <w:tcW w:w="7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5"/>
                <w:szCs w:val="15"/>
                <w:b w:val="1"/>
                <w:bCs w:val="1"/>
                <w:color w:val="auto"/>
                <w:w w:val="92"/>
              </w:rPr>
              <w:t>Nine months ended September 30,</w:t>
            </w:r>
          </w:p>
        </w:tc>
        <w:tc>
          <w:tcPr>
            <w:tcW w:w="780" w:type="dxa"/>
            <w:vAlign w:val="bottom"/>
            <w:tcBorders>
              <w:bottom w:val="single" w:sz="8" w:color="auto"/>
            </w:tcBorders>
          </w:tcPr>
          <w:p>
            <w:pPr>
              <w:spacing w:after="0"/>
              <w:rPr>
                <w:sz w:val="17"/>
                <w:szCs w:val="17"/>
                <w:color w:val="auto"/>
              </w:rPr>
            </w:pPr>
          </w:p>
        </w:tc>
      </w:tr>
      <w:tr>
        <w:trPr>
          <w:trHeight w:val="200"/>
        </w:trPr>
        <w:tc>
          <w:tcPr>
            <w:tcW w:w="252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gridSpan w:val="2"/>
          </w:tcPr>
          <w:p>
            <w:pPr>
              <w:jc w:val="right"/>
              <w:ind w:right="18"/>
              <w:spacing w:after="0"/>
              <w:rPr>
                <w:sz w:val="20"/>
                <w:szCs w:val="20"/>
                <w:color w:val="auto"/>
              </w:rPr>
            </w:pPr>
            <w:r>
              <w:rPr>
                <w:rFonts w:ascii="Arial" w:cs="Arial" w:eastAsia="Arial" w:hAnsi="Arial"/>
                <w:sz w:val="15"/>
                <w:szCs w:val="15"/>
                <w:b w:val="1"/>
                <w:bCs w:val="1"/>
                <w:color w:val="auto"/>
              </w:rPr>
              <w:t>2020</w:t>
            </w:r>
          </w:p>
        </w:tc>
        <w:tc>
          <w:tcPr>
            <w:tcW w:w="7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5"/>
                <w:szCs w:val="15"/>
                <w:b w:val="1"/>
                <w:bCs w:val="1"/>
                <w:color w:val="auto"/>
              </w:rPr>
              <w:t>2021</w:t>
            </w:r>
          </w:p>
        </w:tc>
        <w:tc>
          <w:tcPr>
            <w:tcW w:w="7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gridSpan w:val="2"/>
          </w:tcPr>
          <w:p>
            <w:pPr>
              <w:jc w:val="right"/>
              <w:ind w:right="18"/>
              <w:spacing w:after="0"/>
              <w:rPr>
                <w:sz w:val="20"/>
                <w:szCs w:val="20"/>
                <w:color w:val="auto"/>
              </w:rPr>
            </w:pPr>
            <w:r>
              <w:rPr>
                <w:rFonts w:ascii="Arial" w:cs="Arial" w:eastAsia="Arial" w:hAnsi="Arial"/>
                <w:sz w:val="15"/>
                <w:szCs w:val="15"/>
                <w:b w:val="1"/>
                <w:bCs w:val="1"/>
                <w:color w:val="auto"/>
              </w:rPr>
              <w:t>2020</w:t>
            </w:r>
          </w:p>
        </w:tc>
        <w:tc>
          <w:tcPr>
            <w:tcW w:w="7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5"/>
                <w:szCs w:val="15"/>
                <w:b w:val="1"/>
                <w:bCs w:val="1"/>
                <w:color w:val="auto"/>
              </w:rPr>
              <w:t>2021</w:t>
            </w:r>
          </w:p>
        </w:tc>
        <w:tc>
          <w:tcPr>
            <w:tcW w:w="780" w:type="dxa"/>
            <w:vAlign w:val="bottom"/>
            <w:tcBorders>
              <w:bottom w:val="single" w:sz="8" w:color="auto"/>
            </w:tcBorders>
          </w:tcPr>
          <w:p>
            <w:pPr>
              <w:spacing w:after="0"/>
              <w:rPr>
                <w:sz w:val="17"/>
                <w:szCs w:val="17"/>
                <w:color w:val="auto"/>
              </w:rPr>
            </w:pPr>
          </w:p>
        </w:tc>
      </w:tr>
      <w:tr>
        <w:trPr>
          <w:trHeight w:val="202"/>
        </w:trPr>
        <w:tc>
          <w:tcPr>
            <w:tcW w:w="25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Shares</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58"/>
              <w:spacing w:after="0"/>
              <w:rPr>
                <w:sz w:val="20"/>
                <w:szCs w:val="20"/>
                <w:color w:val="auto"/>
              </w:rPr>
            </w:pPr>
            <w:r>
              <w:rPr>
                <w:rFonts w:ascii="Arial" w:cs="Arial" w:eastAsia="Arial" w:hAnsi="Arial"/>
                <w:sz w:val="15"/>
                <w:szCs w:val="15"/>
                <w:b w:val="1"/>
                <w:bCs w:val="1"/>
                <w:color w:val="auto"/>
              </w:rPr>
              <w:t>Price</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460"/>
              <w:spacing w:after="0"/>
              <w:rPr>
                <w:sz w:val="20"/>
                <w:szCs w:val="20"/>
                <w:color w:val="auto"/>
              </w:rPr>
            </w:pPr>
            <w:r>
              <w:rPr>
                <w:rFonts w:ascii="Arial" w:cs="Arial" w:eastAsia="Arial" w:hAnsi="Arial"/>
                <w:sz w:val="15"/>
                <w:szCs w:val="15"/>
                <w:b w:val="1"/>
                <w:bCs w:val="1"/>
                <w:color w:val="auto"/>
              </w:rPr>
              <w:t>Shares</w:t>
            </w:r>
          </w:p>
        </w:tc>
        <w:tc>
          <w:tcPr>
            <w:tcW w:w="780" w:type="dxa"/>
            <w:vAlign w:val="bottom"/>
            <w:shd w:val="clear" w:color="auto" w:fill="CCEEFF"/>
          </w:tcPr>
          <w:p>
            <w:pPr>
              <w:jc w:val="right"/>
              <w:ind w:right="258"/>
              <w:spacing w:after="0"/>
              <w:rPr>
                <w:sz w:val="20"/>
                <w:szCs w:val="20"/>
                <w:color w:val="auto"/>
              </w:rPr>
            </w:pPr>
            <w:r>
              <w:rPr>
                <w:rFonts w:ascii="Arial" w:cs="Arial" w:eastAsia="Arial" w:hAnsi="Arial"/>
                <w:sz w:val="15"/>
                <w:szCs w:val="15"/>
                <w:b w:val="1"/>
                <w:bCs w:val="1"/>
                <w:color w:val="auto"/>
              </w:rPr>
              <w:t>Price</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Shares</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58"/>
              <w:spacing w:after="0"/>
              <w:rPr>
                <w:sz w:val="20"/>
                <w:szCs w:val="20"/>
                <w:color w:val="auto"/>
              </w:rPr>
            </w:pPr>
            <w:r>
              <w:rPr>
                <w:rFonts w:ascii="Arial" w:cs="Arial" w:eastAsia="Arial" w:hAnsi="Arial"/>
                <w:sz w:val="15"/>
                <w:szCs w:val="15"/>
                <w:b w:val="1"/>
                <w:bCs w:val="1"/>
                <w:color w:val="auto"/>
              </w:rPr>
              <w:t>Price</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460"/>
              <w:spacing w:after="0"/>
              <w:rPr>
                <w:sz w:val="20"/>
                <w:szCs w:val="20"/>
                <w:color w:val="auto"/>
              </w:rPr>
            </w:pPr>
            <w:r>
              <w:rPr>
                <w:rFonts w:ascii="Arial" w:cs="Arial" w:eastAsia="Arial" w:hAnsi="Arial"/>
                <w:sz w:val="15"/>
                <w:szCs w:val="15"/>
                <w:b w:val="1"/>
                <w:bCs w:val="1"/>
                <w:color w:val="auto"/>
              </w:rPr>
              <w:t>Shares</w:t>
            </w:r>
          </w:p>
        </w:tc>
        <w:tc>
          <w:tcPr>
            <w:tcW w:w="780" w:type="dxa"/>
            <w:vAlign w:val="bottom"/>
            <w:shd w:val="clear" w:color="auto" w:fill="CCEEFF"/>
          </w:tcPr>
          <w:p>
            <w:pPr>
              <w:jc w:val="right"/>
              <w:ind w:right="258"/>
              <w:spacing w:after="0"/>
              <w:rPr>
                <w:sz w:val="20"/>
                <w:szCs w:val="20"/>
                <w:color w:val="auto"/>
              </w:rPr>
            </w:pPr>
            <w:r>
              <w:rPr>
                <w:rFonts w:ascii="Arial" w:cs="Arial" w:eastAsia="Arial" w:hAnsi="Arial"/>
                <w:sz w:val="15"/>
                <w:szCs w:val="15"/>
                <w:b w:val="1"/>
                <w:bCs w:val="1"/>
                <w:color w:val="auto"/>
              </w:rPr>
              <w:t>Price</w:t>
            </w:r>
          </w:p>
        </w:tc>
      </w:tr>
      <w:tr>
        <w:trPr>
          <w:trHeight w:val="218"/>
        </w:trPr>
        <w:tc>
          <w:tcPr>
            <w:tcW w:w="2520" w:type="dxa"/>
            <w:vAlign w:val="bottom"/>
          </w:tcPr>
          <w:p>
            <w:pPr>
              <w:ind w:left="20"/>
              <w:spacing w:after="0"/>
              <w:rPr>
                <w:sz w:val="20"/>
                <w:szCs w:val="20"/>
                <w:color w:val="auto"/>
              </w:rPr>
            </w:pPr>
            <w:r>
              <w:rPr>
                <w:rFonts w:ascii="Arial" w:cs="Arial" w:eastAsia="Arial" w:hAnsi="Arial"/>
                <w:sz w:val="17"/>
                <w:szCs w:val="17"/>
                <w:color w:val="auto"/>
              </w:rPr>
              <w:t>ESPP</w:t>
            </w:r>
          </w:p>
        </w:tc>
        <w:tc>
          <w:tcPr>
            <w:tcW w:w="960" w:type="dxa"/>
            <w:vAlign w:val="bottom"/>
          </w:tcPr>
          <w:p>
            <w:pPr>
              <w:jc w:val="right"/>
              <w:spacing w:after="0"/>
              <w:rPr>
                <w:sz w:val="20"/>
                <w:szCs w:val="20"/>
                <w:color w:val="auto"/>
              </w:rPr>
            </w:pPr>
            <w:r>
              <w:rPr>
                <w:rFonts w:ascii="Arial" w:cs="Arial" w:eastAsia="Arial" w:hAnsi="Arial"/>
                <w:sz w:val="17"/>
                <w:szCs w:val="17"/>
                <w:color w:val="auto"/>
              </w:rPr>
              <w:t>15,706</w:t>
            </w:r>
          </w:p>
        </w:tc>
        <w:tc>
          <w:tcPr>
            <w:tcW w:w="320" w:type="dxa"/>
            <w:vAlign w:val="bottom"/>
          </w:tcPr>
          <w:p>
            <w:pPr>
              <w:jc w:val="right"/>
              <w:ind w:right="58"/>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18.96</w:t>
            </w:r>
          </w:p>
        </w:tc>
        <w:tc>
          <w:tcPr>
            <w:tcW w:w="160" w:type="dxa"/>
            <w:vAlign w:val="bottom"/>
          </w:tcPr>
          <w:p>
            <w:pPr>
              <w:spacing w:after="0"/>
              <w:rPr>
                <w:sz w:val="18"/>
                <w:szCs w:val="18"/>
                <w:color w:val="auto"/>
              </w:rPr>
            </w:pPr>
          </w:p>
        </w:tc>
        <w:tc>
          <w:tcPr>
            <w:tcW w:w="1280" w:type="dxa"/>
            <w:vAlign w:val="bottom"/>
          </w:tcPr>
          <w:p>
            <w:pPr>
              <w:jc w:val="right"/>
              <w:ind w:right="60"/>
              <w:spacing w:after="0"/>
              <w:rPr>
                <w:sz w:val="20"/>
                <w:szCs w:val="20"/>
                <w:color w:val="auto"/>
              </w:rPr>
            </w:pPr>
            <w:r>
              <w:rPr>
                <w:rFonts w:ascii="Arial" w:cs="Arial" w:eastAsia="Arial" w:hAnsi="Arial"/>
                <w:sz w:val="17"/>
                <w:szCs w:val="17"/>
                <w:color w:val="auto"/>
              </w:rPr>
              <w:t>14,734 $</w:t>
            </w:r>
          </w:p>
        </w:tc>
        <w:tc>
          <w:tcPr>
            <w:tcW w:w="780" w:type="dxa"/>
            <w:vAlign w:val="bottom"/>
          </w:tcPr>
          <w:p>
            <w:pPr>
              <w:jc w:val="right"/>
              <w:spacing w:after="0"/>
              <w:rPr>
                <w:sz w:val="20"/>
                <w:szCs w:val="20"/>
                <w:color w:val="auto"/>
              </w:rPr>
            </w:pPr>
            <w:r>
              <w:rPr>
                <w:rFonts w:ascii="Arial" w:cs="Arial" w:eastAsia="Arial" w:hAnsi="Arial"/>
                <w:sz w:val="17"/>
                <w:szCs w:val="17"/>
                <w:color w:val="auto"/>
              </w:rPr>
              <w:t>26.32</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59,020</w:t>
            </w:r>
          </w:p>
        </w:tc>
        <w:tc>
          <w:tcPr>
            <w:tcW w:w="300" w:type="dxa"/>
            <w:vAlign w:val="bottom"/>
          </w:tcPr>
          <w:p>
            <w:pPr>
              <w:jc w:val="right"/>
              <w:ind w:right="58"/>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15.60</w:t>
            </w:r>
          </w:p>
        </w:tc>
        <w:tc>
          <w:tcPr>
            <w:tcW w:w="160" w:type="dxa"/>
            <w:vAlign w:val="bottom"/>
          </w:tcPr>
          <w:p>
            <w:pPr>
              <w:spacing w:after="0"/>
              <w:rPr>
                <w:sz w:val="18"/>
                <w:szCs w:val="18"/>
                <w:color w:val="auto"/>
              </w:rPr>
            </w:pPr>
          </w:p>
        </w:tc>
        <w:tc>
          <w:tcPr>
            <w:tcW w:w="1280" w:type="dxa"/>
            <w:vAlign w:val="bottom"/>
          </w:tcPr>
          <w:p>
            <w:pPr>
              <w:jc w:val="right"/>
              <w:ind w:right="60"/>
              <w:spacing w:after="0"/>
              <w:rPr>
                <w:sz w:val="20"/>
                <w:szCs w:val="20"/>
                <w:color w:val="auto"/>
              </w:rPr>
            </w:pPr>
            <w:r>
              <w:rPr>
                <w:rFonts w:ascii="Arial" w:cs="Arial" w:eastAsia="Arial" w:hAnsi="Arial"/>
                <w:sz w:val="17"/>
                <w:szCs w:val="17"/>
                <w:color w:val="auto"/>
              </w:rPr>
              <w:t>46,622 $</w:t>
            </w:r>
          </w:p>
        </w:tc>
        <w:tc>
          <w:tcPr>
            <w:tcW w:w="780" w:type="dxa"/>
            <w:vAlign w:val="bottom"/>
          </w:tcPr>
          <w:p>
            <w:pPr>
              <w:jc w:val="right"/>
              <w:spacing w:after="0"/>
              <w:rPr>
                <w:sz w:val="20"/>
                <w:szCs w:val="20"/>
                <w:color w:val="auto"/>
              </w:rPr>
            </w:pPr>
            <w:r>
              <w:rPr>
                <w:rFonts w:ascii="Arial" w:cs="Arial" w:eastAsia="Arial" w:hAnsi="Arial"/>
                <w:sz w:val="17"/>
                <w:szCs w:val="17"/>
                <w:color w:val="auto"/>
              </w:rPr>
              <w:t>26.32</w:t>
            </w:r>
          </w:p>
        </w:tc>
      </w:tr>
    </w:tbl>
    <w:p>
      <w:pPr>
        <w:spacing w:after="0" w:line="183" w:lineRule="exact"/>
        <w:rPr>
          <w:sz w:val="20"/>
          <w:szCs w:val="20"/>
          <w:color w:val="auto"/>
        </w:rPr>
      </w:pPr>
    </w:p>
    <w:p>
      <w:pPr>
        <w:jc w:val="both"/>
        <w:ind w:firstLine="387"/>
        <w:spacing w:after="0" w:line="273" w:lineRule="auto"/>
        <w:rPr>
          <w:sz w:val="20"/>
          <w:szCs w:val="20"/>
          <w:color w:val="auto"/>
        </w:rPr>
      </w:pPr>
      <w:r>
        <w:rPr>
          <w:rFonts w:ascii="Arial" w:cs="Arial" w:eastAsia="Arial" w:hAnsi="Arial"/>
          <w:sz w:val="17"/>
          <w:szCs w:val="17"/>
          <w:color w:val="auto"/>
        </w:rPr>
        <w:t>The fair value of the right (option) to purchase shares under the ESPP is estimated at the date of purchase with the four quarterly purchase dates using the following assumptions: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500" w:type="dxa"/>
            <w:vAlign w:val="bottom"/>
            <w:tcBorders>
              <w:bottom w:val="single" w:sz="8" w:color="CCEEFF"/>
            </w:tcBorders>
          </w:tcPr>
          <w:p>
            <w:pPr>
              <w:spacing w:after="0"/>
              <w:rPr>
                <w:sz w:val="19"/>
                <w:szCs w:val="19"/>
                <w:color w:val="auto"/>
              </w:rPr>
            </w:pPr>
          </w:p>
        </w:tc>
        <w:tc>
          <w:tcPr>
            <w:tcW w:w="2740" w:type="dxa"/>
            <w:vAlign w:val="bottom"/>
            <w:tcBorders>
              <w:bottom w:val="single" w:sz="8" w:color="auto"/>
            </w:tcBorders>
          </w:tcPr>
          <w:p>
            <w:pPr>
              <w:jc w:val="right"/>
              <w:ind w:right="1114"/>
              <w:spacing w:after="0"/>
              <w:rPr>
                <w:sz w:val="20"/>
                <w:szCs w:val="20"/>
                <w:color w:val="auto"/>
              </w:rPr>
            </w:pPr>
            <w:r>
              <w:rPr>
                <w:rFonts w:ascii="Arial" w:cs="Arial" w:eastAsia="Arial" w:hAnsi="Arial"/>
                <w:sz w:val="17"/>
                <w:szCs w:val="17"/>
                <w:b w:val="1"/>
                <w:bCs w:val="1"/>
                <w:color w:val="auto"/>
              </w:rPr>
              <w:t>2021</w:t>
            </w:r>
          </w:p>
        </w:tc>
      </w:tr>
      <w:tr>
        <w:trPr>
          <w:trHeight w:val="213"/>
        </w:trPr>
        <w:tc>
          <w:tcPr>
            <w:tcW w:w="8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Dividend yield</w:t>
            </w:r>
          </w:p>
        </w:tc>
        <w:tc>
          <w:tcPr>
            <w:tcW w:w="2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r>
      <w:tr>
        <w:trPr>
          <w:trHeight w:val="219"/>
        </w:trPr>
        <w:tc>
          <w:tcPr>
            <w:tcW w:w="8500" w:type="dxa"/>
            <w:vAlign w:val="bottom"/>
          </w:tcPr>
          <w:p>
            <w:pPr>
              <w:ind w:left="20"/>
              <w:spacing w:after="0"/>
              <w:rPr>
                <w:sz w:val="20"/>
                <w:szCs w:val="20"/>
                <w:color w:val="auto"/>
              </w:rPr>
            </w:pPr>
            <w:r>
              <w:rPr>
                <w:rFonts w:ascii="Arial" w:cs="Arial" w:eastAsia="Arial" w:hAnsi="Arial"/>
                <w:sz w:val="17"/>
                <w:szCs w:val="17"/>
                <w:color w:val="auto"/>
              </w:rPr>
              <w:t>Expected volatility</w:t>
            </w:r>
          </w:p>
        </w:tc>
        <w:tc>
          <w:tcPr>
            <w:tcW w:w="2740" w:type="dxa"/>
            <w:vAlign w:val="bottom"/>
          </w:tcPr>
          <w:p>
            <w:pPr>
              <w:jc w:val="right"/>
              <w:spacing w:after="0"/>
              <w:rPr>
                <w:sz w:val="20"/>
                <w:szCs w:val="20"/>
                <w:color w:val="auto"/>
              </w:rPr>
            </w:pPr>
            <w:r>
              <w:rPr>
                <w:rFonts w:ascii="Arial" w:cs="Arial" w:eastAsia="Arial" w:hAnsi="Arial"/>
                <w:sz w:val="17"/>
                <w:szCs w:val="17"/>
                <w:color w:val="auto"/>
              </w:rPr>
              <w:t>48.14%</w:t>
            </w:r>
          </w:p>
        </w:tc>
      </w:tr>
      <w:tr>
        <w:trPr>
          <w:trHeight w:val="220"/>
        </w:trPr>
        <w:tc>
          <w:tcPr>
            <w:tcW w:w="8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2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0.09%, 0.09%, 0.10%, 0.10%</w:t>
            </w:r>
          </w:p>
        </w:tc>
      </w:tr>
      <w:tr>
        <w:trPr>
          <w:trHeight w:val="218"/>
        </w:trPr>
        <w:tc>
          <w:tcPr>
            <w:tcW w:w="8500" w:type="dxa"/>
            <w:vAlign w:val="bottom"/>
          </w:tcPr>
          <w:p>
            <w:pPr>
              <w:ind w:left="20"/>
              <w:spacing w:after="0"/>
              <w:rPr>
                <w:sz w:val="20"/>
                <w:szCs w:val="20"/>
                <w:color w:val="auto"/>
              </w:rPr>
            </w:pPr>
            <w:r>
              <w:rPr>
                <w:rFonts w:ascii="Arial" w:cs="Arial" w:eastAsia="Arial" w:hAnsi="Arial"/>
                <w:sz w:val="17"/>
                <w:szCs w:val="17"/>
                <w:color w:val="auto"/>
              </w:rPr>
              <w:t>Expected life (years)</w:t>
            </w:r>
          </w:p>
        </w:tc>
        <w:tc>
          <w:tcPr>
            <w:tcW w:w="2740" w:type="dxa"/>
            <w:vAlign w:val="bottom"/>
          </w:tcPr>
          <w:p>
            <w:pPr>
              <w:jc w:val="right"/>
              <w:spacing w:after="0"/>
              <w:rPr>
                <w:sz w:val="20"/>
                <w:szCs w:val="20"/>
                <w:color w:val="auto"/>
              </w:rPr>
            </w:pPr>
            <w:r>
              <w:rPr>
                <w:rFonts w:ascii="Arial" w:cs="Arial" w:eastAsia="Arial" w:hAnsi="Arial"/>
                <w:sz w:val="17"/>
                <w:szCs w:val="17"/>
                <w:color w:val="auto"/>
              </w:rPr>
              <w:t>0.25, 0.50, 0.75, 1.00</w:t>
            </w:r>
          </w:p>
        </w:tc>
      </w:tr>
    </w:tbl>
    <w:p>
      <w:pPr>
        <w:spacing w:after="0" w:line="183"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 xml:space="preserve">We recorded stock-based compensation expense, which is included in </w:t>
      </w:r>
      <w:r>
        <w:rPr>
          <w:rFonts w:ascii="Arial" w:cs="Arial" w:eastAsia="Arial" w:hAnsi="Arial"/>
          <w:sz w:val="17"/>
          <w:szCs w:val="17"/>
          <w:i w:val="1"/>
          <w:iCs w:val="1"/>
          <w:color w:val="auto"/>
        </w:rPr>
        <w:t>General, administrative and other expenses and Regional and unallocated funeral and</w:t>
      </w:r>
      <w:r>
        <w:rPr>
          <w:rFonts w:ascii="Arial" w:cs="Arial" w:eastAsia="Arial" w:hAnsi="Arial"/>
          <w:sz w:val="17"/>
          <w:szCs w:val="17"/>
          <w:color w:val="auto"/>
        </w:rPr>
        <w:t xml:space="preserve"> </w:t>
      </w:r>
      <w:r>
        <w:rPr>
          <w:rFonts w:ascii="Arial" w:cs="Arial" w:eastAsia="Arial" w:hAnsi="Arial"/>
          <w:sz w:val="17"/>
          <w:szCs w:val="17"/>
          <w:i w:val="1"/>
          <w:iCs w:val="1"/>
          <w:color w:val="auto"/>
        </w:rPr>
        <w:t>cemetery costs</w:t>
      </w:r>
      <w:r>
        <w:rPr>
          <w:rFonts w:ascii="Arial" w:cs="Arial" w:eastAsia="Arial" w:hAnsi="Arial"/>
          <w:sz w:val="17"/>
          <w:szCs w:val="17"/>
          <w:color w:val="auto"/>
        </w:rPr>
        <w:t>, for the ESPP totaling $95,000 and $117,000 for the three months ended September 30, 2020 and 2021, respectively and $339,000 and $458,000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nine months ended September 30, 2020 </w:t>
      </w:r>
      <w:r>
        <w:rPr>
          <w:rFonts w:ascii="Arial" w:cs="Arial" w:eastAsia="Arial" w:hAnsi="Arial"/>
          <w:sz w:val="15"/>
          <w:szCs w:val="15"/>
          <w:color w:val="auto"/>
        </w:rPr>
        <w:t>and</w:t>
      </w:r>
      <w:r>
        <w:rPr>
          <w:rFonts w:ascii="Arial" w:cs="Arial" w:eastAsia="Arial" w:hAnsi="Arial"/>
          <w:sz w:val="17"/>
          <w:szCs w:val="17"/>
          <w:color w:val="auto"/>
        </w:rPr>
        <w:t xml:space="preserve"> 2021, respectively.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i w:val="1"/>
          <w:iCs w:val="1"/>
          <w:color w:val="auto"/>
        </w:rPr>
        <w:t>Non-Employee Director and Board Advisor Compensation</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Non-Employee Director and Board Advisor common stock activity is as follows (in thousands, except shares):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5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5"/>
          </w:tcPr>
          <w:p>
            <w:pPr>
              <w:jc w:val="right"/>
              <w:ind w:right="14"/>
              <w:spacing w:after="0"/>
              <w:rPr>
                <w:sz w:val="20"/>
                <w:szCs w:val="20"/>
                <w:color w:val="auto"/>
              </w:rPr>
            </w:pPr>
            <w:r>
              <w:rPr>
                <w:rFonts w:ascii="Arial" w:cs="Arial" w:eastAsia="Arial" w:hAnsi="Arial"/>
                <w:sz w:val="15"/>
                <w:szCs w:val="15"/>
                <w:b w:val="1"/>
                <w:bCs w:val="1"/>
                <w:color w:val="auto"/>
                <w:w w:val="92"/>
              </w:rPr>
              <w:t>Three months ended September 30,</w:t>
            </w:r>
          </w:p>
        </w:tc>
        <w:tc>
          <w:tcPr>
            <w:tcW w:w="8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5"/>
          </w:tcPr>
          <w:p>
            <w:pPr>
              <w:jc w:val="right"/>
              <w:ind w:right="54"/>
              <w:spacing w:after="0"/>
              <w:rPr>
                <w:sz w:val="20"/>
                <w:szCs w:val="20"/>
                <w:color w:val="auto"/>
              </w:rPr>
            </w:pPr>
            <w:r>
              <w:rPr>
                <w:rFonts w:ascii="Arial" w:cs="Arial" w:eastAsia="Arial" w:hAnsi="Arial"/>
                <w:sz w:val="15"/>
                <w:szCs w:val="15"/>
                <w:b w:val="1"/>
                <w:bCs w:val="1"/>
                <w:color w:val="auto"/>
                <w:w w:val="92"/>
              </w:rPr>
              <w:t>Nine months ended September 30,</w:t>
            </w:r>
          </w:p>
        </w:tc>
        <w:tc>
          <w:tcPr>
            <w:tcW w:w="860" w:type="dxa"/>
            <w:vAlign w:val="bottom"/>
            <w:tcBorders>
              <w:bottom w:val="single" w:sz="8" w:color="auto"/>
            </w:tcBorders>
          </w:tcPr>
          <w:p>
            <w:pPr>
              <w:spacing w:after="0"/>
              <w:rPr>
                <w:sz w:val="17"/>
                <w:szCs w:val="17"/>
                <w:color w:val="auto"/>
              </w:rPr>
            </w:pPr>
          </w:p>
        </w:tc>
      </w:tr>
      <w:tr>
        <w:trPr>
          <w:trHeight w:val="200"/>
        </w:trPr>
        <w:tc>
          <w:tcPr>
            <w:tcW w:w="25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2020</w:t>
            </w: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2021</w:t>
            </w: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2020</w:t>
            </w: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2021</w:t>
            </w:r>
          </w:p>
        </w:tc>
        <w:tc>
          <w:tcPr>
            <w:tcW w:w="860" w:type="dxa"/>
            <w:vAlign w:val="bottom"/>
            <w:tcBorders>
              <w:bottom w:val="single" w:sz="8" w:color="auto"/>
            </w:tcBorders>
          </w:tcPr>
          <w:p>
            <w:pPr>
              <w:spacing w:after="0"/>
              <w:rPr>
                <w:sz w:val="17"/>
                <w:szCs w:val="17"/>
                <w:color w:val="auto"/>
              </w:rPr>
            </w:pPr>
          </w:p>
        </w:tc>
      </w:tr>
      <w:tr>
        <w:trPr>
          <w:trHeight w:val="202"/>
        </w:trPr>
        <w:tc>
          <w:tcPr>
            <w:tcW w:w="25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38"/>
              <w:spacing w:after="0"/>
              <w:rPr>
                <w:sz w:val="20"/>
                <w:szCs w:val="20"/>
                <w:color w:val="auto"/>
              </w:rPr>
            </w:pPr>
            <w:r>
              <w:rPr>
                <w:rFonts w:ascii="Arial" w:cs="Arial" w:eastAsia="Arial" w:hAnsi="Arial"/>
                <w:sz w:val="15"/>
                <w:szCs w:val="15"/>
                <w:b w:val="1"/>
                <w:bCs w:val="1"/>
                <w:color w:val="auto"/>
              </w:rPr>
              <w:t>Shares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5"/>
                <w:szCs w:val="15"/>
                <w:b w:val="1"/>
                <w:bCs w:val="1"/>
                <w:color w:val="auto"/>
                <w:w w:val="94"/>
              </w:rPr>
              <w:t>Fair Value</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78"/>
              <w:spacing w:after="0"/>
              <w:rPr>
                <w:sz w:val="20"/>
                <w:szCs w:val="20"/>
                <w:color w:val="auto"/>
              </w:rPr>
            </w:pPr>
            <w:r>
              <w:rPr>
                <w:rFonts w:ascii="Arial" w:cs="Arial" w:eastAsia="Arial" w:hAnsi="Arial"/>
                <w:sz w:val="15"/>
                <w:szCs w:val="15"/>
                <w:b w:val="1"/>
                <w:bCs w:val="1"/>
                <w:color w:val="auto"/>
              </w:rPr>
              <w:t>Shares</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5"/>
                <w:szCs w:val="15"/>
                <w:b w:val="1"/>
                <w:bCs w:val="1"/>
                <w:color w:val="auto"/>
                <w:w w:val="94"/>
              </w:rPr>
              <w:t>Fair Value</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58"/>
              <w:spacing w:after="0"/>
              <w:rPr>
                <w:sz w:val="20"/>
                <w:szCs w:val="20"/>
                <w:color w:val="auto"/>
              </w:rPr>
            </w:pPr>
            <w:r>
              <w:rPr>
                <w:rFonts w:ascii="Arial" w:cs="Arial" w:eastAsia="Arial" w:hAnsi="Arial"/>
                <w:sz w:val="15"/>
                <w:szCs w:val="15"/>
                <w:b w:val="1"/>
                <w:bCs w:val="1"/>
                <w:color w:val="auto"/>
              </w:rPr>
              <w:t>Shares</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5"/>
                <w:szCs w:val="15"/>
                <w:b w:val="1"/>
                <w:bCs w:val="1"/>
                <w:color w:val="auto"/>
                <w:w w:val="94"/>
              </w:rPr>
              <w:t>Fair Value</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78"/>
              <w:spacing w:after="0"/>
              <w:rPr>
                <w:sz w:val="20"/>
                <w:szCs w:val="20"/>
                <w:color w:val="auto"/>
              </w:rPr>
            </w:pPr>
            <w:r>
              <w:rPr>
                <w:rFonts w:ascii="Arial" w:cs="Arial" w:eastAsia="Arial" w:hAnsi="Arial"/>
                <w:sz w:val="15"/>
                <w:szCs w:val="15"/>
                <w:b w:val="1"/>
                <w:bCs w:val="1"/>
                <w:color w:val="auto"/>
              </w:rPr>
              <w:t>Shares</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5"/>
                <w:szCs w:val="15"/>
                <w:b w:val="1"/>
                <w:bCs w:val="1"/>
                <w:color w:val="auto"/>
                <w:w w:val="94"/>
              </w:rPr>
              <w:t>Fair Value</w:t>
            </w:r>
          </w:p>
        </w:tc>
      </w:tr>
      <w:tr>
        <w:trPr>
          <w:trHeight w:val="219"/>
        </w:trPr>
        <w:tc>
          <w:tcPr>
            <w:tcW w:w="2520" w:type="dxa"/>
            <w:vAlign w:val="bottom"/>
          </w:tcPr>
          <w:p>
            <w:pPr>
              <w:ind w:left="20"/>
              <w:spacing w:after="0"/>
              <w:rPr>
                <w:sz w:val="20"/>
                <w:szCs w:val="20"/>
                <w:color w:val="auto"/>
              </w:rPr>
            </w:pPr>
            <w:r>
              <w:rPr>
                <w:rFonts w:ascii="Arial" w:cs="Arial" w:eastAsia="Arial" w:hAnsi="Arial"/>
                <w:sz w:val="17"/>
                <w:szCs w:val="17"/>
                <w:color w:val="auto"/>
              </w:rPr>
              <w:t>Board of Directors</w:t>
            </w:r>
          </w:p>
        </w:tc>
        <w:tc>
          <w:tcPr>
            <w:tcW w:w="960" w:type="dxa"/>
            <w:vAlign w:val="bottom"/>
          </w:tcPr>
          <w:p>
            <w:pPr>
              <w:jc w:val="right"/>
              <w:spacing w:after="0"/>
              <w:rPr>
                <w:sz w:val="20"/>
                <w:szCs w:val="20"/>
                <w:color w:val="auto"/>
              </w:rPr>
            </w:pPr>
            <w:r>
              <w:rPr>
                <w:rFonts w:ascii="Arial" w:cs="Arial" w:eastAsia="Arial" w:hAnsi="Arial"/>
                <w:sz w:val="17"/>
                <w:szCs w:val="17"/>
                <w:color w:val="auto"/>
              </w:rPr>
              <w:t>8,540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192</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3,192</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142</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25,220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477</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12,565</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480</w:t>
            </w:r>
          </w:p>
        </w:tc>
      </w:tr>
      <w:tr>
        <w:trPr>
          <w:trHeight w:val="220"/>
        </w:trPr>
        <w:tc>
          <w:tcPr>
            <w:tcW w:w="2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Advisor to the Board</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808</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711390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3905" cy="8255"/>
                    </a:xfrm>
                    <a:prstGeom prst="rect">
                      <a:avLst/>
                    </a:prstGeom>
                    <a:noFill/>
                  </pic:spPr>
                </pic:pic>
              </a:graphicData>
            </a:graphic>
          </wp:anchor>
        </w:drawing>
      </w:r>
    </w:p>
    <w:p>
      <w:pPr>
        <w:spacing w:after="0" w:line="181" w:lineRule="exact"/>
        <w:rPr>
          <w:sz w:val="20"/>
          <w:szCs w:val="20"/>
          <w:color w:val="auto"/>
        </w:rPr>
      </w:pPr>
    </w:p>
    <w:p>
      <w:pPr>
        <w:ind w:left="400" w:right="60" w:hanging="380"/>
        <w:spacing w:after="0" w:line="181" w:lineRule="auto"/>
        <w:tabs>
          <w:tab w:leader="none" w:pos="400" w:val="left"/>
        </w:tabs>
        <w:numPr>
          <w:ilvl w:val="0"/>
          <w:numId w:val="21"/>
        </w:numPr>
        <w:rPr>
          <w:rFonts w:ascii="Arial" w:cs="Arial" w:eastAsia="Arial" w:hAnsi="Arial"/>
          <w:sz w:val="23"/>
          <w:szCs w:val="23"/>
          <w:color w:val="auto"/>
          <w:vertAlign w:val="superscript"/>
        </w:rPr>
      </w:pPr>
      <w:r>
        <w:rPr>
          <w:rFonts w:ascii="Arial" w:cs="Arial" w:eastAsia="Arial" w:hAnsi="Arial"/>
          <w:sz w:val="12"/>
          <w:szCs w:val="12"/>
          <w:color w:val="auto"/>
        </w:rPr>
        <w:t>Common stock granted during the three months ended September 30, 2020 and 2021 had a weighted average price of $26.79 and $44.59, respectively. Common stock granted during the nine months ended September 30, 2020 and 2021 had a weighted average price of $18.91 and $38.20, respectively.</w:t>
      </w:r>
    </w:p>
    <w:p>
      <w:pPr>
        <w:spacing w:after="0" w:line="193"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 xml:space="preserve">We recorded compensation expense, which is included in </w:t>
      </w:r>
      <w:r>
        <w:rPr>
          <w:rFonts w:ascii="Arial" w:cs="Arial" w:eastAsia="Arial" w:hAnsi="Arial"/>
          <w:sz w:val="17"/>
          <w:szCs w:val="17"/>
          <w:i w:val="1"/>
          <w:iCs w:val="1"/>
          <w:color w:val="auto"/>
        </w:rPr>
        <w:t>General, administrative and other expenses</w:t>
      </w:r>
      <w:r>
        <w:rPr>
          <w:rFonts w:ascii="Arial" w:cs="Arial" w:eastAsia="Arial" w:hAnsi="Arial"/>
          <w:sz w:val="17"/>
          <w:szCs w:val="17"/>
          <w:color w:val="auto"/>
        </w:rPr>
        <w:t xml:space="preserve">, related to annual retainers, including the value of stock granted to non-employee Directors and an advisor to our Board, of $250,000 and $201,000 for the three months ended September 30, 2020 and 2021, respectively and $653,000 and $656,000 for the nine months ended September 30, 2020 </w:t>
      </w:r>
      <w:r>
        <w:rPr>
          <w:rFonts w:ascii="Arial" w:cs="Arial" w:eastAsia="Arial" w:hAnsi="Arial"/>
          <w:sz w:val="15"/>
          <w:szCs w:val="15"/>
          <w:color w:val="auto"/>
        </w:rPr>
        <w:t>and</w:t>
      </w:r>
      <w:r>
        <w:rPr>
          <w:rFonts w:ascii="Arial" w:cs="Arial" w:eastAsia="Arial" w:hAnsi="Arial"/>
          <w:sz w:val="17"/>
          <w:szCs w:val="17"/>
          <w:color w:val="auto"/>
        </w:rPr>
        <w:t xml:space="preserve"> 2021,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Share Repurchase</w:t>
      </w:r>
    </w:p>
    <w:p>
      <w:pPr>
        <w:spacing w:after="0" w:line="101" w:lineRule="exact"/>
        <w:rPr>
          <w:sz w:val="20"/>
          <w:szCs w:val="20"/>
          <w:color w:val="auto"/>
        </w:rPr>
      </w:pPr>
    </w:p>
    <w:p>
      <w:pPr>
        <w:jc w:val="both"/>
        <w:ind w:firstLine="387"/>
        <w:spacing w:after="0" w:line="236" w:lineRule="auto"/>
        <w:rPr>
          <w:sz w:val="20"/>
          <w:szCs w:val="20"/>
          <w:color w:val="auto"/>
        </w:rPr>
      </w:pPr>
      <w:r>
        <w:rPr>
          <w:rFonts w:ascii="Arial" w:cs="Arial" w:eastAsia="Arial" w:hAnsi="Arial"/>
          <w:sz w:val="17"/>
          <w:szCs w:val="17"/>
          <w:color w:val="auto"/>
        </w:rPr>
        <w:t>On May 18, 2021 and July 26, 2021, our Board authorized increases of up to an additional $25.0 million, respectively, in our share repurchase program to permit us to purchase up to a total of $50.0 million under our share repurchase program, in addition to amounts previously authorized and outstanding, in accordance with Rule 10b-18 of the Securities Exchange Act of 1934, as amended (the “Exchange Act”).</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Share repurchase activity is as follows (dollar value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00" w:type="dxa"/>
            <w:vAlign w:val="bottom"/>
            <w:gridSpan w:val="2"/>
          </w:tcPr>
          <w:p>
            <w:pPr>
              <w:ind w:left="40"/>
              <w:spacing w:after="0"/>
              <w:rPr>
                <w:sz w:val="20"/>
                <w:szCs w:val="20"/>
                <w:color w:val="auto"/>
              </w:rPr>
            </w:pPr>
            <w:r>
              <w:rPr>
                <w:rFonts w:ascii="Arial" w:cs="Arial" w:eastAsia="Arial" w:hAnsi="Arial"/>
                <w:sz w:val="15"/>
                <w:szCs w:val="15"/>
                <w:b w:val="1"/>
                <w:bCs w:val="1"/>
                <w:color w:val="auto"/>
              </w:rPr>
              <w:t>Three months ended September 30,</w:t>
            </w:r>
          </w:p>
        </w:tc>
        <w:tc>
          <w:tcPr>
            <w:tcW w:w="266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w w:val="92"/>
              </w:rPr>
              <w:t>Nine months ended September 30, 2021</w:t>
            </w:r>
          </w:p>
        </w:tc>
        <w:tc>
          <w:tcPr>
            <w:tcW w:w="0" w:type="dxa"/>
            <w:vAlign w:val="bottom"/>
          </w:tcPr>
          <w:p>
            <w:pPr>
              <w:spacing w:after="0"/>
              <w:rPr>
                <w:sz w:val="1"/>
                <w:szCs w:val="1"/>
                <w:color w:val="auto"/>
              </w:rPr>
            </w:pPr>
          </w:p>
        </w:tc>
      </w:tr>
      <w:tr>
        <w:trPr>
          <w:trHeight w:val="204"/>
        </w:trPr>
        <w:tc>
          <w:tcPr>
            <w:tcW w:w="57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tcPr>
          <w:p>
            <w:pPr>
              <w:jc w:val="right"/>
              <w:ind w:right="1097"/>
              <w:spacing w:after="0"/>
              <w:rPr>
                <w:sz w:val="20"/>
                <w:szCs w:val="20"/>
                <w:color w:val="auto"/>
              </w:rPr>
            </w:pPr>
            <w:r>
              <w:rPr>
                <w:rFonts w:ascii="Arial" w:cs="Arial" w:eastAsia="Arial" w:hAnsi="Arial"/>
                <w:sz w:val="15"/>
                <w:szCs w:val="15"/>
                <w:b w:val="1"/>
                <w:bCs w:val="1"/>
                <w:color w:val="auto"/>
              </w:rPr>
              <w:t>2021</w:t>
            </w:r>
          </w:p>
        </w:tc>
        <w:tc>
          <w:tcPr>
            <w:tcW w:w="160" w:type="dxa"/>
            <w:vAlign w:val="bottom"/>
            <w:tcBorders>
              <w:bottom w:val="single" w:sz="8" w:color="CCEEFF"/>
            </w:tcBorders>
          </w:tcPr>
          <w:p>
            <w:pPr>
              <w:spacing w:after="0"/>
              <w:rPr>
                <w:sz w:val="17"/>
                <w:szCs w:val="17"/>
                <w:color w:val="auto"/>
              </w:rPr>
            </w:pPr>
          </w:p>
        </w:tc>
        <w:tc>
          <w:tcPr>
            <w:tcW w:w="266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740" w:type="dxa"/>
            <w:vAlign w:val="bottom"/>
            <w:shd w:val="clear" w:color="auto" w:fill="CCEEFF"/>
          </w:tcPr>
          <w:p>
            <w:pPr>
              <w:ind w:left="20"/>
              <w:spacing w:after="0" w:line="214" w:lineRule="exact"/>
              <w:rPr>
                <w:sz w:val="20"/>
                <w:szCs w:val="20"/>
                <w:color w:val="auto"/>
              </w:rPr>
            </w:pPr>
            <w:r>
              <w:rPr>
                <w:rFonts w:ascii="Arial" w:cs="Arial" w:eastAsia="Arial" w:hAnsi="Arial"/>
                <w:sz w:val="15"/>
                <w:szCs w:val="15"/>
                <w:color w:val="auto"/>
              </w:rPr>
              <w:t>Number of Shares Repurchased</w:t>
            </w:r>
            <w:r>
              <w:rPr>
                <w:rFonts w:ascii="Arial" w:cs="Arial" w:eastAsia="Arial" w:hAnsi="Arial"/>
                <w:sz w:val="20"/>
                <w:szCs w:val="20"/>
                <w:color w:val="auto"/>
                <w:vertAlign w:val="superscript"/>
              </w:rPr>
              <w:t>(1)</w:t>
            </w:r>
          </w:p>
        </w:tc>
        <w:tc>
          <w:tcPr>
            <w:tcW w:w="140" w:type="dxa"/>
            <w:vAlign w:val="bottom"/>
            <w:shd w:val="clear" w:color="auto" w:fill="CCEEFF"/>
          </w:tcPr>
          <w:p>
            <w:pPr>
              <w:spacing w:after="0"/>
              <w:rPr>
                <w:sz w:val="18"/>
                <w:szCs w:val="18"/>
                <w:color w:val="auto"/>
              </w:rPr>
            </w:pPr>
          </w:p>
        </w:tc>
        <w:tc>
          <w:tcPr>
            <w:tcW w:w="2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1,203,493</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1,528,197</w:t>
            </w:r>
          </w:p>
        </w:tc>
        <w:tc>
          <w:tcPr>
            <w:tcW w:w="0" w:type="dxa"/>
            <w:vAlign w:val="bottom"/>
          </w:tcPr>
          <w:p>
            <w:pPr>
              <w:spacing w:after="0"/>
              <w:rPr>
                <w:sz w:val="1"/>
                <w:szCs w:val="1"/>
                <w:color w:val="auto"/>
              </w:rPr>
            </w:pPr>
          </w:p>
        </w:tc>
      </w:tr>
      <w:tr>
        <w:trPr>
          <w:trHeight w:val="219"/>
        </w:trPr>
        <w:tc>
          <w:tcPr>
            <w:tcW w:w="5740" w:type="dxa"/>
            <w:vAlign w:val="bottom"/>
          </w:tcPr>
          <w:p>
            <w:pPr>
              <w:ind w:left="20"/>
              <w:spacing w:after="0"/>
              <w:rPr>
                <w:sz w:val="20"/>
                <w:szCs w:val="20"/>
                <w:color w:val="auto"/>
              </w:rPr>
            </w:pPr>
            <w:r>
              <w:rPr>
                <w:rFonts w:ascii="Arial" w:cs="Arial" w:eastAsia="Arial" w:hAnsi="Arial"/>
                <w:sz w:val="15"/>
                <w:szCs w:val="15"/>
                <w:color w:val="auto"/>
              </w:rPr>
              <w:t>Average Price Paid Per Share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2540" w:type="dxa"/>
            <w:vAlign w:val="bottom"/>
          </w:tcPr>
          <w:p>
            <w:pPr>
              <w:jc w:val="right"/>
              <w:spacing w:after="0"/>
              <w:rPr>
                <w:sz w:val="20"/>
                <w:szCs w:val="20"/>
                <w:color w:val="auto"/>
              </w:rPr>
            </w:pPr>
            <w:r>
              <w:rPr>
                <w:rFonts w:ascii="Arial" w:cs="Arial" w:eastAsia="Arial" w:hAnsi="Arial"/>
                <w:sz w:val="17"/>
                <w:szCs w:val="17"/>
                <w:color w:val="auto"/>
              </w:rPr>
              <w:t>44.24</w:t>
            </w:r>
          </w:p>
        </w:tc>
        <w:tc>
          <w:tcPr>
            <w:tcW w:w="16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auto"/>
              </w:rPr>
              <w:t>$</w:t>
            </w:r>
          </w:p>
        </w:tc>
        <w:tc>
          <w:tcPr>
            <w:tcW w:w="1660" w:type="dxa"/>
            <w:vAlign w:val="bottom"/>
          </w:tcPr>
          <w:p>
            <w:pPr>
              <w:jc w:val="right"/>
              <w:spacing w:after="0"/>
              <w:rPr>
                <w:sz w:val="20"/>
                <w:szCs w:val="20"/>
                <w:color w:val="auto"/>
              </w:rPr>
            </w:pPr>
            <w:r>
              <w:rPr>
                <w:rFonts w:ascii="Arial" w:cs="Arial" w:eastAsia="Arial" w:hAnsi="Arial"/>
                <w:sz w:val="17"/>
                <w:szCs w:val="17"/>
                <w:color w:val="auto"/>
              </w:rPr>
              <w:t>42.89</w:t>
            </w:r>
          </w:p>
        </w:tc>
        <w:tc>
          <w:tcPr>
            <w:tcW w:w="0" w:type="dxa"/>
            <w:vAlign w:val="bottom"/>
          </w:tcPr>
          <w:p>
            <w:pPr>
              <w:spacing w:after="0"/>
              <w:rPr>
                <w:sz w:val="1"/>
                <w:szCs w:val="1"/>
                <w:color w:val="auto"/>
              </w:rPr>
            </w:pPr>
          </w:p>
        </w:tc>
      </w:tr>
      <w:tr>
        <w:trPr>
          <w:trHeight w:val="220"/>
        </w:trPr>
        <w:tc>
          <w:tcPr>
            <w:tcW w:w="5740" w:type="dxa"/>
            <w:vAlign w:val="bottom"/>
            <w:shd w:val="clear" w:color="auto" w:fill="CCEEFF"/>
          </w:tcPr>
          <w:p>
            <w:pPr>
              <w:ind w:left="20"/>
              <w:spacing w:after="0" w:line="220" w:lineRule="exact"/>
              <w:rPr>
                <w:sz w:val="20"/>
                <w:szCs w:val="20"/>
                <w:color w:val="auto"/>
              </w:rPr>
            </w:pPr>
            <w:r>
              <w:rPr>
                <w:rFonts w:ascii="Arial" w:cs="Arial" w:eastAsia="Arial" w:hAnsi="Arial"/>
                <w:sz w:val="15"/>
                <w:szCs w:val="15"/>
                <w:color w:val="auto"/>
              </w:rPr>
              <w:t>Dollar Value of Shares Repurchased</w:t>
            </w:r>
            <w:r>
              <w:rPr>
                <w:rFonts w:ascii="Arial" w:cs="Arial" w:eastAsia="Arial" w:hAnsi="Arial"/>
                <w:sz w:val="20"/>
                <w:szCs w:val="20"/>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53,239</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71139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3905" cy="8255"/>
                    </a:xfrm>
                    <a:prstGeom prst="rect">
                      <a:avLst/>
                    </a:prstGeom>
                    <a:noFill/>
                  </pic:spPr>
                </pic:pic>
              </a:graphicData>
            </a:graphic>
          </wp:anchor>
        </w:drawing>
      </w:r>
    </w:p>
    <w:p>
      <w:pPr>
        <w:spacing w:after="0" w:line="46" w:lineRule="exact"/>
        <w:rPr>
          <w:sz w:val="20"/>
          <w:szCs w:val="20"/>
          <w:color w:val="auto"/>
        </w:rPr>
      </w:pPr>
    </w:p>
    <w:p>
      <w:pPr>
        <w:ind w:left="400" w:hanging="380"/>
        <w:spacing w:after="0"/>
        <w:tabs>
          <w:tab w:leader="none" w:pos="400" w:val="left"/>
        </w:tabs>
        <w:numPr>
          <w:ilvl w:val="0"/>
          <w:numId w:val="22"/>
        </w:numPr>
        <w:rPr>
          <w:rFonts w:ascii="Arial" w:cs="Arial" w:eastAsia="Arial" w:hAnsi="Arial"/>
          <w:sz w:val="28"/>
          <w:szCs w:val="28"/>
          <w:color w:val="auto"/>
          <w:vertAlign w:val="superscript"/>
        </w:rPr>
      </w:pPr>
      <w:r>
        <w:rPr>
          <w:rFonts w:ascii="Arial" w:cs="Arial" w:eastAsia="Arial" w:hAnsi="Arial"/>
          <w:sz w:val="14"/>
          <w:szCs w:val="14"/>
          <w:color w:val="auto"/>
        </w:rPr>
        <w:t>During the three and nine months ended September 30, 2021, 84,000 shares settled in October 2021, which had a cost of $3.8 million.</w:t>
      </w:r>
    </w:p>
    <w:p>
      <w:pPr>
        <w:spacing w:after="0" w:line="193"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Our shares were purchased in the open market at times and in amounts as management determined appropriate based on factors such as market conditions, legal requirements and other business considerations. Shares purchased pursuant to the repurchase program are currently held as treasury shares. At September 30, 2021, we had approximately $10.1 million available for repurchase under our share repurchase program.</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Dividends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Board declared the following dividends payable on the dates below (in thousands, except per share amounts):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2021</w:t>
            </w:r>
          </w:p>
        </w:tc>
        <w:tc>
          <w:tcPr>
            <w:tcW w:w="290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Per Share</w:t>
            </w:r>
          </w:p>
        </w:tc>
        <w:tc>
          <w:tcPr>
            <w:tcW w:w="140" w:type="dxa"/>
            <w:vAlign w:val="bottom"/>
          </w:tcPr>
          <w:p>
            <w:pPr>
              <w:spacing w:after="0"/>
              <w:rPr>
                <w:sz w:val="14"/>
                <w:szCs w:val="14"/>
                <w:color w:val="auto"/>
              </w:rPr>
            </w:pPr>
          </w:p>
        </w:tc>
        <w:tc>
          <w:tcPr>
            <w:tcW w:w="1280" w:type="dxa"/>
            <w:vAlign w:val="bottom"/>
          </w:tcPr>
          <w:p>
            <w:pPr>
              <w:jc w:val="right"/>
              <w:ind w:right="258"/>
              <w:spacing w:after="0"/>
              <w:rPr>
                <w:sz w:val="20"/>
                <w:szCs w:val="20"/>
                <w:color w:val="auto"/>
              </w:rPr>
            </w:pPr>
            <w:r>
              <w:rPr>
                <w:rFonts w:ascii="Arial" w:cs="Arial" w:eastAsia="Arial" w:hAnsi="Arial"/>
                <w:sz w:val="14"/>
                <w:szCs w:val="14"/>
                <w:b w:val="1"/>
                <w:bCs w:val="1"/>
                <w:color w:val="auto"/>
              </w:rPr>
              <w:t>Dollar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spacing w:after="0" w:line="211" w:lineRule="exact"/>
              <w:rPr>
                <w:sz w:val="20"/>
                <w:szCs w:val="20"/>
                <w:color w:val="auto"/>
              </w:rPr>
            </w:pPr>
            <w:r>
              <w:rPr>
                <w:rFonts w:ascii="Arial" w:cs="Arial" w:eastAsia="Arial" w:hAnsi="Arial"/>
                <w:sz w:val="17"/>
                <w:szCs w:val="17"/>
                <w:color w:val="auto"/>
              </w:rPr>
              <w:t>March 1</w:t>
            </w:r>
            <w:r>
              <w:rPr>
                <w:rFonts w:ascii="Arial" w:cs="Arial" w:eastAsia="Arial" w:hAnsi="Arial"/>
                <w:sz w:val="22"/>
                <w:szCs w:val="22"/>
                <w:color w:val="auto"/>
                <w:vertAlign w:val="superscript"/>
              </w:rPr>
              <w:t>st</w:t>
            </w:r>
          </w:p>
        </w:tc>
        <w:tc>
          <w:tcPr>
            <w:tcW w:w="5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1,799</w:t>
            </w:r>
          </w:p>
        </w:tc>
      </w:tr>
      <w:tr>
        <w:trPr>
          <w:trHeight w:val="219"/>
        </w:trPr>
        <w:tc>
          <w:tcPr>
            <w:tcW w:w="20" w:type="dxa"/>
            <w:vAlign w:val="bottom"/>
          </w:tcPr>
          <w:p>
            <w:pPr>
              <w:spacing w:after="0"/>
              <w:rPr>
                <w:sz w:val="19"/>
                <w:szCs w:val="19"/>
                <w:color w:val="auto"/>
              </w:rPr>
            </w:pPr>
          </w:p>
        </w:tc>
        <w:tc>
          <w:tcPr>
            <w:tcW w:w="3180" w:type="dxa"/>
            <w:vAlign w:val="bottom"/>
            <w:gridSpan w:val="2"/>
          </w:tcPr>
          <w:p>
            <w:pPr>
              <w:spacing w:after="0" w:line="220" w:lineRule="exact"/>
              <w:rPr>
                <w:sz w:val="20"/>
                <w:szCs w:val="20"/>
                <w:color w:val="auto"/>
              </w:rPr>
            </w:pPr>
            <w:r>
              <w:rPr>
                <w:rFonts w:ascii="Arial" w:cs="Arial" w:eastAsia="Arial" w:hAnsi="Arial"/>
                <w:sz w:val="17"/>
                <w:szCs w:val="17"/>
                <w:color w:val="auto"/>
              </w:rPr>
              <w:t>June 1</w:t>
            </w:r>
            <w:r>
              <w:rPr>
                <w:rFonts w:ascii="Arial" w:cs="Arial" w:eastAsia="Arial" w:hAnsi="Arial"/>
                <w:sz w:val="22"/>
                <w:szCs w:val="22"/>
                <w:color w:val="auto"/>
                <w:vertAlign w:val="superscript"/>
              </w:rPr>
              <w:t>st</w:t>
            </w:r>
          </w:p>
        </w:tc>
        <w:tc>
          <w:tcPr>
            <w:tcW w:w="5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0.1000</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1,808</w:t>
            </w:r>
          </w:p>
        </w:tc>
      </w:tr>
      <w:tr>
        <w:trPr>
          <w:trHeight w:val="219"/>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spacing w:after="0" w:line="220" w:lineRule="exact"/>
              <w:rPr>
                <w:sz w:val="20"/>
                <w:szCs w:val="20"/>
                <w:color w:val="auto"/>
              </w:rPr>
            </w:pPr>
            <w:r>
              <w:rPr>
                <w:rFonts w:ascii="Arial" w:cs="Arial" w:eastAsia="Arial" w:hAnsi="Arial"/>
                <w:sz w:val="17"/>
                <w:szCs w:val="17"/>
                <w:color w:val="auto"/>
              </w:rPr>
              <w:t>September 1</w:t>
            </w:r>
            <w:r>
              <w:rPr>
                <w:rFonts w:ascii="Arial" w:cs="Arial" w:eastAsia="Arial" w:hAnsi="Arial"/>
                <w:sz w:val="22"/>
                <w:szCs w:val="22"/>
                <w:color w:val="auto"/>
                <w:vertAlign w:val="superscript"/>
              </w:rPr>
              <w:t>st</w:t>
            </w:r>
          </w:p>
        </w:tc>
        <w:tc>
          <w:tcPr>
            <w:tcW w:w="5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0.1000</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1,783</w:t>
            </w:r>
          </w:p>
        </w:tc>
      </w:tr>
      <w:tr>
        <w:trPr>
          <w:trHeight w:val="297"/>
        </w:trPr>
        <w:tc>
          <w:tcPr>
            <w:tcW w:w="3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2020</w:t>
            </w:r>
          </w:p>
        </w:tc>
        <w:tc>
          <w:tcPr>
            <w:tcW w:w="29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Per Share</w:t>
            </w:r>
          </w:p>
        </w:tc>
        <w:tc>
          <w:tcPr>
            <w:tcW w:w="140" w:type="dxa"/>
            <w:vAlign w:val="bottom"/>
          </w:tcPr>
          <w:p>
            <w:pPr>
              <w:spacing w:after="0"/>
              <w:rPr>
                <w:sz w:val="24"/>
                <w:szCs w:val="24"/>
                <w:color w:val="auto"/>
              </w:rPr>
            </w:pPr>
          </w:p>
        </w:tc>
        <w:tc>
          <w:tcPr>
            <w:tcW w:w="1280" w:type="dxa"/>
            <w:vAlign w:val="bottom"/>
          </w:tcPr>
          <w:p>
            <w:pPr>
              <w:jc w:val="right"/>
              <w:ind w:right="398"/>
              <w:spacing w:after="0"/>
              <w:rPr>
                <w:sz w:val="20"/>
                <w:szCs w:val="20"/>
                <w:color w:val="auto"/>
              </w:rPr>
            </w:pPr>
            <w:r>
              <w:rPr>
                <w:rFonts w:ascii="Arial" w:cs="Arial" w:eastAsia="Arial" w:hAnsi="Arial"/>
                <w:sz w:val="14"/>
                <w:szCs w:val="14"/>
                <w:b w:val="1"/>
                <w:bCs w:val="1"/>
                <w:color w:val="auto"/>
                <w:w w:val="96"/>
              </w:rPr>
              <w:t>Dollar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spacing w:after="0" w:line="211" w:lineRule="exact"/>
              <w:rPr>
                <w:sz w:val="20"/>
                <w:szCs w:val="20"/>
                <w:color w:val="auto"/>
              </w:rPr>
            </w:pPr>
            <w:r>
              <w:rPr>
                <w:rFonts w:ascii="Arial" w:cs="Arial" w:eastAsia="Arial" w:hAnsi="Arial"/>
                <w:sz w:val="17"/>
                <w:szCs w:val="17"/>
                <w:color w:val="auto"/>
              </w:rPr>
              <w:t>March 1</w:t>
            </w:r>
            <w:r>
              <w:rPr>
                <w:rFonts w:ascii="Arial" w:cs="Arial" w:eastAsia="Arial" w:hAnsi="Arial"/>
                <w:sz w:val="22"/>
                <w:szCs w:val="22"/>
                <w:color w:val="auto"/>
                <w:vertAlign w:val="superscript"/>
              </w:rPr>
              <w:t>st</w:t>
            </w:r>
          </w:p>
        </w:tc>
        <w:tc>
          <w:tcPr>
            <w:tcW w:w="5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0.0750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1,339</w:t>
            </w:r>
          </w:p>
        </w:tc>
      </w:tr>
      <w:tr>
        <w:trPr>
          <w:trHeight w:val="219"/>
        </w:trPr>
        <w:tc>
          <w:tcPr>
            <w:tcW w:w="20" w:type="dxa"/>
            <w:vAlign w:val="bottom"/>
          </w:tcPr>
          <w:p>
            <w:pPr>
              <w:spacing w:after="0"/>
              <w:rPr>
                <w:sz w:val="19"/>
                <w:szCs w:val="19"/>
                <w:color w:val="auto"/>
              </w:rPr>
            </w:pPr>
          </w:p>
        </w:tc>
        <w:tc>
          <w:tcPr>
            <w:tcW w:w="3180" w:type="dxa"/>
            <w:vAlign w:val="bottom"/>
            <w:gridSpan w:val="2"/>
          </w:tcPr>
          <w:p>
            <w:pPr>
              <w:spacing w:after="0" w:line="220" w:lineRule="exact"/>
              <w:rPr>
                <w:sz w:val="20"/>
                <w:szCs w:val="20"/>
                <w:color w:val="auto"/>
              </w:rPr>
            </w:pPr>
            <w:r>
              <w:rPr>
                <w:rFonts w:ascii="Arial" w:cs="Arial" w:eastAsia="Arial" w:hAnsi="Arial"/>
                <w:sz w:val="17"/>
                <w:szCs w:val="17"/>
                <w:color w:val="auto"/>
              </w:rPr>
              <w:t>June 1</w:t>
            </w:r>
            <w:r>
              <w:rPr>
                <w:rFonts w:ascii="Arial" w:cs="Arial" w:eastAsia="Arial" w:hAnsi="Arial"/>
                <w:sz w:val="22"/>
                <w:szCs w:val="22"/>
                <w:color w:val="auto"/>
                <w:vertAlign w:val="superscript"/>
              </w:rPr>
              <w:t>st</w:t>
            </w:r>
          </w:p>
        </w:tc>
        <w:tc>
          <w:tcPr>
            <w:tcW w:w="5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0.0750</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1,343</w:t>
            </w:r>
          </w:p>
        </w:tc>
      </w:tr>
      <w:tr>
        <w:trPr>
          <w:trHeight w:val="219"/>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spacing w:after="0" w:line="220" w:lineRule="exact"/>
              <w:rPr>
                <w:sz w:val="20"/>
                <w:szCs w:val="20"/>
                <w:color w:val="auto"/>
              </w:rPr>
            </w:pPr>
            <w:r>
              <w:rPr>
                <w:rFonts w:ascii="Arial" w:cs="Arial" w:eastAsia="Arial" w:hAnsi="Arial"/>
                <w:sz w:val="17"/>
                <w:szCs w:val="17"/>
                <w:color w:val="auto"/>
              </w:rPr>
              <w:t>September 1</w:t>
            </w:r>
            <w:r>
              <w:rPr>
                <w:rFonts w:ascii="Arial" w:cs="Arial" w:eastAsia="Arial" w:hAnsi="Arial"/>
                <w:sz w:val="22"/>
                <w:szCs w:val="22"/>
                <w:color w:val="auto"/>
                <w:vertAlign w:val="superscript"/>
              </w:rPr>
              <w:t>st</w:t>
            </w:r>
          </w:p>
        </w:tc>
        <w:tc>
          <w:tcPr>
            <w:tcW w:w="5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0.0875</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1,569</w:t>
            </w:r>
          </w:p>
        </w:tc>
      </w:tr>
      <w:tr>
        <w:trPr>
          <w:trHeight w:val="811"/>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980" w:type="dxa"/>
            <w:vAlign w:val="bottom"/>
          </w:tcPr>
          <w:p>
            <w:pPr>
              <w:jc w:val="right"/>
              <w:ind w:right="2274"/>
              <w:spacing w:after="0"/>
              <w:rPr>
                <w:sz w:val="20"/>
                <w:szCs w:val="20"/>
                <w:color w:val="auto"/>
              </w:rPr>
            </w:pPr>
            <w:r>
              <w:rPr>
                <w:rFonts w:ascii="Arial" w:cs="Arial" w:eastAsia="Arial" w:hAnsi="Arial"/>
                <w:sz w:val="17"/>
                <w:szCs w:val="17"/>
                <w:color w:val="auto"/>
              </w:rPr>
              <w:t>- 34 -</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900" w:type="dxa"/>
            <w:vAlign w:val="bottom"/>
            <w:tcBorders>
              <w:bottom w:val="single" w:sz="8" w:color="9A9A9A"/>
            </w:tcBorders>
          </w:tcPr>
          <w:p>
            <w:pPr>
              <w:spacing w:after="0"/>
              <w:rPr>
                <w:sz w:val="9"/>
                <w:szCs w:val="9"/>
                <w:color w:val="auto"/>
              </w:rPr>
            </w:pPr>
          </w:p>
        </w:tc>
        <w:tc>
          <w:tcPr>
            <w:tcW w:w="49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34" w:name="page35"/>
    <w:bookmarkEnd w:id="34"/>
    <w:p>
      <w:pPr>
        <w:ind w:left="620" w:hanging="617"/>
        <w:spacing w:after="0"/>
        <w:tabs>
          <w:tab w:leader="none" w:pos="620"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EARNINGS PER SHARE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440" w:type="dxa"/>
            <w:vAlign w:val="bottom"/>
            <w:gridSpan w:val="2"/>
          </w:tcPr>
          <w:p>
            <w:pPr>
              <w:ind w:left="400"/>
              <w:spacing w:after="0"/>
              <w:rPr>
                <w:sz w:val="20"/>
                <w:szCs w:val="20"/>
                <w:color w:val="auto"/>
              </w:rPr>
            </w:pPr>
            <w:r>
              <w:rPr>
                <w:rFonts w:ascii="Arial" w:cs="Arial" w:eastAsia="Arial" w:hAnsi="Arial"/>
                <w:sz w:val="17"/>
                <w:szCs w:val="17"/>
                <w:color w:val="auto"/>
              </w:rPr>
              <w:t>The  following  table  sets</w:t>
            </w:r>
          </w:p>
        </w:tc>
        <w:tc>
          <w:tcPr>
            <w:tcW w:w="480" w:type="dxa"/>
            <w:vAlign w:val="bottom"/>
          </w:tcPr>
          <w:p>
            <w:pPr>
              <w:jc w:val="right"/>
              <w:spacing w:after="0"/>
              <w:rPr>
                <w:sz w:val="20"/>
                <w:szCs w:val="20"/>
                <w:color w:val="auto"/>
              </w:rPr>
            </w:pPr>
            <w:r>
              <w:rPr>
                <w:rFonts w:ascii="Arial" w:cs="Arial" w:eastAsia="Arial" w:hAnsi="Arial"/>
                <w:sz w:val="17"/>
                <w:szCs w:val="17"/>
                <w:color w:val="auto"/>
              </w:rPr>
              <w:t>forth</w:t>
            </w:r>
          </w:p>
        </w:tc>
        <w:tc>
          <w:tcPr>
            <w:tcW w:w="1380" w:type="dxa"/>
            <w:vAlign w:val="bottom"/>
            <w:gridSpan w:val="3"/>
          </w:tcPr>
          <w:p>
            <w:pPr>
              <w:ind w:left="80"/>
              <w:spacing w:after="0"/>
              <w:rPr>
                <w:sz w:val="20"/>
                <w:szCs w:val="20"/>
                <w:color w:val="auto"/>
              </w:rPr>
            </w:pPr>
            <w:r>
              <w:rPr>
                <w:rFonts w:ascii="Arial" w:cs="Arial" w:eastAsia="Arial" w:hAnsi="Arial"/>
                <w:sz w:val="17"/>
                <w:szCs w:val="17"/>
                <w:color w:val="auto"/>
              </w:rPr>
              <w:t>the  computation</w:t>
            </w:r>
          </w:p>
        </w:tc>
        <w:tc>
          <w:tcPr>
            <w:tcW w:w="280" w:type="dxa"/>
            <w:vAlign w:val="bottom"/>
          </w:tcPr>
          <w:p>
            <w:pPr>
              <w:jc w:val="center"/>
              <w:spacing w:after="0"/>
              <w:rPr>
                <w:sz w:val="20"/>
                <w:szCs w:val="20"/>
                <w:color w:val="auto"/>
              </w:rPr>
            </w:pPr>
            <w:r>
              <w:rPr>
                <w:rFonts w:ascii="Arial" w:cs="Arial" w:eastAsia="Arial" w:hAnsi="Arial"/>
                <w:sz w:val="17"/>
                <w:szCs w:val="17"/>
                <w:color w:val="auto"/>
                <w:w w:val="98"/>
              </w:rPr>
              <w:t>of</w:t>
            </w:r>
          </w:p>
        </w:tc>
        <w:tc>
          <w:tcPr>
            <w:tcW w:w="1260" w:type="dxa"/>
            <w:vAlign w:val="bottom"/>
            <w:gridSpan w:val="3"/>
          </w:tcPr>
          <w:p>
            <w:pPr>
              <w:ind w:left="80"/>
              <w:spacing w:after="0"/>
              <w:rPr>
                <w:sz w:val="20"/>
                <w:szCs w:val="20"/>
                <w:color w:val="auto"/>
              </w:rPr>
            </w:pPr>
            <w:r>
              <w:rPr>
                <w:rFonts w:ascii="Arial" w:cs="Arial" w:eastAsia="Arial" w:hAnsi="Arial"/>
                <w:sz w:val="17"/>
                <w:szCs w:val="17"/>
                <w:color w:val="auto"/>
              </w:rPr>
              <w:t>the  basic  and</w:t>
            </w:r>
          </w:p>
        </w:tc>
        <w:tc>
          <w:tcPr>
            <w:tcW w:w="620" w:type="dxa"/>
            <w:vAlign w:val="bottom"/>
          </w:tcPr>
          <w:p>
            <w:pPr>
              <w:jc w:val="right"/>
              <w:spacing w:after="0"/>
              <w:rPr>
                <w:sz w:val="20"/>
                <w:szCs w:val="20"/>
                <w:color w:val="auto"/>
              </w:rPr>
            </w:pPr>
            <w:r>
              <w:rPr>
                <w:rFonts w:ascii="Arial" w:cs="Arial" w:eastAsia="Arial" w:hAnsi="Arial"/>
                <w:sz w:val="17"/>
                <w:szCs w:val="17"/>
                <w:color w:val="auto"/>
              </w:rPr>
              <w:t>diluted</w:t>
            </w:r>
          </w:p>
        </w:tc>
        <w:tc>
          <w:tcPr>
            <w:tcW w:w="1100" w:type="dxa"/>
            <w:vAlign w:val="bottom"/>
            <w:gridSpan w:val="3"/>
          </w:tcPr>
          <w:p>
            <w:pPr>
              <w:ind w:left="80"/>
              <w:spacing w:after="0"/>
              <w:rPr>
                <w:sz w:val="20"/>
                <w:szCs w:val="20"/>
                <w:color w:val="auto"/>
              </w:rPr>
            </w:pPr>
            <w:r>
              <w:rPr>
                <w:rFonts w:ascii="Arial" w:cs="Arial" w:eastAsia="Arial" w:hAnsi="Arial"/>
                <w:sz w:val="17"/>
                <w:szCs w:val="17"/>
                <w:color w:val="auto"/>
              </w:rPr>
              <w:t>earnings  per</w:t>
            </w:r>
          </w:p>
        </w:tc>
        <w:tc>
          <w:tcPr>
            <w:tcW w:w="520" w:type="dxa"/>
            <w:vAlign w:val="bottom"/>
          </w:tcPr>
          <w:p>
            <w:pPr>
              <w:jc w:val="right"/>
              <w:spacing w:after="0"/>
              <w:rPr>
                <w:sz w:val="20"/>
                <w:szCs w:val="20"/>
                <w:color w:val="auto"/>
              </w:rPr>
            </w:pPr>
            <w:r>
              <w:rPr>
                <w:rFonts w:ascii="Arial" w:cs="Arial" w:eastAsia="Arial" w:hAnsi="Arial"/>
                <w:sz w:val="17"/>
                <w:szCs w:val="17"/>
                <w:color w:val="auto"/>
                <w:w w:val="98"/>
              </w:rPr>
              <w:t>share</w:t>
            </w:r>
          </w:p>
        </w:tc>
        <w:tc>
          <w:tcPr>
            <w:tcW w:w="3160" w:type="dxa"/>
            <w:vAlign w:val="bottom"/>
            <w:gridSpan w:val="2"/>
          </w:tcPr>
          <w:p>
            <w:pPr>
              <w:ind w:left="80"/>
              <w:spacing w:after="0"/>
              <w:rPr>
                <w:sz w:val="20"/>
                <w:szCs w:val="20"/>
                <w:color w:val="auto"/>
              </w:rPr>
            </w:pPr>
            <w:r>
              <w:rPr>
                <w:rFonts w:ascii="Arial" w:cs="Arial" w:eastAsia="Arial" w:hAnsi="Arial"/>
                <w:sz w:val="17"/>
                <w:szCs w:val="17"/>
                <w:color w:val="auto"/>
                <w:w w:val="98"/>
              </w:rPr>
              <w:t>(in  thousands,  except  per  share  data):</w:t>
            </w:r>
          </w:p>
        </w:tc>
        <w:tc>
          <w:tcPr>
            <w:tcW w:w="0" w:type="dxa"/>
            <w:vAlign w:val="bottom"/>
          </w:tcPr>
          <w:p>
            <w:pPr>
              <w:spacing w:after="0"/>
              <w:rPr>
                <w:sz w:val="1"/>
                <w:szCs w:val="1"/>
                <w:color w:val="auto"/>
              </w:rPr>
            </w:pPr>
          </w:p>
        </w:tc>
      </w:tr>
      <w:tr>
        <w:trPr>
          <w:trHeight w:val="270"/>
        </w:trPr>
        <w:tc>
          <w:tcPr>
            <w:tcW w:w="2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920" w:type="dxa"/>
            <w:vAlign w:val="bottom"/>
            <w:gridSpan w:val="7"/>
          </w:tcPr>
          <w:p>
            <w:pPr>
              <w:ind w:left="40"/>
              <w:spacing w:after="0"/>
              <w:rPr>
                <w:sz w:val="20"/>
                <w:szCs w:val="20"/>
                <w:color w:val="auto"/>
              </w:rPr>
            </w:pPr>
            <w:r>
              <w:rPr>
                <w:rFonts w:ascii="Arial" w:cs="Arial" w:eastAsia="Arial" w:hAnsi="Arial"/>
                <w:sz w:val="15"/>
                <w:szCs w:val="15"/>
                <w:b w:val="1"/>
                <w:bCs w:val="1"/>
                <w:color w:val="auto"/>
              </w:rPr>
              <w:t>Three months ended September 30,</w:t>
            </w:r>
          </w:p>
        </w:tc>
        <w:tc>
          <w:tcPr>
            <w:tcW w:w="5400" w:type="dxa"/>
            <w:vAlign w:val="bottom"/>
            <w:gridSpan w:val="7"/>
          </w:tcPr>
          <w:p>
            <w:pPr>
              <w:ind w:left="480"/>
              <w:spacing w:after="0"/>
              <w:rPr>
                <w:sz w:val="20"/>
                <w:szCs w:val="20"/>
                <w:color w:val="auto"/>
              </w:rPr>
            </w:pPr>
            <w:r>
              <w:rPr>
                <w:rFonts w:ascii="Arial" w:cs="Arial" w:eastAsia="Arial" w:hAnsi="Arial"/>
                <w:sz w:val="15"/>
                <w:szCs w:val="15"/>
                <w:b w:val="1"/>
                <w:bCs w:val="1"/>
                <w:color w:val="auto"/>
              </w:rPr>
              <w:t>Nine months ended September 30,</w:t>
            </w:r>
          </w:p>
        </w:tc>
        <w:tc>
          <w:tcPr>
            <w:tcW w:w="0" w:type="dxa"/>
            <w:vAlign w:val="bottom"/>
          </w:tcPr>
          <w:p>
            <w:pPr>
              <w:spacing w:after="0"/>
              <w:rPr>
                <w:sz w:val="1"/>
                <w:szCs w:val="1"/>
                <w:color w:val="auto"/>
              </w:rPr>
            </w:pPr>
          </w:p>
        </w:tc>
      </w:tr>
      <w:tr>
        <w:trPr>
          <w:trHeight w:val="200"/>
        </w:trPr>
        <w:tc>
          <w:tcPr>
            <w:tcW w:w="236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5"/>
                <w:szCs w:val="15"/>
                <w:b w:val="1"/>
                <w:bCs w:val="1"/>
                <w:color w:val="auto"/>
                <w:w w:val="89"/>
              </w:rPr>
              <w:t>2020</w:t>
            </w:r>
          </w:p>
        </w:tc>
        <w:tc>
          <w:tcPr>
            <w:tcW w:w="16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5"/>
                <w:szCs w:val="15"/>
                <w:b w:val="1"/>
                <w:bCs w:val="1"/>
                <w:color w:val="auto"/>
                <w:w w:val="89"/>
              </w:rPr>
              <w:t>2021</w:t>
            </w:r>
          </w:p>
        </w:tc>
        <w:tc>
          <w:tcPr>
            <w:tcW w:w="1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5"/>
                <w:szCs w:val="15"/>
                <w:b w:val="1"/>
                <w:bCs w:val="1"/>
                <w:color w:val="auto"/>
                <w:w w:val="95"/>
              </w:rPr>
              <w:t>2020</w:t>
            </w:r>
          </w:p>
        </w:tc>
        <w:tc>
          <w:tcPr>
            <w:tcW w:w="14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5"/>
                <w:szCs w:val="15"/>
                <w:b w:val="1"/>
                <w:bCs w:val="1"/>
                <w:color w:val="auto"/>
                <w:w w:val="95"/>
              </w:rPr>
              <w:t>2021</w:t>
            </w: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360" w:type="dxa"/>
            <w:vAlign w:val="bottom"/>
            <w:shd w:val="clear" w:color="auto" w:fill="CCEEFF"/>
          </w:tcPr>
          <w:p>
            <w:pPr>
              <w:ind w:left="400"/>
              <w:spacing w:after="0" w:line="163" w:lineRule="exact"/>
              <w:rPr>
                <w:sz w:val="20"/>
                <w:szCs w:val="20"/>
                <w:color w:val="auto"/>
              </w:rPr>
            </w:pPr>
            <w:r>
              <w:rPr>
                <w:rFonts w:ascii="Arial" w:cs="Arial" w:eastAsia="Arial" w:hAnsi="Arial"/>
                <w:sz w:val="17"/>
                <w:szCs w:val="17"/>
                <w:b w:val="1"/>
                <w:bCs w:val="1"/>
                <w:color w:val="auto"/>
                <w:w w:val="98"/>
              </w:rPr>
              <w:t>Numerator for basic and</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diluted earnings per share:</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440" w:type="dxa"/>
            <w:vAlign w:val="bottom"/>
            <w:gridSpan w:val="2"/>
          </w:tcPr>
          <w:p>
            <w:pPr>
              <w:ind w:left="400"/>
              <w:spacing w:after="0"/>
              <w:rPr>
                <w:sz w:val="20"/>
                <w:szCs w:val="20"/>
                <w:color w:val="auto"/>
              </w:rPr>
            </w:pPr>
            <w:r>
              <w:rPr>
                <w:rFonts w:ascii="Arial" w:cs="Arial" w:eastAsia="Arial" w:hAnsi="Arial"/>
                <w:sz w:val="17"/>
                <w:szCs w:val="17"/>
                <w:color w:val="auto"/>
              </w:rPr>
              <w:t>Net income</w:t>
            </w: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5,525</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jc w:val="center"/>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13,046</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7,725</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19,812</w:t>
            </w: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440" w:type="dxa"/>
            <w:vAlign w:val="bottom"/>
            <w:gridSpan w:val="2"/>
            <w:shd w:val="clear" w:color="auto" w:fill="CCEEFF"/>
          </w:tcPr>
          <w:p>
            <w:pPr>
              <w:ind w:left="600"/>
              <w:spacing w:after="0" w:line="182" w:lineRule="exact"/>
              <w:rPr>
                <w:sz w:val="20"/>
                <w:szCs w:val="20"/>
                <w:color w:val="auto"/>
              </w:rPr>
            </w:pPr>
            <w:r>
              <w:rPr>
                <w:rFonts w:ascii="Arial" w:cs="Arial" w:eastAsia="Arial" w:hAnsi="Arial"/>
                <w:sz w:val="17"/>
                <w:szCs w:val="17"/>
                <w:color w:val="auto"/>
                <w:w w:val="98"/>
              </w:rPr>
              <w:t>Less: Earnings allocated</w:t>
            </w:r>
          </w:p>
        </w:tc>
        <w:tc>
          <w:tcPr>
            <w:tcW w:w="4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ind w:left="600"/>
              <w:spacing w:after="0"/>
              <w:rPr>
                <w:sz w:val="20"/>
                <w:szCs w:val="20"/>
                <w:color w:val="auto"/>
              </w:rPr>
            </w:pPr>
            <w:r>
              <w:rPr>
                <w:rFonts w:ascii="Arial" w:cs="Arial" w:eastAsia="Arial" w:hAnsi="Arial"/>
                <w:sz w:val="17"/>
                <w:szCs w:val="17"/>
                <w:color w:val="auto"/>
                <w:w w:val="99"/>
              </w:rPr>
              <w:t>(14)</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ind w:left="620"/>
              <w:spacing w:after="0"/>
              <w:rPr>
                <w:sz w:val="20"/>
                <w:szCs w:val="20"/>
                <w:color w:val="auto"/>
              </w:rPr>
            </w:pPr>
            <w:r>
              <w:rPr>
                <w:rFonts w:ascii="Arial" w:cs="Arial" w:eastAsia="Arial" w:hAnsi="Arial"/>
                <w:sz w:val="17"/>
                <w:szCs w:val="17"/>
                <w:color w:val="auto"/>
                <w:w w:val="99"/>
              </w:rPr>
              <w:t>(18)</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ind w:left="360"/>
              <w:spacing w:after="0"/>
              <w:rPr>
                <w:sz w:val="20"/>
                <w:szCs w:val="20"/>
                <w:color w:val="auto"/>
              </w:rPr>
            </w:pPr>
            <w:r>
              <w:rPr>
                <w:rFonts w:ascii="Arial" w:cs="Arial" w:eastAsia="Arial" w:hAnsi="Arial"/>
                <w:sz w:val="17"/>
                <w:szCs w:val="17"/>
                <w:color w:val="auto"/>
              </w:rPr>
              <w:t>(23)</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ind w:left="420"/>
              <w:spacing w:after="0"/>
              <w:rPr>
                <w:sz w:val="20"/>
                <w:szCs w:val="20"/>
                <w:color w:val="auto"/>
              </w:rPr>
            </w:pPr>
            <w:r>
              <w:rPr>
                <w:rFonts w:ascii="Arial" w:cs="Arial" w:eastAsia="Arial" w:hAnsi="Arial"/>
                <w:sz w:val="17"/>
                <w:szCs w:val="17"/>
                <w:color w:val="auto"/>
              </w:rPr>
              <w:t>(33)</w:t>
            </w: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to unvested restricted stock</w:t>
            </w:r>
          </w:p>
        </w:tc>
        <w:tc>
          <w:tcPr>
            <w:tcW w:w="4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360" w:type="dxa"/>
            <w:vAlign w:val="bottom"/>
          </w:tcPr>
          <w:p>
            <w:pPr>
              <w:ind w:left="400"/>
              <w:spacing w:after="0" w:line="149" w:lineRule="exact"/>
              <w:rPr>
                <w:sz w:val="20"/>
                <w:szCs w:val="20"/>
                <w:color w:val="auto"/>
              </w:rPr>
            </w:pPr>
            <w:r>
              <w:rPr>
                <w:rFonts w:ascii="Arial" w:cs="Arial" w:eastAsia="Arial" w:hAnsi="Arial"/>
                <w:sz w:val="17"/>
                <w:szCs w:val="17"/>
                <w:color w:val="auto"/>
              </w:rPr>
              <w:t>Income attributable to</w:t>
            </w: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5,511</w:t>
            </w:r>
          </w:p>
        </w:tc>
        <w:tc>
          <w:tcPr>
            <w:tcW w:w="1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vMerge w:val="restart"/>
          </w:tcPr>
          <w:p>
            <w:pPr>
              <w:jc w:val="center"/>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13,028</w:t>
            </w: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vMerge w:val="restart"/>
          </w:tcPr>
          <w:p>
            <w:pPr>
              <w:jc w:val="right"/>
              <w:ind w:right="215"/>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7,702</w:t>
            </w:r>
          </w:p>
        </w:tc>
        <w:tc>
          <w:tcPr>
            <w:tcW w:w="1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vMerge w:val="restart"/>
          </w:tcPr>
          <w:p>
            <w:pPr>
              <w:jc w:val="right"/>
              <w:ind w:right="214"/>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7"/>
                <w:szCs w:val="17"/>
                <w:color w:val="auto"/>
              </w:rPr>
              <w:t>19,779</w:t>
            </w: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440" w:type="dxa"/>
            <w:vAlign w:val="bottom"/>
            <w:gridSpan w:val="2"/>
          </w:tcPr>
          <w:p>
            <w:pPr>
              <w:ind w:left="20"/>
              <w:spacing w:after="0" w:line="194" w:lineRule="exact"/>
              <w:rPr>
                <w:sz w:val="20"/>
                <w:szCs w:val="20"/>
                <w:color w:val="auto"/>
              </w:rPr>
            </w:pPr>
            <w:r>
              <w:rPr>
                <w:rFonts w:ascii="Arial" w:cs="Arial" w:eastAsia="Arial" w:hAnsi="Arial"/>
                <w:sz w:val="17"/>
                <w:szCs w:val="17"/>
                <w:color w:val="auto"/>
              </w:rPr>
              <w:t>common stockholders</w:t>
            </w:r>
          </w:p>
        </w:tc>
        <w:tc>
          <w:tcPr>
            <w:tcW w:w="4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440" w:type="dxa"/>
            <w:vAlign w:val="bottom"/>
            <w:gridSpan w:val="2"/>
          </w:tcPr>
          <w:p>
            <w:pPr>
              <w:ind w:left="400"/>
              <w:spacing w:after="0"/>
              <w:rPr>
                <w:sz w:val="20"/>
                <w:szCs w:val="20"/>
                <w:color w:val="auto"/>
              </w:rPr>
            </w:pPr>
            <w:r>
              <w:rPr>
                <w:rFonts w:ascii="Arial" w:cs="Arial" w:eastAsia="Arial" w:hAnsi="Arial"/>
                <w:sz w:val="17"/>
                <w:szCs w:val="17"/>
                <w:b w:val="1"/>
                <w:bCs w:val="1"/>
                <w:color w:val="auto"/>
              </w:rPr>
              <w:t>Denominator:</w:t>
            </w:r>
          </w:p>
        </w:tc>
        <w:tc>
          <w:tcPr>
            <w:tcW w:w="4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440" w:type="dxa"/>
            <w:vAlign w:val="bottom"/>
            <w:gridSpan w:val="2"/>
            <w:shd w:val="clear" w:color="auto" w:fill="CCEEFF"/>
          </w:tcPr>
          <w:p>
            <w:pPr>
              <w:ind w:left="400"/>
              <w:spacing w:after="0" w:line="169" w:lineRule="exact"/>
              <w:rPr>
                <w:sz w:val="20"/>
                <w:szCs w:val="20"/>
                <w:color w:val="auto"/>
              </w:rPr>
            </w:pPr>
            <w:r>
              <w:rPr>
                <w:rFonts w:ascii="Arial" w:cs="Arial" w:eastAsia="Arial" w:hAnsi="Arial"/>
                <w:sz w:val="17"/>
                <w:szCs w:val="17"/>
                <w:color w:val="auto"/>
              </w:rPr>
              <w:t>Denominator for basic</w:t>
            </w:r>
          </w:p>
        </w:tc>
        <w:tc>
          <w:tcPr>
            <w:tcW w:w="4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440" w:type="dxa"/>
            <w:vAlign w:val="bottom"/>
            <w:gridSpan w:val="2"/>
            <w:shd w:val="clear" w:color="auto" w:fill="CCEEFF"/>
          </w:tcPr>
          <w:p>
            <w:pPr>
              <w:ind w:left="20"/>
              <w:spacing w:after="0" w:line="168" w:lineRule="exact"/>
              <w:rPr>
                <w:sz w:val="20"/>
                <w:szCs w:val="20"/>
                <w:color w:val="auto"/>
              </w:rPr>
            </w:pPr>
            <w:r>
              <w:rPr>
                <w:rFonts w:ascii="Arial" w:cs="Arial" w:eastAsia="Arial" w:hAnsi="Arial"/>
                <w:sz w:val="17"/>
                <w:szCs w:val="17"/>
                <w:color w:val="auto"/>
              </w:rPr>
              <w:t>earnings per common share -</w:t>
            </w:r>
          </w:p>
        </w:tc>
        <w:tc>
          <w:tcPr>
            <w:tcW w:w="4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440" w:type="dxa"/>
            <w:vAlign w:val="bottom"/>
            <w:gridSpan w:val="2"/>
            <w:shd w:val="clear" w:color="auto" w:fill="CCEEFF"/>
          </w:tcPr>
          <w:p>
            <w:pPr>
              <w:ind w:left="20"/>
              <w:spacing w:after="0" w:line="168" w:lineRule="exact"/>
              <w:rPr>
                <w:sz w:val="20"/>
                <w:szCs w:val="20"/>
                <w:color w:val="auto"/>
              </w:rPr>
            </w:pPr>
            <w:r>
              <w:rPr>
                <w:rFonts w:ascii="Arial" w:cs="Arial" w:eastAsia="Arial" w:hAnsi="Arial"/>
                <w:sz w:val="17"/>
                <w:szCs w:val="17"/>
                <w:color w:val="auto"/>
              </w:rPr>
              <w:t>weighted average shares</w:t>
            </w:r>
          </w:p>
        </w:tc>
        <w:tc>
          <w:tcPr>
            <w:tcW w:w="4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17,895</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17,499</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17,853</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17,809</w:t>
            </w: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outstanding</w:t>
            </w:r>
          </w:p>
        </w:tc>
        <w:tc>
          <w:tcPr>
            <w:tcW w:w="4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440" w:type="dxa"/>
            <w:vAlign w:val="bottom"/>
            <w:gridSpan w:val="2"/>
          </w:tcPr>
          <w:p>
            <w:pPr>
              <w:ind w:left="400"/>
              <w:spacing w:after="0"/>
              <w:rPr>
                <w:sz w:val="20"/>
                <w:szCs w:val="20"/>
                <w:color w:val="auto"/>
              </w:rPr>
            </w:pPr>
            <w:r>
              <w:rPr>
                <w:rFonts w:ascii="Arial" w:cs="Arial" w:eastAsia="Arial" w:hAnsi="Arial"/>
                <w:sz w:val="17"/>
                <w:szCs w:val="17"/>
                <w:color w:val="auto"/>
              </w:rPr>
              <w:t>Effect of dilutive securities:</w:t>
            </w:r>
          </w:p>
        </w:tc>
        <w:tc>
          <w:tcPr>
            <w:tcW w:w="4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244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Stock options</w:t>
            </w: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277</w:t>
            </w: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440" w:type="dxa"/>
            <w:vAlign w:val="bottom"/>
            <w:gridSpan w:val="2"/>
          </w:tcPr>
          <w:p>
            <w:pPr>
              <w:ind w:left="600"/>
              <w:spacing w:after="0"/>
              <w:rPr>
                <w:sz w:val="20"/>
                <w:szCs w:val="20"/>
                <w:color w:val="auto"/>
              </w:rPr>
            </w:pPr>
            <w:r>
              <w:rPr>
                <w:rFonts w:ascii="Arial" w:cs="Arial" w:eastAsia="Arial" w:hAnsi="Arial"/>
                <w:sz w:val="17"/>
                <w:szCs w:val="17"/>
                <w:color w:val="auto"/>
              </w:rPr>
              <w:t>Convertible Notes</w:t>
            </w: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160" w:type="dxa"/>
            <w:vAlign w:val="bottom"/>
            <w:gridSpan w:val="2"/>
          </w:tcPr>
          <w:p>
            <w:pPr>
              <w:jc w:val="right"/>
              <w:ind w:right="25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6"/>
        </w:trPr>
        <w:tc>
          <w:tcPr>
            <w:tcW w:w="244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Performance awards</w:t>
            </w:r>
          </w:p>
        </w:tc>
        <w:tc>
          <w:tcPr>
            <w:tcW w:w="480" w:type="dxa"/>
            <w:vAlign w:val="bottom"/>
            <w:shd w:val="clear" w:color="auto" w:fill="CCEEFF"/>
          </w:tcPr>
          <w:p>
            <w:pPr>
              <w:spacing w:after="0"/>
              <w:rPr>
                <w:sz w:val="21"/>
                <w:szCs w:val="21"/>
                <w:color w:val="auto"/>
              </w:rPr>
            </w:pPr>
          </w:p>
        </w:tc>
        <w:tc>
          <w:tcPr>
            <w:tcW w:w="1380" w:type="dxa"/>
            <w:vAlign w:val="bottom"/>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279</w:t>
            </w: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360" w:type="dxa"/>
            <w:vAlign w:val="bottom"/>
          </w:tcPr>
          <w:p>
            <w:pPr>
              <w:ind w:left="400"/>
              <w:spacing w:after="0" w:line="149" w:lineRule="exact"/>
              <w:rPr>
                <w:sz w:val="20"/>
                <w:szCs w:val="20"/>
                <w:color w:val="auto"/>
              </w:rPr>
            </w:pPr>
            <w:r>
              <w:rPr>
                <w:rFonts w:ascii="Arial" w:cs="Arial" w:eastAsia="Arial" w:hAnsi="Arial"/>
                <w:sz w:val="17"/>
                <w:szCs w:val="17"/>
                <w:color w:val="auto"/>
              </w:rPr>
              <w:t>Denominator for diluted</w:t>
            </w: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440" w:type="dxa"/>
            <w:vAlign w:val="bottom"/>
            <w:gridSpan w:val="2"/>
          </w:tcPr>
          <w:p>
            <w:pPr>
              <w:ind w:left="20"/>
              <w:spacing w:after="0" w:line="168" w:lineRule="exact"/>
              <w:rPr>
                <w:sz w:val="20"/>
                <w:szCs w:val="20"/>
                <w:color w:val="auto"/>
              </w:rPr>
            </w:pPr>
            <w:r>
              <w:rPr>
                <w:rFonts w:ascii="Arial" w:cs="Arial" w:eastAsia="Arial" w:hAnsi="Arial"/>
                <w:sz w:val="17"/>
                <w:szCs w:val="17"/>
                <w:color w:val="auto"/>
              </w:rPr>
              <w:t>earnings per common share -</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440" w:type="dxa"/>
            <w:vAlign w:val="bottom"/>
            <w:gridSpan w:val="2"/>
          </w:tcPr>
          <w:p>
            <w:pPr>
              <w:ind w:left="20"/>
              <w:spacing w:after="0" w:line="168" w:lineRule="exact"/>
              <w:rPr>
                <w:sz w:val="20"/>
                <w:szCs w:val="20"/>
                <w:color w:val="auto"/>
              </w:rPr>
            </w:pPr>
            <w:r>
              <w:rPr>
                <w:rFonts w:ascii="Arial" w:cs="Arial" w:eastAsia="Arial" w:hAnsi="Arial"/>
                <w:sz w:val="17"/>
                <w:szCs w:val="17"/>
                <w:color w:val="auto"/>
              </w:rPr>
              <w:t>weighted average shares</w:t>
            </w:r>
          </w:p>
        </w:tc>
        <w:tc>
          <w:tcPr>
            <w:tcW w:w="4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17,932</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18,246</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17,893</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vMerge w:val="restart"/>
          </w:tcPr>
          <w:p>
            <w:pPr>
              <w:jc w:val="right"/>
              <w:ind w:right="15"/>
              <w:spacing w:after="0"/>
              <w:rPr>
                <w:sz w:val="20"/>
                <w:szCs w:val="20"/>
                <w:color w:val="auto"/>
              </w:rPr>
            </w:pPr>
            <w:r>
              <w:rPr>
                <w:rFonts w:ascii="Arial" w:cs="Arial" w:eastAsia="Arial" w:hAnsi="Arial"/>
                <w:sz w:val="17"/>
                <w:szCs w:val="17"/>
                <w:color w:val="auto"/>
              </w:rPr>
              <w:t>18,365</w:t>
            </w: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440" w:type="dxa"/>
            <w:vAlign w:val="bottom"/>
            <w:gridSpan w:val="2"/>
          </w:tcPr>
          <w:p>
            <w:pPr>
              <w:ind w:left="20"/>
              <w:spacing w:after="0" w:line="194" w:lineRule="exact"/>
              <w:rPr>
                <w:sz w:val="20"/>
                <w:szCs w:val="20"/>
                <w:color w:val="auto"/>
              </w:rPr>
            </w:pPr>
            <w:r>
              <w:rPr>
                <w:rFonts w:ascii="Arial" w:cs="Arial" w:eastAsia="Arial" w:hAnsi="Arial"/>
                <w:sz w:val="17"/>
                <w:szCs w:val="17"/>
                <w:color w:val="auto"/>
              </w:rPr>
              <w:t>outstanding</w:t>
            </w:r>
          </w:p>
        </w:tc>
        <w:tc>
          <w:tcPr>
            <w:tcW w:w="4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440" w:type="dxa"/>
            <w:vAlign w:val="bottom"/>
            <w:gridSpan w:val="2"/>
          </w:tcPr>
          <w:p>
            <w:pPr>
              <w:ind w:left="400"/>
              <w:spacing w:after="0" w:line="168" w:lineRule="exact"/>
              <w:rPr>
                <w:sz w:val="20"/>
                <w:szCs w:val="20"/>
                <w:color w:val="auto"/>
              </w:rPr>
            </w:pPr>
            <w:r>
              <w:rPr>
                <w:rFonts w:ascii="Arial" w:cs="Arial" w:eastAsia="Arial" w:hAnsi="Arial"/>
                <w:sz w:val="17"/>
                <w:szCs w:val="17"/>
                <w:color w:val="auto"/>
                <w:w w:val="95"/>
              </w:rPr>
              <w:t>Basic earnings per common</w:t>
            </w:r>
          </w:p>
        </w:tc>
        <w:tc>
          <w:tcPr>
            <w:tcW w:w="4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0.31</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vMerge w:val="restart"/>
          </w:tcPr>
          <w:p>
            <w:pPr>
              <w:jc w:val="center"/>
              <w:spacing w:after="0"/>
              <w:rPr>
                <w:sz w:val="20"/>
                <w:szCs w:val="20"/>
                <w:color w:val="auto"/>
              </w:rPr>
            </w:pPr>
            <w:r>
              <w:rPr>
                <w:rFonts w:ascii="Arial" w:cs="Arial" w:eastAsia="Arial" w:hAnsi="Arial"/>
                <w:sz w:val="17"/>
                <w:szCs w:val="17"/>
                <w:color w:val="auto"/>
                <w:w w:val="84"/>
              </w:rPr>
              <w:t>$</w:t>
            </w: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0.74</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restart"/>
          </w:tcPr>
          <w:p>
            <w:pPr>
              <w:jc w:val="right"/>
              <w:ind w:right="215"/>
              <w:spacing w:after="0"/>
              <w:rPr>
                <w:sz w:val="20"/>
                <w:szCs w:val="20"/>
                <w:color w:val="auto"/>
              </w:rPr>
            </w:pPr>
            <w:r>
              <w:rPr>
                <w:rFonts w:ascii="Arial" w:cs="Arial" w:eastAsia="Arial" w:hAnsi="Arial"/>
                <w:sz w:val="17"/>
                <w:szCs w:val="17"/>
                <w:color w:val="auto"/>
              </w:rPr>
              <w:t>$</w:t>
            </w: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0.43</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vMerge w:val="restart"/>
          </w:tcPr>
          <w:p>
            <w:pPr>
              <w:jc w:val="right"/>
              <w:ind w:right="214"/>
              <w:spacing w:after="0"/>
              <w:rPr>
                <w:sz w:val="20"/>
                <w:szCs w:val="20"/>
                <w:color w:val="auto"/>
              </w:rPr>
            </w:pPr>
            <w:r>
              <w:rPr>
                <w:rFonts w:ascii="Arial" w:cs="Arial" w:eastAsia="Arial" w:hAnsi="Arial"/>
                <w:sz w:val="17"/>
                <w:szCs w:val="17"/>
                <w:color w:val="auto"/>
              </w:rPr>
              <w:t>$</w:t>
            </w:r>
          </w:p>
        </w:tc>
        <w:tc>
          <w:tcPr>
            <w:tcW w:w="760" w:type="dxa"/>
            <w:vAlign w:val="bottom"/>
            <w:vMerge w:val="restart"/>
          </w:tcPr>
          <w:p>
            <w:pPr>
              <w:jc w:val="right"/>
              <w:ind w:right="15"/>
              <w:spacing w:after="0"/>
              <w:rPr>
                <w:sz w:val="20"/>
                <w:szCs w:val="20"/>
                <w:color w:val="auto"/>
              </w:rPr>
            </w:pPr>
            <w:r>
              <w:rPr>
                <w:rFonts w:ascii="Arial" w:cs="Arial" w:eastAsia="Arial" w:hAnsi="Arial"/>
                <w:sz w:val="17"/>
                <w:szCs w:val="17"/>
                <w:color w:val="auto"/>
              </w:rPr>
              <w:t>1.11</w:t>
            </w: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440" w:type="dxa"/>
            <w:vAlign w:val="bottom"/>
            <w:gridSpan w:val="2"/>
          </w:tcPr>
          <w:p>
            <w:pPr>
              <w:ind w:left="20"/>
              <w:spacing w:after="0"/>
              <w:rPr>
                <w:sz w:val="20"/>
                <w:szCs w:val="20"/>
                <w:color w:val="auto"/>
              </w:rPr>
            </w:pPr>
            <w:r>
              <w:rPr>
                <w:rFonts w:ascii="Arial" w:cs="Arial" w:eastAsia="Arial" w:hAnsi="Arial"/>
                <w:sz w:val="17"/>
                <w:szCs w:val="17"/>
                <w:color w:val="auto"/>
              </w:rPr>
              <w:t>share:</w:t>
            </w:r>
          </w:p>
        </w:tc>
        <w:tc>
          <w:tcPr>
            <w:tcW w:w="48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360" w:type="dxa"/>
            <w:vAlign w:val="bottom"/>
            <w:tcBorders>
              <w:top w:val="single" w:sz="8" w:color="CCEEFF"/>
            </w:tcBorders>
            <w:shd w:val="clear" w:color="auto" w:fill="CCEEFF"/>
          </w:tcPr>
          <w:p>
            <w:pPr>
              <w:ind w:left="400"/>
              <w:spacing w:after="0" w:line="150" w:lineRule="exact"/>
              <w:rPr>
                <w:sz w:val="20"/>
                <w:szCs w:val="20"/>
                <w:color w:val="auto"/>
              </w:rPr>
            </w:pPr>
            <w:r>
              <w:rPr>
                <w:rFonts w:ascii="Arial" w:cs="Arial" w:eastAsia="Arial" w:hAnsi="Arial"/>
                <w:sz w:val="17"/>
                <w:szCs w:val="17"/>
                <w:color w:val="auto"/>
              </w:rPr>
              <w:t>Diluted earnings per</w:t>
            </w: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0.31</w:t>
            </w:r>
          </w:p>
        </w:tc>
        <w:tc>
          <w:tcPr>
            <w:tcW w:w="1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0.71</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vMerge w:val="restart"/>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0.43</w:t>
            </w:r>
          </w:p>
        </w:tc>
        <w:tc>
          <w:tcPr>
            <w:tcW w:w="1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vMerge w:val="restart"/>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1.08</w:t>
            </w: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440" w:type="dxa"/>
            <w:vAlign w:val="bottom"/>
            <w:gridSpan w:val="2"/>
            <w:shd w:val="clear" w:color="auto" w:fill="CCEEFF"/>
          </w:tcPr>
          <w:p>
            <w:pPr>
              <w:ind w:left="20"/>
              <w:spacing w:after="0" w:line="194" w:lineRule="exact"/>
              <w:rPr>
                <w:sz w:val="20"/>
                <w:szCs w:val="20"/>
                <w:color w:val="auto"/>
              </w:rPr>
            </w:pPr>
            <w:r>
              <w:rPr>
                <w:rFonts w:ascii="Arial" w:cs="Arial" w:eastAsia="Arial" w:hAnsi="Arial"/>
                <w:sz w:val="17"/>
                <w:szCs w:val="17"/>
                <w:color w:val="auto"/>
              </w:rPr>
              <w:t>common share:</w:t>
            </w:r>
          </w:p>
        </w:tc>
        <w:tc>
          <w:tcPr>
            <w:tcW w:w="48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right="100" w:firstLine="387"/>
        <w:spacing w:after="0" w:line="266" w:lineRule="auto"/>
        <w:rPr>
          <w:sz w:val="20"/>
          <w:szCs w:val="20"/>
          <w:color w:val="auto"/>
        </w:rPr>
      </w:pPr>
      <w:r>
        <w:rPr>
          <w:rFonts w:ascii="Arial" w:cs="Arial" w:eastAsia="Arial" w:hAnsi="Arial"/>
          <w:sz w:val="17"/>
          <w:szCs w:val="17"/>
          <w:color w:val="auto"/>
        </w:rPr>
        <w:t>For the three and nine months ended September 30, 2021, no stock options were excluded from the computation of diluted earnings per share. For the three and nine months ended September 30, 2020 there were 765,722 and 848,513 stock options, respectively, excluded from the computation of diluted earnings per share because the inclusion of such stock options would result in an antidilutive effect.</w:t>
      </w:r>
    </w:p>
    <w:p>
      <w:pPr>
        <w:spacing w:after="0" w:line="73" w:lineRule="exact"/>
        <w:rPr>
          <w:sz w:val="20"/>
          <w:szCs w:val="20"/>
          <w:color w:val="auto"/>
        </w:rPr>
      </w:pPr>
    </w:p>
    <w:p>
      <w:pPr>
        <w:jc w:val="both"/>
        <w:ind w:right="100" w:firstLine="387"/>
        <w:spacing w:after="0" w:line="262" w:lineRule="auto"/>
        <w:rPr>
          <w:sz w:val="20"/>
          <w:szCs w:val="20"/>
          <w:color w:val="auto"/>
        </w:rPr>
      </w:pPr>
      <w:r>
        <w:rPr>
          <w:rFonts w:ascii="Arial" w:cs="Arial" w:eastAsia="Arial" w:hAnsi="Arial"/>
          <w:sz w:val="17"/>
          <w:szCs w:val="17"/>
          <w:color w:val="auto"/>
        </w:rPr>
        <w:t>Our performance awards are considered to be contingently issuable shares because their issuance is contingent upon the satisfaction of certain performance and service conditions. At September 30, 2021, we had satisfied certain performance criteria for the first and second predetermined growth targets of our performance awards to be considered outstanding. Therefore, we included these awards in the computation of diluted earnings per share as of the beginning of the reporting period.</w:t>
      </w:r>
    </w:p>
    <w:p>
      <w:pPr>
        <w:spacing w:after="0" w:line="225" w:lineRule="exact"/>
        <w:rPr>
          <w:sz w:val="20"/>
          <w:szCs w:val="20"/>
          <w:color w:val="auto"/>
        </w:rPr>
      </w:pPr>
    </w:p>
    <w:p>
      <w:pPr>
        <w:ind w:left="620" w:hanging="617"/>
        <w:spacing w:after="0"/>
        <w:tabs>
          <w:tab w:leader="none" w:pos="620"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color w:val="auto"/>
        </w:rPr>
        <w:t>SEGMENT REPORTING</w:t>
      </w:r>
    </w:p>
    <w:p>
      <w:pPr>
        <w:spacing w:after="0" w:line="12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Revenue, disaggregated by major source for each of our reportable segments was as follows (in thousands):</w:t>
      </w:r>
    </w:p>
    <w:p>
      <w:pPr>
        <w:spacing w:after="0" w:line="126" w:lineRule="exact"/>
        <w:rPr>
          <w:sz w:val="20"/>
          <w:szCs w:val="20"/>
          <w:color w:val="auto"/>
        </w:rPr>
      </w:pPr>
    </w:p>
    <w:tbl>
      <w:tblPr>
        <w:tblLayout w:type="fixed"/>
        <w:tblInd w:w="400" w:type="dxa"/>
        <w:tblCellMar>
          <w:top w:w="0" w:type="dxa"/>
          <w:left w:w="0" w:type="dxa"/>
          <w:bottom w:w="0" w:type="dxa"/>
          <w:right w:w="0" w:type="dxa"/>
        </w:tblCellMar>
      </w:tblPr>
      <w:tr>
        <w:trPr>
          <w:trHeight w:val="202"/>
        </w:trPr>
        <w:tc>
          <w:tcPr>
            <w:tcW w:w="5080" w:type="dxa"/>
            <w:vAlign w:val="bottom"/>
            <w:gridSpan w:val="2"/>
          </w:tcPr>
          <w:p>
            <w:pPr>
              <w:ind w:left="400"/>
              <w:spacing w:after="0"/>
              <w:rPr>
                <w:sz w:val="20"/>
                <w:szCs w:val="20"/>
                <w:color w:val="auto"/>
              </w:rPr>
            </w:pPr>
            <w:r>
              <w:rPr>
                <w:rFonts w:ascii="Arial" w:cs="Arial" w:eastAsia="Arial" w:hAnsi="Arial"/>
                <w:sz w:val="15"/>
                <w:szCs w:val="15"/>
                <w:b w:val="1"/>
                <w:bCs w:val="1"/>
                <w:color w:val="auto"/>
              </w:rPr>
              <w:t>Three months ended September 30, 2021</w:t>
            </w:r>
          </w:p>
        </w:tc>
        <w:tc>
          <w:tcPr>
            <w:tcW w:w="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89"/>
        </w:trPr>
        <w:tc>
          <w:tcPr>
            <w:tcW w:w="3220" w:type="dxa"/>
            <w:vAlign w:val="bottom"/>
            <w:tcBorders>
              <w:top w:val="single" w:sz="8" w:color="auto"/>
            </w:tcBorders>
          </w:tcPr>
          <w:p>
            <w:pPr>
              <w:spacing w:after="0"/>
              <w:rPr>
                <w:sz w:val="16"/>
                <w:szCs w:val="16"/>
                <w:color w:val="auto"/>
              </w:rPr>
            </w:pPr>
          </w:p>
        </w:tc>
        <w:tc>
          <w:tcPr>
            <w:tcW w:w="1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40" w:type="dxa"/>
            <w:vAlign w:val="bottom"/>
            <w:gridSpan w:val="2"/>
          </w:tcPr>
          <w:p>
            <w:pPr>
              <w:ind w:left="400"/>
              <w:spacing w:after="0"/>
              <w:rPr>
                <w:sz w:val="20"/>
                <w:szCs w:val="20"/>
                <w:color w:val="auto"/>
              </w:rPr>
            </w:pPr>
            <w:r>
              <w:rPr>
                <w:rFonts w:ascii="Arial" w:cs="Arial" w:eastAsia="Arial" w:hAnsi="Arial"/>
                <w:sz w:val="15"/>
                <w:szCs w:val="15"/>
                <w:b w:val="1"/>
                <w:bCs w:val="1"/>
                <w:color w:val="auto"/>
              </w:rPr>
              <w:t>Funeral</w:t>
            </w:r>
          </w:p>
        </w:tc>
        <w:tc>
          <w:tcPr>
            <w:tcW w:w="840" w:type="dxa"/>
            <w:vAlign w:val="bottom"/>
          </w:tcPr>
          <w:p>
            <w:pPr>
              <w:spacing w:after="0"/>
              <w:rPr>
                <w:sz w:val="16"/>
                <w:szCs w:val="16"/>
                <w:color w:val="auto"/>
              </w:rPr>
            </w:pPr>
          </w:p>
        </w:tc>
        <w:tc>
          <w:tcPr>
            <w:tcW w:w="1300" w:type="dxa"/>
            <w:vAlign w:val="bottom"/>
            <w:gridSpan w:val="2"/>
          </w:tcPr>
          <w:p>
            <w:pPr>
              <w:ind w:left="340"/>
              <w:spacing w:after="0"/>
              <w:rPr>
                <w:sz w:val="20"/>
                <w:szCs w:val="20"/>
                <w:color w:val="auto"/>
              </w:rPr>
            </w:pPr>
            <w:r>
              <w:rPr>
                <w:rFonts w:ascii="Arial" w:cs="Arial" w:eastAsia="Arial" w:hAnsi="Arial"/>
                <w:sz w:val="15"/>
                <w:szCs w:val="15"/>
                <w:b w:val="1"/>
                <w:bCs w:val="1"/>
                <w:color w:val="auto"/>
              </w:rPr>
              <w:t>Cemetery</w:t>
            </w:r>
          </w:p>
        </w:tc>
        <w:tc>
          <w:tcPr>
            <w:tcW w:w="9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T</w:t>
            </w:r>
          </w:p>
        </w:tc>
      </w:tr>
      <w:tr>
        <w:trPr>
          <w:trHeight w:val="215"/>
        </w:trPr>
        <w:tc>
          <w:tcPr>
            <w:tcW w:w="5080" w:type="dxa"/>
            <w:vAlign w:val="bottom"/>
            <w:tcBorders>
              <w:top w:val="single" w:sz="8" w:color="CCEEFF"/>
            </w:tcBorders>
            <w:gridSpan w:val="2"/>
            <w:shd w:val="clear" w:color="auto" w:fill="CCEEFF"/>
          </w:tcPr>
          <w:p>
            <w:pPr>
              <w:ind w:left="400"/>
              <w:spacing w:after="0"/>
              <w:rPr>
                <w:sz w:val="20"/>
                <w:szCs w:val="20"/>
                <w:color w:val="auto"/>
              </w:rPr>
            </w:pPr>
            <w:r>
              <w:rPr>
                <w:rFonts w:ascii="Arial" w:cs="Arial" w:eastAsia="Arial" w:hAnsi="Arial"/>
                <w:sz w:val="17"/>
                <w:szCs w:val="17"/>
                <w:color w:val="auto"/>
              </w:rPr>
              <w:t>Services</w:t>
            </w:r>
          </w:p>
        </w:tc>
        <w:tc>
          <w:tcPr>
            <w:tcW w:w="880" w:type="dxa"/>
            <w:vAlign w:val="bottom"/>
            <w:tcBorders>
              <w:top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41,987</w:t>
            </w: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4,223</w:t>
            </w: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46,2</w:t>
            </w:r>
          </w:p>
        </w:tc>
      </w:tr>
      <w:tr>
        <w:trPr>
          <w:trHeight w:val="219"/>
        </w:trPr>
        <w:tc>
          <w:tcPr>
            <w:tcW w:w="5080" w:type="dxa"/>
            <w:vAlign w:val="bottom"/>
            <w:gridSpan w:val="2"/>
          </w:tcPr>
          <w:p>
            <w:pPr>
              <w:ind w:left="400"/>
              <w:spacing w:after="0"/>
              <w:rPr>
                <w:sz w:val="20"/>
                <w:szCs w:val="20"/>
                <w:color w:val="auto"/>
              </w:rPr>
            </w:pPr>
            <w:r>
              <w:rPr>
                <w:rFonts w:ascii="Arial" w:cs="Arial" w:eastAsia="Arial" w:hAnsi="Arial"/>
                <w:sz w:val="17"/>
                <w:szCs w:val="17"/>
                <w:color w:val="auto"/>
              </w:rPr>
              <w:t>Merchandise</w:t>
            </w:r>
          </w:p>
        </w:tc>
        <w:tc>
          <w:tcPr>
            <w:tcW w:w="8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23,532</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3,305</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26,8</w:t>
            </w:r>
          </w:p>
        </w:tc>
      </w:tr>
      <w:tr>
        <w:trPr>
          <w:trHeight w:val="220"/>
        </w:trPr>
        <w:tc>
          <w:tcPr>
            <w:tcW w:w="508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Cemetery property</w:t>
            </w:r>
          </w:p>
        </w:tc>
        <w:tc>
          <w:tcPr>
            <w:tcW w:w="8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15,206</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w:t>
            </w:r>
          </w:p>
        </w:tc>
      </w:tr>
      <w:tr>
        <w:trPr>
          <w:trHeight w:val="219"/>
        </w:trPr>
        <w:tc>
          <w:tcPr>
            <w:tcW w:w="5080" w:type="dxa"/>
            <w:vAlign w:val="bottom"/>
            <w:tcBorders>
              <w:bottom w:val="single" w:sz="8" w:color="CCEEFF"/>
            </w:tcBorders>
            <w:gridSpan w:val="2"/>
          </w:tcPr>
          <w:p>
            <w:pPr>
              <w:ind w:left="400"/>
              <w:spacing w:after="0"/>
              <w:rPr>
                <w:sz w:val="20"/>
                <w:szCs w:val="20"/>
                <w:color w:val="auto"/>
              </w:rPr>
            </w:pPr>
            <w:r>
              <w:rPr>
                <w:rFonts w:ascii="Arial" w:cs="Arial" w:eastAsia="Arial" w:hAnsi="Arial"/>
                <w:sz w:val="17"/>
                <w:szCs w:val="17"/>
                <w:color w:val="auto"/>
              </w:rPr>
              <w:t>Other revenue</w:t>
            </w:r>
          </w:p>
        </w:tc>
        <w:tc>
          <w:tcPr>
            <w:tcW w:w="8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3,378</w:t>
            </w:r>
          </w:p>
        </w:tc>
        <w:tc>
          <w:tcPr>
            <w:tcW w:w="3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3,410</w:t>
            </w:r>
          </w:p>
        </w:tc>
        <w:tc>
          <w:tcPr>
            <w:tcW w:w="3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w:t>
            </w:r>
          </w:p>
        </w:tc>
      </w:tr>
      <w:tr>
        <w:trPr>
          <w:trHeight w:val="238"/>
        </w:trPr>
        <w:tc>
          <w:tcPr>
            <w:tcW w:w="50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7"/>
                <w:szCs w:val="17"/>
                <w:color w:val="auto"/>
              </w:rPr>
              <w:t>Total</w:t>
            </w:r>
          </w:p>
        </w:tc>
        <w:tc>
          <w:tcPr>
            <w:tcW w:w="88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68,897</w:t>
            </w: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26,144</w:t>
            </w:r>
          </w:p>
        </w:tc>
        <w:tc>
          <w:tcPr>
            <w:tcW w:w="3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95,0</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115" w:right="239" w:bottom="1440" w:gutter="0" w:footer="0" w:header="0"/>
        </w:sectPr>
      </w:pPr>
    </w:p>
    <w:bookmarkStart w:id="35" w:name="page36"/>
    <w:bookmarkEnd w:id="35"/>
    <w:tbl>
      <w:tblPr>
        <w:tblLayout w:type="fixed"/>
        <w:tblInd w:w="20" w:type="dxa"/>
        <w:tblCellMar>
          <w:top w:w="0" w:type="dxa"/>
          <w:left w:w="0" w:type="dxa"/>
          <w:bottom w:w="0" w:type="dxa"/>
          <w:right w:w="0" w:type="dxa"/>
        </w:tblCellMar>
      </w:tblPr>
      <w:tr>
        <w:trPr>
          <w:trHeight w:val="202"/>
        </w:trPr>
        <w:tc>
          <w:tcPr>
            <w:tcW w:w="5940" w:type="dxa"/>
            <w:vAlign w:val="bottom"/>
            <w:gridSpan w:val="2"/>
          </w:tcPr>
          <w:p>
            <w:pPr>
              <w:ind w:left="20"/>
              <w:spacing w:after="0"/>
              <w:rPr>
                <w:sz w:val="20"/>
                <w:szCs w:val="20"/>
                <w:color w:val="auto"/>
              </w:rPr>
            </w:pPr>
            <w:r>
              <w:rPr>
                <w:rFonts w:ascii="Arial" w:cs="Arial" w:eastAsia="Arial" w:hAnsi="Arial"/>
                <w:sz w:val="15"/>
                <w:szCs w:val="15"/>
                <w:b w:val="1"/>
                <w:bCs w:val="1"/>
                <w:color w:val="auto"/>
              </w:rPr>
              <w:t>Three months ended September 30, 2020</w:t>
            </w: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89"/>
        </w:trPr>
        <w:tc>
          <w:tcPr>
            <w:tcW w:w="3680" w:type="dxa"/>
            <w:vAlign w:val="bottom"/>
            <w:tcBorders>
              <w:top w:val="single" w:sz="8" w:color="auto"/>
            </w:tcBorders>
          </w:tcPr>
          <w:p>
            <w:pPr>
              <w:spacing w:after="0"/>
              <w:rPr>
                <w:sz w:val="16"/>
                <w:szCs w:val="16"/>
                <w:color w:val="auto"/>
              </w:rPr>
            </w:pPr>
          </w:p>
        </w:tc>
        <w:tc>
          <w:tcPr>
            <w:tcW w:w="2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gridSpan w:val="2"/>
          </w:tcPr>
          <w:p>
            <w:pPr>
              <w:ind w:left="440"/>
              <w:spacing w:after="0"/>
              <w:rPr>
                <w:sz w:val="20"/>
                <w:szCs w:val="20"/>
                <w:color w:val="auto"/>
              </w:rPr>
            </w:pPr>
            <w:r>
              <w:rPr>
                <w:rFonts w:ascii="Arial" w:cs="Arial" w:eastAsia="Arial" w:hAnsi="Arial"/>
                <w:sz w:val="15"/>
                <w:szCs w:val="15"/>
                <w:b w:val="1"/>
                <w:bCs w:val="1"/>
                <w:color w:val="auto"/>
              </w:rPr>
              <w:t>Funeral</w:t>
            </w:r>
          </w:p>
        </w:tc>
        <w:tc>
          <w:tcPr>
            <w:tcW w:w="480" w:type="dxa"/>
            <w:vAlign w:val="bottom"/>
          </w:tcPr>
          <w:p>
            <w:pPr>
              <w:spacing w:after="0"/>
              <w:rPr>
                <w:sz w:val="16"/>
                <w:szCs w:val="16"/>
                <w:color w:val="auto"/>
              </w:rPr>
            </w:pPr>
          </w:p>
        </w:tc>
        <w:tc>
          <w:tcPr>
            <w:tcW w:w="1400" w:type="dxa"/>
            <w:vAlign w:val="bottom"/>
            <w:gridSpan w:val="2"/>
          </w:tcPr>
          <w:p>
            <w:pPr>
              <w:ind w:left="380"/>
              <w:spacing w:after="0"/>
              <w:rPr>
                <w:sz w:val="20"/>
                <w:szCs w:val="20"/>
                <w:color w:val="auto"/>
              </w:rPr>
            </w:pPr>
            <w:r>
              <w:rPr>
                <w:rFonts w:ascii="Arial" w:cs="Arial" w:eastAsia="Arial" w:hAnsi="Arial"/>
                <w:sz w:val="15"/>
                <w:szCs w:val="15"/>
                <w:b w:val="1"/>
                <w:bCs w:val="1"/>
                <w:color w:val="auto"/>
              </w:rPr>
              <w:t>Cemetery</w:t>
            </w:r>
          </w:p>
        </w:tc>
        <w:tc>
          <w:tcPr>
            <w:tcW w:w="5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Total</w:t>
            </w:r>
          </w:p>
        </w:tc>
      </w:tr>
      <w:tr>
        <w:trPr>
          <w:trHeight w:val="215"/>
        </w:trPr>
        <w:tc>
          <w:tcPr>
            <w:tcW w:w="59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Services</w:t>
            </w:r>
          </w:p>
        </w:tc>
        <w:tc>
          <w:tcPr>
            <w:tcW w:w="540" w:type="dxa"/>
            <w:vAlign w:val="bottom"/>
            <w:tcBorders>
              <w:top w:val="single" w:sz="8" w:color="auto"/>
            </w:tcBorders>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36,987</w:t>
            </w: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4,231</w:t>
            </w:r>
          </w:p>
        </w:tc>
        <w:tc>
          <w:tcPr>
            <w:tcW w:w="3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41,218</w:t>
            </w:r>
          </w:p>
        </w:tc>
      </w:tr>
      <w:tr>
        <w:trPr>
          <w:trHeight w:val="219"/>
        </w:trPr>
        <w:tc>
          <w:tcPr>
            <w:tcW w:w="5940" w:type="dxa"/>
            <w:vAlign w:val="bottom"/>
            <w:gridSpan w:val="2"/>
          </w:tcPr>
          <w:p>
            <w:pPr>
              <w:ind w:left="20"/>
              <w:spacing w:after="0"/>
              <w:rPr>
                <w:sz w:val="20"/>
                <w:szCs w:val="20"/>
                <w:color w:val="auto"/>
              </w:rPr>
            </w:pPr>
            <w:r>
              <w:rPr>
                <w:rFonts w:ascii="Arial" w:cs="Arial" w:eastAsia="Arial" w:hAnsi="Arial"/>
                <w:sz w:val="17"/>
                <w:szCs w:val="17"/>
                <w:color w:val="auto"/>
              </w:rPr>
              <w:t>Merchandise</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20,846</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3,019</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23,865</w:t>
            </w:r>
          </w:p>
        </w:tc>
      </w:tr>
      <w:tr>
        <w:trPr>
          <w:trHeight w:val="220"/>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Cemetery property</w:t>
            </w:r>
          </w:p>
        </w:tc>
        <w:tc>
          <w:tcPr>
            <w:tcW w:w="5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12,433</w:t>
            </w: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12,433</w:t>
            </w:r>
          </w:p>
        </w:tc>
      </w:tr>
      <w:tr>
        <w:trPr>
          <w:trHeight w:val="219"/>
        </w:trPr>
        <w:tc>
          <w:tcPr>
            <w:tcW w:w="59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revenue</w:t>
            </w: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3,601</w:t>
            </w:r>
          </w:p>
        </w:tc>
        <w:tc>
          <w:tcPr>
            <w:tcW w:w="3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3,276</w:t>
            </w:r>
          </w:p>
        </w:tc>
        <w:tc>
          <w:tcPr>
            <w:tcW w:w="3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6,877</w:t>
            </w:r>
          </w:p>
        </w:tc>
      </w:tr>
      <w:tr>
        <w:trPr>
          <w:trHeight w:val="238"/>
        </w:trPr>
        <w:tc>
          <w:tcPr>
            <w:tcW w:w="5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54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61,434</w:t>
            </w:r>
          </w:p>
        </w:tc>
        <w:tc>
          <w:tcPr>
            <w:tcW w:w="3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22,959</w:t>
            </w:r>
          </w:p>
        </w:tc>
        <w:tc>
          <w:tcPr>
            <w:tcW w:w="3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84,393</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47" w:lineRule="exact"/>
        <w:rPr>
          <w:sz w:val="20"/>
          <w:szCs w:val="20"/>
          <w:color w:val="auto"/>
        </w:rPr>
      </w:pPr>
    </w:p>
    <w:tbl>
      <w:tblPr>
        <w:tblLayout w:type="fixed"/>
        <w:tblInd w:w="400" w:type="dxa"/>
        <w:tblCellMar>
          <w:top w:w="0" w:type="dxa"/>
          <w:left w:w="0" w:type="dxa"/>
          <w:bottom w:w="0" w:type="dxa"/>
          <w:right w:w="0" w:type="dxa"/>
        </w:tblCellMar>
      </w:tblPr>
      <w:tr>
        <w:trPr>
          <w:trHeight w:val="202"/>
        </w:trPr>
        <w:tc>
          <w:tcPr>
            <w:tcW w:w="5040" w:type="dxa"/>
            <w:vAlign w:val="bottom"/>
            <w:gridSpan w:val="2"/>
          </w:tcPr>
          <w:p>
            <w:pPr>
              <w:ind w:left="400"/>
              <w:spacing w:after="0"/>
              <w:rPr>
                <w:sz w:val="20"/>
                <w:szCs w:val="20"/>
                <w:color w:val="auto"/>
              </w:rPr>
            </w:pPr>
            <w:r>
              <w:rPr>
                <w:rFonts w:ascii="Arial" w:cs="Arial" w:eastAsia="Arial" w:hAnsi="Arial"/>
                <w:sz w:val="15"/>
                <w:szCs w:val="15"/>
                <w:b w:val="1"/>
                <w:bCs w:val="1"/>
                <w:color w:val="auto"/>
              </w:rPr>
              <w:t>Nine months ended September 30, 2021</w:t>
            </w: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20" w:type="dxa"/>
            <w:vAlign w:val="bottom"/>
            <w:tcBorders>
              <w:top w:val="single" w:sz="8" w:color="auto"/>
            </w:tcBorders>
          </w:tcPr>
          <w:p>
            <w:pPr>
              <w:spacing w:after="0"/>
              <w:rPr>
                <w:sz w:val="16"/>
                <w:szCs w:val="16"/>
                <w:color w:val="auto"/>
              </w:rPr>
            </w:pPr>
          </w:p>
        </w:tc>
        <w:tc>
          <w:tcPr>
            <w:tcW w:w="18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gridSpan w:val="2"/>
          </w:tcPr>
          <w:p>
            <w:pPr>
              <w:ind w:left="460"/>
              <w:spacing w:after="0"/>
              <w:rPr>
                <w:sz w:val="20"/>
                <w:szCs w:val="20"/>
                <w:color w:val="auto"/>
              </w:rPr>
            </w:pPr>
            <w:r>
              <w:rPr>
                <w:rFonts w:ascii="Arial" w:cs="Arial" w:eastAsia="Arial" w:hAnsi="Arial"/>
                <w:sz w:val="15"/>
                <w:szCs w:val="15"/>
                <w:b w:val="1"/>
                <w:bCs w:val="1"/>
                <w:color w:val="auto"/>
              </w:rPr>
              <w:t>Funeral</w:t>
            </w:r>
          </w:p>
        </w:tc>
        <w:tc>
          <w:tcPr>
            <w:tcW w:w="820" w:type="dxa"/>
            <w:vAlign w:val="bottom"/>
          </w:tcPr>
          <w:p>
            <w:pPr>
              <w:spacing w:after="0"/>
              <w:rPr>
                <w:sz w:val="16"/>
                <w:szCs w:val="16"/>
                <w:color w:val="auto"/>
              </w:rPr>
            </w:pPr>
          </w:p>
        </w:tc>
        <w:tc>
          <w:tcPr>
            <w:tcW w:w="1320" w:type="dxa"/>
            <w:vAlign w:val="bottom"/>
            <w:gridSpan w:val="2"/>
          </w:tcPr>
          <w:p>
            <w:pPr>
              <w:ind w:left="340"/>
              <w:spacing w:after="0"/>
              <w:rPr>
                <w:sz w:val="20"/>
                <w:szCs w:val="20"/>
                <w:color w:val="auto"/>
              </w:rPr>
            </w:pPr>
            <w:r>
              <w:rPr>
                <w:rFonts w:ascii="Arial" w:cs="Arial" w:eastAsia="Arial" w:hAnsi="Arial"/>
                <w:sz w:val="15"/>
                <w:szCs w:val="15"/>
                <w:b w:val="1"/>
                <w:bCs w:val="1"/>
                <w:color w:val="auto"/>
              </w:rPr>
              <w:t>Cemetery</w:t>
            </w:r>
          </w:p>
        </w:tc>
        <w:tc>
          <w:tcPr>
            <w:tcW w:w="8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T</w:t>
            </w:r>
          </w:p>
        </w:tc>
        <w:tc>
          <w:tcPr>
            <w:tcW w:w="0" w:type="dxa"/>
            <w:vAlign w:val="bottom"/>
          </w:tcPr>
          <w:p>
            <w:pPr>
              <w:spacing w:after="0"/>
              <w:rPr>
                <w:sz w:val="1"/>
                <w:szCs w:val="1"/>
                <w:color w:val="auto"/>
              </w:rPr>
            </w:pPr>
          </w:p>
        </w:tc>
      </w:tr>
      <w:tr>
        <w:trPr>
          <w:trHeight w:val="215"/>
        </w:trPr>
        <w:tc>
          <w:tcPr>
            <w:tcW w:w="5040" w:type="dxa"/>
            <w:vAlign w:val="bottom"/>
            <w:tcBorders>
              <w:top w:val="single" w:sz="8" w:color="CCEEFF"/>
            </w:tcBorders>
            <w:gridSpan w:val="2"/>
            <w:shd w:val="clear" w:color="auto" w:fill="CCEEFF"/>
          </w:tcPr>
          <w:p>
            <w:pPr>
              <w:ind w:left="400"/>
              <w:spacing w:after="0"/>
              <w:rPr>
                <w:sz w:val="20"/>
                <w:szCs w:val="20"/>
                <w:color w:val="auto"/>
              </w:rPr>
            </w:pPr>
            <w:r>
              <w:rPr>
                <w:rFonts w:ascii="Arial" w:cs="Arial" w:eastAsia="Arial" w:hAnsi="Arial"/>
                <w:sz w:val="17"/>
                <w:szCs w:val="17"/>
                <w:color w:val="auto"/>
              </w:rPr>
              <w:t>Services</w:t>
            </w:r>
          </w:p>
        </w:tc>
        <w:tc>
          <w:tcPr>
            <w:tcW w:w="860" w:type="dxa"/>
            <w:vAlign w:val="bottom"/>
            <w:tcBorders>
              <w:top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121,734</w:t>
            </w:r>
          </w:p>
        </w:tc>
        <w:tc>
          <w:tcPr>
            <w:tcW w:w="3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12,352</w:t>
            </w:r>
          </w:p>
        </w:tc>
        <w:tc>
          <w:tcPr>
            <w:tcW w:w="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134,0</w:t>
            </w:r>
          </w:p>
        </w:tc>
        <w:tc>
          <w:tcPr>
            <w:tcW w:w="0" w:type="dxa"/>
            <w:vAlign w:val="bottom"/>
          </w:tcPr>
          <w:p>
            <w:pPr>
              <w:spacing w:after="0"/>
              <w:rPr>
                <w:sz w:val="1"/>
                <w:szCs w:val="1"/>
                <w:color w:val="auto"/>
              </w:rPr>
            </w:pPr>
          </w:p>
        </w:tc>
      </w:tr>
      <w:tr>
        <w:trPr>
          <w:trHeight w:val="219"/>
        </w:trPr>
        <w:tc>
          <w:tcPr>
            <w:tcW w:w="5040" w:type="dxa"/>
            <w:vAlign w:val="bottom"/>
            <w:gridSpan w:val="2"/>
          </w:tcPr>
          <w:p>
            <w:pPr>
              <w:ind w:left="400"/>
              <w:spacing w:after="0"/>
              <w:rPr>
                <w:sz w:val="20"/>
                <w:szCs w:val="20"/>
                <w:color w:val="auto"/>
              </w:rPr>
            </w:pPr>
            <w:r>
              <w:rPr>
                <w:rFonts w:ascii="Arial" w:cs="Arial" w:eastAsia="Arial" w:hAnsi="Arial"/>
                <w:sz w:val="17"/>
                <w:szCs w:val="17"/>
                <w:color w:val="auto"/>
              </w:rPr>
              <w:t>Merchandise</w:t>
            </w:r>
          </w:p>
        </w:tc>
        <w:tc>
          <w:tcPr>
            <w:tcW w:w="8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68,363</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10,387</w:t>
            </w: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78,7</w:t>
            </w:r>
          </w:p>
        </w:tc>
        <w:tc>
          <w:tcPr>
            <w:tcW w:w="0" w:type="dxa"/>
            <w:vAlign w:val="bottom"/>
          </w:tcPr>
          <w:p>
            <w:pPr>
              <w:spacing w:after="0"/>
              <w:rPr>
                <w:sz w:val="1"/>
                <w:szCs w:val="1"/>
                <w:color w:val="auto"/>
              </w:rPr>
            </w:pPr>
          </w:p>
        </w:tc>
      </w:tr>
      <w:tr>
        <w:trPr>
          <w:trHeight w:val="220"/>
        </w:trPr>
        <w:tc>
          <w:tcPr>
            <w:tcW w:w="504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Cemetery property</w:t>
            </w:r>
          </w:p>
        </w:tc>
        <w:tc>
          <w:tcPr>
            <w:tcW w:w="8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46,795</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w:t>
            </w:r>
          </w:p>
        </w:tc>
        <w:tc>
          <w:tcPr>
            <w:tcW w:w="0" w:type="dxa"/>
            <w:vAlign w:val="bottom"/>
          </w:tcPr>
          <w:p>
            <w:pPr>
              <w:spacing w:after="0"/>
              <w:rPr>
                <w:sz w:val="1"/>
                <w:szCs w:val="1"/>
                <w:color w:val="auto"/>
              </w:rPr>
            </w:pPr>
          </w:p>
        </w:tc>
      </w:tr>
      <w:tr>
        <w:trPr>
          <w:trHeight w:val="219"/>
        </w:trPr>
        <w:tc>
          <w:tcPr>
            <w:tcW w:w="5040" w:type="dxa"/>
            <w:vAlign w:val="bottom"/>
            <w:tcBorders>
              <w:bottom w:val="single" w:sz="8" w:color="CCEEFF"/>
            </w:tcBorders>
            <w:gridSpan w:val="2"/>
          </w:tcPr>
          <w:p>
            <w:pPr>
              <w:ind w:left="400"/>
              <w:spacing w:after="0"/>
              <w:rPr>
                <w:sz w:val="20"/>
                <w:szCs w:val="20"/>
                <w:color w:val="auto"/>
              </w:rPr>
            </w:pPr>
            <w:r>
              <w:rPr>
                <w:rFonts w:ascii="Arial" w:cs="Arial" w:eastAsia="Arial" w:hAnsi="Arial"/>
                <w:sz w:val="17"/>
                <w:szCs w:val="17"/>
                <w:color w:val="auto"/>
              </w:rPr>
              <w:t>Other revenue</w:t>
            </w:r>
          </w:p>
        </w:tc>
        <w:tc>
          <w:tcPr>
            <w:tcW w:w="8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10,406</w:t>
            </w:r>
          </w:p>
        </w:tc>
        <w:tc>
          <w:tcPr>
            <w:tcW w:w="3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9,918</w:t>
            </w:r>
          </w:p>
        </w:tc>
        <w:tc>
          <w:tcPr>
            <w:tcW w:w="3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w:t>
            </w:r>
          </w:p>
        </w:tc>
        <w:tc>
          <w:tcPr>
            <w:tcW w:w="0" w:type="dxa"/>
            <w:vAlign w:val="bottom"/>
          </w:tcPr>
          <w:p>
            <w:pPr>
              <w:spacing w:after="0"/>
              <w:rPr>
                <w:sz w:val="1"/>
                <w:szCs w:val="1"/>
                <w:color w:val="auto"/>
              </w:rPr>
            </w:pPr>
          </w:p>
        </w:tc>
      </w:tr>
      <w:tr>
        <w:trPr>
          <w:trHeight w:val="238"/>
        </w:trPr>
        <w:tc>
          <w:tcPr>
            <w:tcW w:w="50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7"/>
                <w:szCs w:val="17"/>
                <w:color w:val="auto"/>
              </w:rPr>
              <w:t>Total</w:t>
            </w:r>
          </w:p>
        </w:tc>
        <w:tc>
          <w:tcPr>
            <w:tcW w:w="86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200,503</w:t>
            </w: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79,452</w:t>
            </w: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279,9</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gridSpan w:val="2"/>
            <w:vMerge w:val="restart"/>
          </w:tcPr>
          <w:p>
            <w:pPr>
              <w:ind w:left="400"/>
              <w:spacing w:after="0"/>
              <w:rPr>
                <w:sz w:val="20"/>
                <w:szCs w:val="20"/>
                <w:color w:val="auto"/>
              </w:rPr>
            </w:pPr>
            <w:r>
              <w:rPr>
                <w:rFonts w:ascii="Arial" w:cs="Arial" w:eastAsia="Arial" w:hAnsi="Arial"/>
                <w:sz w:val="15"/>
                <w:szCs w:val="15"/>
                <w:b w:val="1"/>
                <w:bCs w:val="1"/>
                <w:color w:val="auto"/>
              </w:rPr>
              <w:t>Nine months ended September 30, 2020</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504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220" w:type="dxa"/>
            <w:vAlign w:val="bottom"/>
            <w:tcBorders>
              <w:top w:val="single" w:sz="8" w:color="auto"/>
            </w:tcBorders>
          </w:tcPr>
          <w:p>
            <w:pPr>
              <w:spacing w:after="0"/>
              <w:rPr>
                <w:sz w:val="16"/>
                <w:szCs w:val="16"/>
                <w:color w:val="auto"/>
              </w:rPr>
            </w:pPr>
          </w:p>
        </w:tc>
        <w:tc>
          <w:tcPr>
            <w:tcW w:w="18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gridSpan w:val="2"/>
          </w:tcPr>
          <w:p>
            <w:pPr>
              <w:ind w:left="460"/>
              <w:spacing w:after="0"/>
              <w:rPr>
                <w:sz w:val="20"/>
                <w:szCs w:val="20"/>
                <w:color w:val="auto"/>
              </w:rPr>
            </w:pPr>
            <w:r>
              <w:rPr>
                <w:rFonts w:ascii="Arial" w:cs="Arial" w:eastAsia="Arial" w:hAnsi="Arial"/>
                <w:sz w:val="15"/>
                <w:szCs w:val="15"/>
                <w:b w:val="1"/>
                <w:bCs w:val="1"/>
                <w:color w:val="auto"/>
              </w:rPr>
              <w:t>Funeral</w:t>
            </w:r>
          </w:p>
        </w:tc>
        <w:tc>
          <w:tcPr>
            <w:tcW w:w="820" w:type="dxa"/>
            <w:vAlign w:val="bottom"/>
          </w:tcPr>
          <w:p>
            <w:pPr>
              <w:spacing w:after="0"/>
              <w:rPr>
                <w:sz w:val="16"/>
                <w:szCs w:val="16"/>
                <w:color w:val="auto"/>
              </w:rPr>
            </w:pPr>
          </w:p>
        </w:tc>
        <w:tc>
          <w:tcPr>
            <w:tcW w:w="1320" w:type="dxa"/>
            <w:vAlign w:val="bottom"/>
            <w:gridSpan w:val="2"/>
          </w:tcPr>
          <w:p>
            <w:pPr>
              <w:ind w:left="340"/>
              <w:spacing w:after="0"/>
              <w:rPr>
                <w:sz w:val="20"/>
                <w:szCs w:val="20"/>
                <w:color w:val="auto"/>
              </w:rPr>
            </w:pPr>
            <w:r>
              <w:rPr>
                <w:rFonts w:ascii="Arial" w:cs="Arial" w:eastAsia="Arial" w:hAnsi="Arial"/>
                <w:sz w:val="15"/>
                <w:szCs w:val="15"/>
                <w:b w:val="1"/>
                <w:bCs w:val="1"/>
                <w:color w:val="auto"/>
              </w:rPr>
              <w:t>Cemetery</w:t>
            </w:r>
          </w:p>
        </w:tc>
        <w:tc>
          <w:tcPr>
            <w:tcW w:w="8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T</w:t>
            </w:r>
          </w:p>
        </w:tc>
        <w:tc>
          <w:tcPr>
            <w:tcW w:w="0" w:type="dxa"/>
            <w:vAlign w:val="bottom"/>
          </w:tcPr>
          <w:p>
            <w:pPr>
              <w:spacing w:after="0"/>
              <w:rPr>
                <w:sz w:val="1"/>
                <w:szCs w:val="1"/>
                <w:color w:val="auto"/>
              </w:rPr>
            </w:pPr>
          </w:p>
        </w:tc>
      </w:tr>
      <w:tr>
        <w:trPr>
          <w:trHeight w:val="215"/>
        </w:trPr>
        <w:tc>
          <w:tcPr>
            <w:tcW w:w="5040" w:type="dxa"/>
            <w:vAlign w:val="bottom"/>
            <w:tcBorders>
              <w:top w:val="single" w:sz="8" w:color="CCEEFF"/>
            </w:tcBorders>
            <w:gridSpan w:val="2"/>
            <w:shd w:val="clear" w:color="auto" w:fill="CCEEFF"/>
          </w:tcPr>
          <w:p>
            <w:pPr>
              <w:ind w:left="400"/>
              <w:spacing w:after="0"/>
              <w:rPr>
                <w:sz w:val="20"/>
                <w:szCs w:val="20"/>
                <w:color w:val="auto"/>
              </w:rPr>
            </w:pPr>
            <w:r>
              <w:rPr>
                <w:rFonts w:ascii="Arial" w:cs="Arial" w:eastAsia="Arial" w:hAnsi="Arial"/>
                <w:sz w:val="17"/>
                <w:szCs w:val="17"/>
                <w:color w:val="auto"/>
              </w:rPr>
              <w:t>Services</w:t>
            </w:r>
          </w:p>
        </w:tc>
        <w:tc>
          <w:tcPr>
            <w:tcW w:w="860" w:type="dxa"/>
            <w:vAlign w:val="bottom"/>
            <w:tcBorders>
              <w:top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110,199</w:t>
            </w:r>
          </w:p>
        </w:tc>
        <w:tc>
          <w:tcPr>
            <w:tcW w:w="3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10,631</w:t>
            </w:r>
          </w:p>
        </w:tc>
        <w:tc>
          <w:tcPr>
            <w:tcW w:w="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120,8</w:t>
            </w:r>
          </w:p>
        </w:tc>
        <w:tc>
          <w:tcPr>
            <w:tcW w:w="0" w:type="dxa"/>
            <w:vAlign w:val="bottom"/>
          </w:tcPr>
          <w:p>
            <w:pPr>
              <w:spacing w:after="0"/>
              <w:rPr>
                <w:sz w:val="1"/>
                <w:szCs w:val="1"/>
                <w:color w:val="auto"/>
              </w:rPr>
            </w:pPr>
          </w:p>
        </w:tc>
      </w:tr>
      <w:tr>
        <w:trPr>
          <w:trHeight w:val="219"/>
        </w:trPr>
        <w:tc>
          <w:tcPr>
            <w:tcW w:w="5040" w:type="dxa"/>
            <w:vAlign w:val="bottom"/>
            <w:gridSpan w:val="2"/>
          </w:tcPr>
          <w:p>
            <w:pPr>
              <w:ind w:left="400"/>
              <w:spacing w:after="0"/>
              <w:rPr>
                <w:sz w:val="20"/>
                <w:szCs w:val="20"/>
                <w:color w:val="auto"/>
              </w:rPr>
            </w:pPr>
            <w:r>
              <w:rPr>
                <w:rFonts w:ascii="Arial" w:cs="Arial" w:eastAsia="Arial" w:hAnsi="Arial"/>
                <w:sz w:val="17"/>
                <w:szCs w:val="17"/>
                <w:color w:val="auto"/>
              </w:rPr>
              <w:t>Merchandise</w:t>
            </w:r>
          </w:p>
        </w:tc>
        <w:tc>
          <w:tcPr>
            <w:tcW w:w="8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61,667</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7,817</w:t>
            </w: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69,4</w:t>
            </w:r>
          </w:p>
        </w:tc>
        <w:tc>
          <w:tcPr>
            <w:tcW w:w="0" w:type="dxa"/>
            <w:vAlign w:val="bottom"/>
          </w:tcPr>
          <w:p>
            <w:pPr>
              <w:spacing w:after="0"/>
              <w:rPr>
                <w:sz w:val="1"/>
                <w:szCs w:val="1"/>
                <w:color w:val="auto"/>
              </w:rPr>
            </w:pPr>
          </w:p>
        </w:tc>
      </w:tr>
      <w:tr>
        <w:trPr>
          <w:trHeight w:val="220"/>
        </w:trPr>
        <w:tc>
          <w:tcPr>
            <w:tcW w:w="504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Cemetery property</w:t>
            </w:r>
          </w:p>
        </w:tc>
        <w:tc>
          <w:tcPr>
            <w:tcW w:w="8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30,727</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w:t>
            </w:r>
          </w:p>
        </w:tc>
        <w:tc>
          <w:tcPr>
            <w:tcW w:w="0" w:type="dxa"/>
            <w:vAlign w:val="bottom"/>
          </w:tcPr>
          <w:p>
            <w:pPr>
              <w:spacing w:after="0"/>
              <w:rPr>
                <w:sz w:val="1"/>
                <w:szCs w:val="1"/>
                <w:color w:val="auto"/>
              </w:rPr>
            </w:pPr>
          </w:p>
        </w:tc>
      </w:tr>
      <w:tr>
        <w:trPr>
          <w:trHeight w:val="219"/>
        </w:trPr>
        <w:tc>
          <w:tcPr>
            <w:tcW w:w="5040" w:type="dxa"/>
            <w:vAlign w:val="bottom"/>
            <w:tcBorders>
              <w:bottom w:val="single" w:sz="8" w:color="CCEEFF"/>
            </w:tcBorders>
            <w:gridSpan w:val="2"/>
          </w:tcPr>
          <w:p>
            <w:pPr>
              <w:ind w:left="400"/>
              <w:spacing w:after="0"/>
              <w:rPr>
                <w:sz w:val="20"/>
                <w:szCs w:val="20"/>
                <w:color w:val="auto"/>
              </w:rPr>
            </w:pPr>
            <w:r>
              <w:rPr>
                <w:rFonts w:ascii="Arial" w:cs="Arial" w:eastAsia="Arial" w:hAnsi="Arial"/>
                <w:sz w:val="17"/>
                <w:szCs w:val="17"/>
                <w:color w:val="auto"/>
              </w:rPr>
              <w:t>Other revenue</w:t>
            </w:r>
          </w:p>
        </w:tc>
        <w:tc>
          <w:tcPr>
            <w:tcW w:w="8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10,431</w:t>
            </w:r>
          </w:p>
        </w:tc>
        <w:tc>
          <w:tcPr>
            <w:tcW w:w="3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7,888</w:t>
            </w:r>
          </w:p>
        </w:tc>
        <w:tc>
          <w:tcPr>
            <w:tcW w:w="3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w:t>
            </w:r>
          </w:p>
        </w:tc>
        <w:tc>
          <w:tcPr>
            <w:tcW w:w="0" w:type="dxa"/>
            <w:vAlign w:val="bottom"/>
          </w:tcPr>
          <w:p>
            <w:pPr>
              <w:spacing w:after="0"/>
              <w:rPr>
                <w:sz w:val="1"/>
                <w:szCs w:val="1"/>
                <w:color w:val="auto"/>
              </w:rPr>
            </w:pPr>
          </w:p>
        </w:tc>
      </w:tr>
      <w:tr>
        <w:trPr>
          <w:trHeight w:val="238"/>
        </w:trPr>
        <w:tc>
          <w:tcPr>
            <w:tcW w:w="50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7"/>
                <w:szCs w:val="17"/>
                <w:color w:val="auto"/>
              </w:rPr>
              <w:t>Total</w:t>
            </w:r>
          </w:p>
        </w:tc>
        <w:tc>
          <w:tcPr>
            <w:tcW w:w="86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182,297</w:t>
            </w: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57,063</w:t>
            </w: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239,3</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presents operating income (loss), income (loss) before income taxes and total assets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gridSpan w:val="2"/>
          </w:tcPr>
          <w:p>
            <w:pPr>
              <w:ind w:left="620"/>
              <w:spacing w:after="0"/>
              <w:rPr>
                <w:sz w:val="20"/>
                <w:szCs w:val="20"/>
                <w:color w:val="auto"/>
              </w:rPr>
            </w:pPr>
            <w:r>
              <w:rPr>
                <w:rFonts w:ascii="Arial" w:cs="Arial" w:eastAsia="Arial" w:hAnsi="Arial"/>
                <w:sz w:val="14"/>
                <w:szCs w:val="14"/>
                <w:b w:val="1"/>
                <w:bCs w:val="1"/>
                <w:color w:val="auto"/>
              </w:rPr>
              <w:t>Funeral</w:t>
            </w:r>
          </w:p>
        </w:tc>
        <w:tc>
          <w:tcPr>
            <w:tcW w:w="440" w:type="dxa"/>
            <w:vAlign w:val="bottom"/>
          </w:tcPr>
          <w:p>
            <w:pPr>
              <w:spacing w:after="0"/>
              <w:rPr>
                <w:sz w:val="16"/>
                <w:szCs w:val="16"/>
                <w:color w:val="auto"/>
              </w:rPr>
            </w:pPr>
          </w:p>
        </w:tc>
        <w:tc>
          <w:tcPr>
            <w:tcW w:w="1200" w:type="dxa"/>
            <w:vAlign w:val="bottom"/>
            <w:gridSpan w:val="2"/>
          </w:tcPr>
          <w:p>
            <w:pPr>
              <w:ind w:left="400"/>
              <w:spacing w:after="0"/>
              <w:rPr>
                <w:sz w:val="20"/>
                <w:szCs w:val="20"/>
                <w:color w:val="auto"/>
              </w:rPr>
            </w:pPr>
            <w:r>
              <w:rPr>
                <w:rFonts w:ascii="Arial" w:cs="Arial" w:eastAsia="Arial" w:hAnsi="Arial"/>
                <w:sz w:val="14"/>
                <w:szCs w:val="14"/>
                <w:b w:val="1"/>
                <w:bCs w:val="1"/>
                <w:color w:val="auto"/>
              </w:rPr>
              <w:t>Cemetery</w:t>
            </w:r>
          </w:p>
        </w:tc>
        <w:tc>
          <w:tcPr>
            <w:tcW w:w="440" w:type="dxa"/>
            <w:vAlign w:val="bottom"/>
          </w:tcPr>
          <w:p>
            <w:pPr>
              <w:spacing w:after="0"/>
              <w:rPr>
                <w:sz w:val="16"/>
                <w:szCs w:val="16"/>
                <w:color w:val="auto"/>
              </w:rPr>
            </w:pPr>
          </w:p>
        </w:tc>
        <w:tc>
          <w:tcPr>
            <w:tcW w:w="1200" w:type="dxa"/>
            <w:vAlign w:val="bottom"/>
            <w:gridSpan w:val="2"/>
          </w:tcPr>
          <w:p>
            <w:pPr>
              <w:ind w:left="360"/>
              <w:spacing w:after="0"/>
              <w:rPr>
                <w:sz w:val="20"/>
                <w:szCs w:val="20"/>
                <w:color w:val="auto"/>
              </w:rPr>
            </w:pPr>
            <w:r>
              <w:rPr>
                <w:rFonts w:ascii="Arial" w:cs="Arial" w:eastAsia="Arial" w:hAnsi="Arial"/>
                <w:sz w:val="14"/>
                <w:szCs w:val="14"/>
                <w:b w:val="1"/>
                <w:bCs w:val="1"/>
                <w:color w:val="auto"/>
              </w:rPr>
              <w:t>Corporate</w:t>
            </w:r>
          </w:p>
        </w:tc>
        <w:tc>
          <w:tcPr>
            <w:tcW w:w="3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Consolidated</w:t>
            </w:r>
          </w:p>
        </w:tc>
      </w:tr>
      <w:tr>
        <w:trPr>
          <w:trHeight w:val="205"/>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income (loss):</w:t>
            </w: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219"/>
        </w:trPr>
        <w:tc>
          <w:tcPr>
            <w:tcW w:w="4900" w:type="dxa"/>
            <w:vAlign w:val="bottom"/>
          </w:tcPr>
          <w:p>
            <w:pPr>
              <w:ind w:left="220"/>
              <w:spacing w:after="0"/>
              <w:rPr>
                <w:sz w:val="20"/>
                <w:szCs w:val="20"/>
                <w:color w:val="auto"/>
              </w:rPr>
            </w:pPr>
            <w:r>
              <w:rPr>
                <w:rFonts w:ascii="Arial" w:cs="Arial" w:eastAsia="Arial" w:hAnsi="Arial"/>
                <w:sz w:val="17"/>
                <w:szCs w:val="17"/>
                <w:color w:val="auto"/>
              </w:rPr>
              <w:t>Three months ended September 30, 2021</w:t>
            </w: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22,924</w:t>
            </w:r>
          </w:p>
        </w:tc>
        <w:tc>
          <w:tcPr>
            <w:tcW w:w="22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9,471</w:t>
            </w:r>
          </w:p>
        </w:tc>
        <w:tc>
          <w:tcPr>
            <w:tcW w:w="22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(9,130)</w:t>
            </w:r>
          </w:p>
        </w:tc>
        <w:tc>
          <w:tcPr>
            <w:tcW w:w="22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23,265</w:t>
            </w:r>
          </w:p>
        </w:tc>
      </w:tr>
      <w:tr>
        <w:trPr>
          <w:trHeight w:val="220"/>
        </w:trPr>
        <w:tc>
          <w:tcPr>
            <w:tcW w:w="49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Three months ended September 30, 2020</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13,975</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8,982</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(6,463)</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16,494</w:t>
            </w:r>
          </w:p>
        </w:tc>
      </w:tr>
      <w:tr>
        <w:trPr>
          <w:trHeight w:val="103"/>
        </w:trPr>
        <w:tc>
          <w:tcPr>
            <w:tcW w:w="4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60" w:type="dxa"/>
            <w:vAlign w:val="bottom"/>
          </w:tcPr>
          <w:p>
            <w:pPr>
              <w:spacing w:after="0"/>
              <w:rPr>
                <w:sz w:val="8"/>
                <w:szCs w:val="8"/>
                <w:color w:val="auto"/>
              </w:rPr>
            </w:pPr>
          </w:p>
        </w:tc>
      </w:tr>
      <w:tr>
        <w:trPr>
          <w:trHeight w:val="219"/>
        </w:trPr>
        <w:tc>
          <w:tcPr>
            <w:tcW w:w="49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Nine months ended September 30, 2021</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65,404</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30,462</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(25,431)</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70,435</w:t>
            </w:r>
          </w:p>
        </w:tc>
      </w:tr>
      <w:tr>
        <w:trPr>
          <w:trHeight w:val="219"/>
        </w:trPr>
        <w:tc>
          <w:tcPr>
            <w:tcW w:w="4900" w:type="dxa"/>
            <w:vAlign w:val="bottom"/>
          </w:tcPr>
          <w:p>
            <w:pPr>
              <w:ind w:left="220"/>
              <w:spacing w:after="0"/>
              <w:rPr>
                <w:sz w:val="20"/>
                <w:szCs w:val="20"/>
                <w:color w:val="auto"/>
              </w:rPr>
            </w:pPr>
            <w:r>
              <w:rPr>
                <w:rFonts w:ascii="Arial" w:cs="Arial" w:eastAsia="Arial" w:hAnsi="Arial"/>
                <w:sz w:val="17"/>
                <w:szCs w:val="17"/>
                <w:color w:val="auto"/>
              </w:rPr>
              <w:t>Nine months ended September 30, 2020</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38,155</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18,440</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(19,685)</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36,910</w:t>
            </w:r>
          </w:p>
        </w:tc>
      </w:tr>
      <w:tr>
        <w:trPr>
          <w:trHeight w:val="104"/>
        </w:trPr>
        <w:tc>
          <w:tcPr>
            <w:tcW w:w="49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r>
      <w:tr>
        <w:trPr>
          <w:trHeight w:val="219"/>
        </w:trPr>
        <w:tc>
          <w:tcPr>
            <w:tcW w:w="4900" w:type="dxa"/>
            <w:vAlign w:val="bottom"/>
          </w:tcPr>
          <w:p>
            <w:pPr>
              <w:ind w:left="20"/>
              <w:spacing w:after="0"/>
              <w:rPr>
                <w:sz w:val="20"/>
                <w:szCs w:val="20"/>
                <w:color w:val="auto"/>
              </w:rPr>
            </w:pPr>
            <w:r>
              <w:rPr>
                <w:rFonts w:ascii="Arial" w:cs="Arial" w:eastAsia="Arial" w:hAnsi="Arial"/>
                <w:sz w:val="17"/>
                <w:szCs w:val="17"/>
                <w:color w:val="auto"/>
              </w:rPr>
              <w:t>Income (loss) before income taxes: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0"/>
        </w:trPr>
        <w:tc>
          <w:tcPr>
            <w:tcW w:w="49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Three months ended September 30, 2021</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22,777</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9,508</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(14,117)</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18,168</w:t>
            </w:r>
          </w:p>
        </w:tc>
      </w:tr>
      <w:tr>
        <w:trPr>
          <w:trHeight w:val="219"/>
        </w:trPr>
        <w:tc>
          <w:tcPr>
            <w:tcW w:w="4900" w:type="dxa"/>
            <w:vAlign w:val="bottom"/>
          </w:tcPr>
          <w:p>
            <w:pPr>
              <w:ind w:left="220"/>
              <w:spacing w:after="0"/>
              <w:rPr>
                <w:sz w:val="20"/>
                <w:szCs w:val="20"/>
                <w:color w:val="auto"/>
              </w:rPr>
            </w:pPr>
            <w:r>
              <w:rPr>
                <w:rFonts w:ascii="Arial" w:cs="Arial" w:eastAsia="Arial" w:hAnsi="Arial"/>
                <w:sz w:val="17"/>
                <w:szCs w:val="17"/>
                <w:color w:val="auto"/>
              </w:rPr>
              <w:t>Three months ended September 30, 2020</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13,753</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9,024</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(14,393)</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8,384</w:t>
            </w:r>
          </w:p>
        </w:tc>
      </w:tr>
      <w:tr>
        <w:trPr>
          <w:trHeight w:val="104"/>
        </w:trPr>
        <w:tc>
          <w:tcPr>
            <w:tcW w:w="49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r>
      <w:tr>
        <w:trPr>
          <w:trHeight w:val="219"/>
        </w:trPr>
        <w:tc>
          <w:tcPr>
            <w:tcW w:w="4900" w:type="dxa"/>
            <w:vAlign w:val="bottom"/>
          </w:tcPr>
          <w:p>
            <w:pPr>
              <w:ind w:left="220"/>
              <w:spacing w:after="0"/>
              <w:rPr>
                <w:sz w:val="20"/>
                <w:szCs w:val="20"/>
                <w:color w:val="auto"/>
              </w:rPr>
            </w:pPr>
            <w:r>
              <w:rPr>
                <w:rFonts w:ascii="Arial" w:cs="Arial" w:eastAsia="Arial" w:hAnsi="Arial"/>
                <w:sz w:val="17"/>
                <w:szCs w:val="17"/>
                <w:color w:val="auto"/>
              </w:rPr>
              <w:t>Nine months ended September 30, 2021</w:t>
            </w: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64,951</w:t>
            </w:r>
          </w:p>
        </w:tc>
        <w:tc>
          <w:tcPr>
            <w:tcW w:w="22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30,537</w:t>
            </w:r>
          </w:p>
        </w:tc>
        <w:tc>
          <w:tcPr>
            <w:tcW w:w="22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(69,105)</w:t>
            </w:r>
          </w:p>
        </w:tc>
        <w:tc>
          <w:tcPr>
            <w:tcW w:w="22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26,383</w:t>
            </w:r>
          </w:p>
        </w:tc>
      </w:tr>
      <w:tr>
        <w:trPr>
          <w:trHeight w:val="220"/>
        </w:trPr>
        <w:tc>
          <w:tcPr>
            <w:tcW w:w="49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Nine months ended September 30, 2020</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37,481</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18,538</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(44,136)</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11,883</w:t>
            </w:r>
          </w:p>
        </w:tc>
      </w:tr>
      <w:tr>
        <w:trPr>
          <w:trHeight w:val="90"/>
        </w:trPr>
        <w:tc>
          <w:tcPr>
            <w:tcW w:w="49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60" w:type="dxa"/>
            <w:vAlign w:val="bottom"/>
          </w:tcPr>
          <w:p>
            <w:pPr>
              <w:spacing w:after="0"/>
              <w:rPr>
                <w:sz w:val="7"/>
                <w:szCs w:val="7"/>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9"/>
        </w:trPr>
        <w:tc>
          <w:tcPr>
            <w:tcW w:w="4900" w:type="dxa"/>
            <w:vAlign w:val="bottom"/>
          </w:tcPr>
          <w:p>
            <w:pPr>
              <w:ind w:left="220"/>
              <w:spacing w:after="0"/>
              <w:rPr>
                <w:sz w:val="20"/>
                <w:szCs w:val="20"/>
                <w:color w:val="auto"/>
              </w:rPr>
            </w:pPr>
            <w:r>
              <w:rPr>
                <w:rFonts w:ascii="Arial" w:cs="Arial" w:eastAsia="Arial" w:hAnsi="Arial"/>
                <w:sz w:val="17"/>
                <w:szCs w:val="17"/>
                <w:color w:val="auto"/>
              </w:rPr>
              <w:t>September 30, 2021</w:t>
            </w: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764,569</w:t>
            </w:r>
          </w:p>
        </w:tc>
        <w:tc>
          <w:tcPr>
            <w:tcW w:w="22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385,573</w:t>
            </w:r>
          </w:p>
        </w:tc>
        <w:tc>
          <w:tcPr>
            <w:tcW w:w="22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13,833</w:t>
            </w:r>
          </w:p>
        </w:tc>
        <w:tc>
          <w:tcPr>
            <w:tcW w:w="22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1,163,975</w:t>
            </w:r>
          </w:p>
        </w:tc>
      </w:tr>
      <w:tr>
        <w:trPr>
          <w:trHeight w:val="220"/>
        </w:trPr>
        <w:tc>
          <w:tcPr>
            <w:tcW w:w="49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December 31, 2020</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764,535</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366,964</w:t>
            </w: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14,326</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1,145,825</w:t>
            </w:r>
          </w:p>
        </w:tc>
      </w:tr>
      <w:tr>
        <w:trPr>
          <w:trHeight w:val="824"/>
        </w:trPr>
        <w:tc>
          <w:tcPr>
            <w:tcW w:w="4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415"/>
              <w:spacing w:after="0"/>
              <w:rPr>
                <w:sz w:val="20"/>
                <w:szCs w:val="20"/>
                <w:color w:val="auto"/>
              </w:rPr>
            </w:pPr>
            <w:r>
              <w:rPr>
                <w:rFonts w:ascii="Arial" w:cs="Arial" w:eastAsia="Arial" w:hAnsi="Arial"/>
                <w:sz w:val="17"/>
                <w:szCs w:val="17"/>
                <w:color w:val="auto"/>
              </w:rPr>
              <w:t>- 36 -</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1"/>
        </w:trPr>
        <w:tc>
          <w:tcPr>
            <w:tcW w:w="49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900"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23"/>
        </w:trPr>
        <w:tc>
          <w:tcPr>
            <w:tcW w:w="220" w:type="dxa"/>
            <w:vAlign w:val="bottom"/>
            <w:gridSpan w:val="2"/>
          </w:tcPr>
          <w:p>
            <w:pPr>
              <w:spacing w:after="0"/>
              <w:rPr>
                <w:sz w:val="20"/>
                <w:szCs w:val="20"/>
                <w:color w:val="auto"/>
              </w:rPr>
            </w:pPr>
            <w:r>
              <w:rPr>
                <w:rFonts w:ascii="Arial" w:cs="Arial" w:eastAsia="Arial" w:hAnsi="Arial"/>
                <w:sz w:val="17"/>
                <w:szCs w:val="17"/>
                <w:b w:val="1"/>
                <w:bCs w:val="1"/>
                <w:color w:val="auto"/>
                <w:w w:val="84"/>
              </w:rPr>
              <w:t>17.</w:t>
            </w:r>
          </w:p>
        </w:tc>
        <w:tc>
          <w:tcPr>
            <w:tcW w:w="7060" w:type="dxa"/>
            <w:vAlign w:val="bottom"/>
          </w:tcPr>
          <w:p>
            <w:pPr>
              <w:ind w:left="400"/>
              <w:spacing w:after="0"/>
              <w:rPr>
                <w:sz w:val="20"/>
                <w:szCs w:val="20"/>
                <w:color w:val="auto"/>
              </w:rPr>
            </w:pPr>
            <w:r>
              <w:rPr>
                <w:rFonts w:ascii="Arial" w:cs="Arial" w:eastAsia="Arial" w:hAnsi="Arial"/>
                <w:sz w:val="17"/>
                <w:szCs w:val="17"/>
                <w:b w:val="1"/>
                <w:bCs w:val="1"/>
                <w:color w:val="auto"/>
              </w:rPr>
              <w:t>SUPPLEMENTARY DATA</w:t>
            </w:r>
          </w:p>
        </w:tc>
        <w:tc>
          <w:tcPr>
            <w:tcW w:w="3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71"/>
        </w:trPr>
        <w:tc>
          <w:tcPr>
            <w:tcW w:w="7280" w:type="dxa"/>
            <w:vAlign w:val="bottom"/>
            <w:gridSpan w:val="3"/>
          </w:tcPr>
          <w:p>
            <w:pPr>
              <w:spacing w:after="0"/>
              <w:rPr>
                <w:sz w:val="20"/>
                <w:szCs w:val="20"/>
                <w:color w:val="auto"/>
              </w:rPr>
            </w:pPr>
            <w:r>
              <w:rPr>
                <w:rFonts w:ascii="Arial" w:cs="Arial" w:eastAsia="Arial" w:hAnsi="Arial"/>
                <w:sz w:val="17"/>
                <w:szCs w:val="17"/>
                <w:b w:val="1"/>
                <w:bCs w:val="1"/>
                <w:i w:val="1"/>
                <w:iCs w:val="1"/>
                <w:color w:val="auto"/>
              </w:rPr>
              <w:t>Balance Sheet</w:t>
            </w:r>
          </w:p>
        </w:tc>
        <w:tc>
          <w:tcPr>
            <w:tcW w:w="3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310"/>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60" w:type="dxa"/>
            <w:vAlign w:val="bottom"/>
          </w:tcPr>
          <w:p>
            <w:pPr>
              <w:ind w:left="180"/>
              <w:spacing w:after="0"/>
              <w:rPr>
                <w:sz w:val="20"/>
                <w:szCs w:val="20"/>
                <w:color w:val="auto"/>
              </w:rPr>
            </w:pPr>
            <w:r>
              <w:rPr>
                <w:rFonts w:ascii="Arial" w:cs="Arial" w:eastAsia="Arial" w:hAnsi="Arial"/>
                <w:sz w:val="17"/>
                <w:szCs w:val="17"/>
                <w:color w:val="auto"/>
              </w:rPr>
              <w:t>The following table presents the detail of certain balance sheet accounts (in thousands):</w:t>
            </w: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1"/>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2"/>
          </w:tcPr>
          <w:p>
            <w:pPr>
              <w:ind w:left="240"/>
              <w:spacing w:after="0"/>
              <w:rPr>
                <w:sz w:val="20"/>
                <w:szCs w:val="20"/>
                <w:color w:val="auto"/>
              </w:rPr>
            </w:pPr>
            <w:r>
              <w:rPr>
                <w:rFonts w:ascii="Arial" w:cs="Arial" w:eastAsia="Arial" w:hAnsi="Arial"/>
                <w:sz w:val="15"/>
                <w:szCs w:val="15"/>
                <w:b w:val="1"/>
                <w:bCs w:val="1"/>
                <w:color w:val="auto"/>
              </w:rPr>
              <w:t>December 31, 2020</w:t>
            </w:r>
          </w:p>
        </w:tc>
        <w:tc>
          <w:tcPr>
            <w:tcW w:w="3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5"/>
                <w:szCs w:val="15"/>
                <w:b w:val="1"/>
                <w:bCs w:val="1"/>
                <w:color w:val="auto"/>
              </w:rPr>
              <w:t>September 30, 2021</w:t>
            </w:r>
          </w:p>
        </w:tc>
      </w:tr>
      <w:tr>
        <w:trPr>
          <w:trHeight w:val="202"/>
        </w:trPr>
        <w:tc>
          <w:tcPr>
            <w:tcW w:w="20" w:type="dxa"/>
            <w:vAlign w:val="bottom"/>
          </w:tcPr>
          <w:p>
            <w:pPr>
              <w:spacing w:after="0"/>
              <w:rPr>
                <w:sz w:val="17"/>
                <w:szCs w:val="17"/>
                <w:color w:val="auto"/>
              </w:rPr>
            </w:pPr>
          </w:p>
        </w:tc>
        <w:tc>
          <w:tcPr>
            <w:tcW w:w="72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Prepaid and other current assets:</w:t>
            </w:r>
          </w:p>
        </w:tc>
        <w:tc>
          <w:tcPr>
            <w:tcW w:w="34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Arial" w:cs="Arial" w:eastAsia="Arial" w:hAnsi="Arial"/>
                <w:sz w:val="17"/>
                <w:szCs w:val="17"/>
                <w:color w:val="auto"/>
              </w:rPr>
              <w:t>Prepaid expenses</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1,919</w:t>
            </w:r>
          </w:p>
        </w:tc>
        <w:tc>
          <w:tcPr>
            <w:tcW w:w="24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2,018</w:t>
            </w:r>
          </w:p>
        </w:tc>
      </w:tr>
      <w:tr>
        <w:trPr>
          <w:trHeight w:val="220"/>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State income taxes receivable</w:t>
            </w:r>
          </w:p>
        </w:tc>
        <w:tc>
          <w:tcPr>
            <w:tcW w:w="3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r>
      <w:tr>
        <w:trPr>
          <w:trHeight w:val="219"/>
        </w:trPr>
        <w:tc>
          <w:tcPr>
            <w:tcW w:w="20" w:type="dxa"/>
            <w:vAlign w:val="bottom"/>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current assets</w:t>
            </w: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w:t>
            </w:r>
          </w:p>
        </w:tc>
      </w:tr>
      <w:tr>
        <w:trPr>
          <w:trHeight w:val="238"/>
        </w:trPr>
        <w:tc>
          <w:tcPr>
            <w:tcW w:w="20" w:type="dxa"/>
            <w:vAlign w:val="bottom"/>
          </w:tcPr>
          <w:p>
            <w:pPr>
              <w:spacing w:after="0"/>
              <w:rPr>
                <w:sz w:val="20"/>
                <w:szCs w:val="20"/>
                <w:color w:val="auto"/>
              </w:rPr>
            </w:pPr>
          </w:p>
        </w:tc>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prepaid and other current assets</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2,076</w:t>
            </w:r>
          </w:p>
        </w:tc>
        <w:tc>
          <w:tcPr>
            <w:tcW w:w="2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2,191</w:t>
            </w:r>
          </w:p>
        </w:tc>
      </w:tr>
      <w:tr>
        <w:trPr>
          <w:trHeight w:val="20"/>
        </w:trPr>
        <w:tc>
          <w:tcPr>
            <w:tcW w:w="20" w:type="dxa"/>
            <w:vAlign w:val="bottom"/>
          </w:tcPr>
          <w:p>
            <w:pPr>
              <w:spacing w:after="0" w:line="20" w:lineRule="exact"/>
              <w:rPr>
                <w:sz w:val="1"/>
                <w:szCs w:val="1"/>
                <w:color w:val="auto"/>
              </w:rPr>
            </w:pPr>
          </w:p>
        </w:tc>
        <w:tc>
          <w:tcPr>
            <w:tcW w:w="726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Current portion of debt and lease obligations:</w:t>
            </w:r>
          </w:p>
        </w:tc>
        <w:tc>
          <w:tcPr>
            <w:tcW w:w="3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Arial" w:cs="Arial" w:eastAsia="Arial" w:hAnsi="Arial"/>
                <w:sz w:val="17"/>
                <w:szCs w:val="17"/>
                <w:color w:val="auto"/>
              </w:rPr>
              <w:t>Acquisition debt</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1,027</w:t>
            </w:r>
          </w:p>
        </w:tc>
        <w:tc>
          <w:tcPr>
            <w:tcW w:w="24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730</w:t>
            </w:r>
          </w:p>
        </w:tc>
      </w:tr>
      <w:tr>
        <w:trPr>
          <w:trHeight w:val="220"/>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Finance lease obligations</w:t>
            </w: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w:t>
            </w:r>
          </w:p>
        </w:tc>
      </w:tr>
      <w:tr>
        <w:trPr>
          <w:trHeight w:val="219"/>
        </w:trPr>
        <w:tc>
          <w:tcPr>
            <w:tcW w:w="20" w:type="dxa"/>
            <w:vAlign w:val="bottom"/>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Operating lease obligations</w:t>
            </w: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2,082</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1,954</w:t>
            </w:r>
          </w:p>
        </w:tc>
      </w:tr>
      <w:tr>
        <w:trPr>
          <w:trHeight w:val="238"/>
        </w:trPr>
        <w:tc>
          <w:tcPr>
            <w:tcW w:w="20" w:type="dxa"/>
            <w:vAlign w:val="bottom"/>
          </w:tcPr>
          <w:p>
            <w:pPr>
              <w:spacing w:after="0"/>
              <w:rPr>
                <w:sz w:val="20"/>
                <w:szCs w:val="20"/>
                <w:color w:val="auto"/>
              </w:rPr>
            </w:pPr>
          </w:p>
        </w:tc>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current portion of debt and lease obligations</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3,432</w:t>
            </w:r>
          </w:p>
        </w:tc>
        <w:tc>
          <w:tcPr>
            <w:tcW w:w="2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3,041</w:t>
            </w:r>
          </w:p>
        </w:tc>
      </w:tr>
      <w:tr>
        <w:trPr>
          <w:trHeight w:val="20"/>
        </w:trPr>
        <w:tc>
          <w:tcPr>
            <w:tcW w:w="20" w:type="dxa"/>
            <w:vAlign w:val="bottom"/>
          </w:tcPr>
          <w:p>
            <w:pPr>
              <w:spacing w:after="0" w:line="20" w:lineRule="exact"/>
              <w:rPr>
                <w:sz w:val="1"/>
                <w:szCs w:val="1"/>
                <w:color w:val="auto"/>
              </w:rPr>
            </w:pPr>
          </w:p>
        </w:tc>
        <w:tc>
          <w:tcPr>
            <w:tcW w:w="726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Accrued and other liabilities:</w:t>
            </w:r>
          </w:p>
        </w:tc>
        <w:tc>
          <w:tcPr>
            <w:tcW w:w="3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Arial" w:cs="Arial" w:eastAsia="Arial" w:hAnsi="Arial"/>
                <w:sz w:val="17"/>
                <w:szCs w:val="17"/>
                <w:color w:val="auto"/>
              </w:rPr>
              <w:t>Incentive compensation</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11,139</w:t>
            </w:r>
          </w:p>
        </w:tc>
        <w:tc>
          <w:tcPr>
            <w:tcW w:w="24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13,472</w:t>
            </w:r>
          </w:p>
        </w:tc>
      </w:tr>
      <w:tr>
        <w:trPr>
          <w:trHeight w:val="220"/>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w:t>
            </w: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2,291</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6,572</w:t>
            </w:r>
          </w:p>
        </w:tc>
      </w:tr>
      <w:tr>
        <w:trPr>
          <w:trHeight w:val="219"/>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Arial" w:cs="Arial" w:eastAsia="Arial" w:hAnsi="Arial"/>
                <w:sz w:val="17"/>
                <w:szCs w:val="17"/>
                <w:color w:val="auto"/>
              </w:rPr>
              <w:t>Insurance</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3,016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3,995</w:t>
            </w:r>
          </w:p>
        </w:tc>
      </w:tr>
      <w:tr>
        <w:trPr>
          <w:trHeight w:val="220"/>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Unrecognized tax benefit</w:t>
            </w: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3,656</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3,735</w:t>
            </w:r>
          </w:p>
        </w:tc>
      </w:tr>
      <w:tr>
        <w:trPr>
          <w:trHeight w:val="219"/>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Arial" w:cs="Arial" w:eastAsia="Arial" w:hAnsi="Arial"/>
                <w:sz w:val="17"/>
                <w:szCs w:val="17"/>
                <w:color w:val="auto"/>
              </w:rPr>
              <w:t>Salaries and wages</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1,392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3,533</w:t>
            </w:r>
          </w:p>
        </w:tc>
      </w:tr>
      <w:tr>
        <w:trPr>
          <w:trHeight w:val="220"/>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Vacation</w:t>
            </w: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3,271</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3,222</w:t>
            </w:r>
          </w:p>
        </w:tc>
      </w:tr>
      <w:tr>
        <w:trPr>
          <w:trHeight w:val="219"/>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Arial" w:cs="Arial" w:eastAsia="Arial" w:hAnsi="Arial"/>
                <w:sz w:val="17"/>
                <w:szCs w:val="17"/>
                <w:color w:val="auto"/>
              </w:rPr>
              <w:t>Income tax payable</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798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799</w:t>
            </w:r>
          </w:p>
        </w:tc>
      </w:tr>
      <w:tr>
        <w:trPr>
          <w:trHeight w:val="220"/>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 valorem and franchise taxes</w:t>
            </w: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2,115</w:t>
            </w:r>
          </w:p>
        </w:tc>
      </w:tr>
      <w:tr>
        <w:trPr>
          <w:trHeight w:val="219"/>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Arial" w:cs="Arial" w:eastAsia="Arial" w:hAnsi="Arial"/>
                <w:sz w:val="17"/>
                <w:szCs w:val="17"/>
                <w:color w:val="auto"/>
              </w:rPr>
              <w:t>Employer payroll tax deferral</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1,773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1,773</w:t>
            </w:r>
          </w:p>
        </w:tc>
      </w:tr>
      <w:tr>
        <w:trPr>
          <w:trHeight w:val="220"/>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Employee meetings and award trips</w:t>
            </w: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1,110</w:t>
            </w:r>
          </w:p>
        </w:tc>
      </w:tr>
      <w:tr>
        <w:trPr>
          <w:trHeight w:val="219"/>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Arial" w:cs="Arial" w:eastAsia="Arial" w:hAnsi="Arial"/>
                <w:sz w:val="17"/>
                <w:szCs w:val="17"/>
                <w:color w:val="auto"/>
              </w:rPr>
              <w:t>Commissions</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634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861</w:t>
            </w:r>
          </w:p>
        </w:tc>
      </w:tr>
      <w:tr>
        <w:trPr>
          <w:trHeight w:val="220"/>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Perpetual care trust payable</w:t>
            </w: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908</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r>
      <w:tr>
        <w:trPr>
          <w:trHeight w:val="219"/>
        </w:trPr>
        <w:tc>
          <w:tcPr>
            <w:tcW w:w="20" w:type="dxa"/>
            <w:vAlign w:val="bottom"/>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accrued liabilities</w:t>
            </w: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1,024</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1,460</w:t>
            </w:r>
          </w:p>
        </w:tc>
      </w:tr>
      <w:tr>
        <w:trPr>
          <w:trHeight w:val="238"/>
        </w:trPr>
        <w:tc>
          <w:tcPr>
            <w:tcW w:w="20" w:type="dxa"/>
            <w:vAlign w:val="bottom"/>
          </w:tcPr>
          <w:p>
            <w:pPr>
              <w:spacing w:after="0"/>
              <w:rPr>
                <w:sz w:val="20"/>
                <w:szCs w:val="20"/>
                <w:color w:val="auto"/>
              </w:rPr>
            </w:pPr>
          </w:p>
        </w:tc>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accrued and other liabilities</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31,138</w:t>
            </w:r>
          </w:p>
        </w:tc>
        <w:tc>
          <w:tcPr>
            <w:tcW w:w="2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43,147</w:t>
            </w:r>
          </w:p>
        </w:tc>
      </w:tr>
      <w:tr>
        <w:trPr>
          <w:trHeight w:val="20"/>
        </w:trPr>
        <w:tc>
          <w:tcPr>
            <w:tcW w:w="20" w:type="dxa"/>
            <w:vAlign w:val="bottom"/>
          </w:tcPr>
          <w:p>
            <w:pPr>
              <w:spacing w:after="0" w:line="20" w:lineRule="exact"/>
              <w:rPr>
                <w:sz w:val="1"/>
                <w:szCs w:val="1"/>
                <w:color w:val="auto"/>
              </w:rPr>
            </w:pPr>
          </w:p>
        </w:tc>
        <w:tc>
          <w:tcPr>
            <w:tcW w:w="726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3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Arial" w:cs="Arial" w:eastAsia="Arial" w:hAnsi="Arial"/>
                <w:sz w:val="17"/>
                <w:szCs w:val="17"/>
                <w:color w:val="auto"/>
              </w:rPr>
              <w:t>Incentive compensation</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2,975</w:t>
            </w:r>
          </w:p>
        </w:tc>
        <w:tc>
          <w:tcPr>
            <w:tcW w:w="24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995</w:t>
            </w:r>
          </w:p>
        </w:tc>
      </w:tr>
      <w:tr>
        <w:trPr>
          <w:trHeight w:val="220"/>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Employer payroll tax deferral</w:t>
            </w:r>
          </w:p>
        </w:tc>
        <w:tc>
          <w:tcPr>
            <w:tcW w:w="3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1,773</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1,773</w:t>
            </w:r>
          </w:p>
        </w:tc>
      </w:tr>
      <w:tr>
        <w:trPr>
          <w:trHeight w:val="219"/>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Arial" w:cs="Arial" w:eastAsia="Arial" w:hAnsi="Arial"/>
                <w:sz w:val="17"/>
                <w:szCs w:val="17"/>
                <w:color w:val="auto"/>
              </w:rPr>
              <w:t>Severance</w:t>
            </w:r>
          </w:p>
        </w:tc>
        <w:tc>
          <w:tcPr>
            <w:tcW w:w="340" w:type="dxa"/>
            <w:vAlign w:val="bottom"/>
          </w:tcPr>
          <w:p>
            <w:pPr>
              <w:spacing w:after="0"/>
              <w:rPr>
                <w:sz w:val="19"/>
                <w:szCs w:val="19"/>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277</w:t>
            </w:r>
          </w:p>
        </w:tc>
      </w:tr>
      <w:tr>
        <w:trPr>
          <w:trHeight w:val="238"/>
        </w:trPr>
        <w:tc>
          <w:tcPr>
            <w:tcW w:w="20" w:type="dxa"/>
            <w:vAlign w:val="bottom"/>
          </w:tcPr>
          <w:p>
            <w:pPr>
              <w:spacing w:after="0"/>
              <w:rPr>
                <w:sz w:val="20"/>
                <w:szCs w:val="20"/>
                <w:color w:val="auto"/>
              </w:rPr>
            </w:pPr>
          </w:p>
        </w:tc>
        <w:tc>
          <w:tcPr>
            <w:tcW w:w="72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other long-term liabilities</w:t>
            </w: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4,748</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3,045</w:t>
            </w:r>
          </w:p>
        </w:tc>
      </w:tr>
      <w:tr>
        <w:trPr>
          <w:trHeight w:val="20"/>
        </w:trPr>
        <w:tc>
          <w:tcPr>
            <w:tcW w:w="20" w:type="dxa"/>
            <w:vAlign w:val="bottom"/>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information is supplemental disclosure for the Consolidated Statements of Cash Flows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5"/>
                <w:szCs w:val="15"/>
                <w:b w:val="1"/>
                <w:bCs w:val="1"/>
                <w:color w:val="auto"/>
              </w:rPr>
              <w:t>Nine months ended September 30,</w:t>
            </w:r>
          </w:p>
        </w:tc>
        <w:tc>
          <w:tcPr>
            <w:tcW w:w="500" w:type="dxa"/>
            <w:vAlign w:val="bottom"/>
            <w:tcBorders>
              <w:bottom w:val="single" w:sz="8" w:color="auto"/>
            </w:tcBorders>
          </w:tcPr>
          <w:p>
            <w:pPr>
              <w:spacing w:after="0"/>
              <w:rPr>
                <w:sz w:val="17"/>
                <w:szCs w:val="17"/>
                <w:color w:val="auto"/>
              </w:rPr>
            </w:pPr>
          </w:p>
        </w:tc>
      </w:tr>
      <w:tr>
        <w:trPr>
          <w:trHeight w:val="200"/>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w:t>
            </w:r>
          </w:p>
        </w:tc>
      </w:tr>
      <w:tr>
        <w:trPr>
          <w:trHeight w:val="215"/>
        </w:trPr>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Cash paid for interest</w:t>
            </w:r>
          </w:p>
        </w:tc>
        <w:tc>
          <w:tcPr>
            <w:tcW w:w="92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16,960</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34"/>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w:t>
            </w:r>
          </w:p>
        </w:tc>
      </w:tr>
      <w:tr>
        <w:trPr>
          <w:trHeight w:val="219"/>
        </w:trPr>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40" w:type="dxa"/>
            <w:vAlign w:val="bottom"/>
          </w:tcPr>
          <w:p>
            <w:pPr>
              <w:ind w:left="400"/>
              <w:spacing w:after="0"/>
              <w:rPr>
                <w:sz w:val="20"/>
                <w:szCs w:val="20"/>
                <w:color w:val="auto"/>
              </w:rPr>
            </w:pPr>
            <w:r>
              <w:rPr>
                <w:rFonts w:ascii="Arial" w:cs="Arial" w:eastAsia="Arial" w:hAnsi="Arial"/>
                <w:sz w:val="17"/>
                <w:szCs w:val="17"/>
                <w:color w:val="auto"/>
              </w:rPr>
              <w:t>Cash paid (refunded) for taxes</w:t>
            </w:r>
          </w:p>
        </w:tc>
        <w:tc>
          <w:tcPr>
            <w:tcW w:w="9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(6,817)</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9,9</w:t>
            </w:r>
          </w:p>
        </w:tc>
      </w:tr>
      <w:tr>
        <w:trPr>
          <w:trHeight w:val="220"/>
        </w:trPr>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Fair value of donated real property</w:t>
            </w:r>
          </w:p>
        </w:tc>
        <w:tc>
          <w:tcPr>
            <w:tcW w:w="9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553"/>
        </w:trPr>
        <w:tc>
          <w:tcPr>
            <w:tcW w:w="300" w:type="dxa"/>
            <w:vAlign w:val="bottom"/>
          </w:tcPr>
          <w:p>
            <w:pPr>
              <w:jc w:val="right"/>
              <w:spacing w:after="0"/>
              <w:rPr>
                <w:sz w:val="20"/>
                <w:szCs w:val="20"/>
                <w:color w:val="auto"/>
              </w:rPr>
            </w:pPr>
            <w:r>
              <w:rPr>
                <w:rFonts w:ascii="Arial" w:cs="Arial" w:eastAsia="Arial" w:hAnsi="Arial"/>
                <w:sz w:val="17"/>
                <w:szCs w:val="17"/>
                <w:b w:val="1"/>
                <w:bCs w:val="1"/>
                <w:color w:val="auto"/>
                <w:w w:val="84"/>
              </w:rPr>
              <w:t>18.</w:t>
            </w:r>
          </w:p>
        </w:tc>
        <w:tc>
          <w:tcPr>
            <w:tcW w:w="100" w:type="dxa"/>
            <w:vAlign w:val="bottom"/>
          </w:tcPr>
          <w:p>
            <w:pPr>
              <w:spacing w:after="0"/>
              <w:rPr>
                <w:sz w:val="24"/>
                <w:szCs w:val="24"/>
                <w:color w:val="auto"/>
              </w:rPr>
            </w:pPr>
          </w:p>
        </w:tc>
        <w:tc>
          <w:tcPr>
            <w:tcW w:w="6640" w:type="dxa"/>
            <w:vAlign w:val="bottom"/>
          </w:tcPr>
          <w:p>
            <w:pPr>
              <w:ind w:left="220"/>
              <w:spacing w:after="0"/>
              <w:rPr>
                <w:sz w:val="20"/>
                <w:szCs w:val="20"/>
                <w:color w:val="auto"/>
              </w:rPr>
            </w:pPr>
            <w:r>
              <w:rPr>
                <w:rFonts w:ascii="Arial" w:cs="Arial" w:eastAsia="Arial" w:hAnsi="Arial"/>
                <w:sz w:val="17"/>
                <w:szCs w:val="17"/>
                <w:b w:val="1"/>
                <w:bCs w:val="1"/>
                <w:color w:val="auto"/>
              </w:rPr>
              <w:t>SUBSEQUENT EVENTS</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10"/>
        </w:trPr>
        <w:tc>
          <w:tcPr>
            <w:tcW w:w="30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Arial" w:cs="Arial" w:eastAsia="Arial" w:hAnsi="Arial"/>
                <w:sz w:val="17"/>
                <w:szCs w:val="17"/>
                <w:color w:val="auto"/>
              </w:rPr>
              <w:t>On October 21, 2021, we sold real property for $1.4 million.</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92" w:lineRule="exact"/>
        <w:rPr>
          <w:sz w:val="20"/>
          <w:szCs w:val="20"/>
          <w:color w:val="auto"/>
        </w:rPr>
      </w:pPr>
    </w:p>
    <w:p>
      <w:pPr>
        <w:jc w:val="both"/>
        <w:ind w:right="100" w:firstLine="387"/>
        <w:spacing w:after="0" w:line="262" w:lineRule="auto"/>
        <w:rPr>
          <w:sz w:val="20"/>
          <w:szCs w:val="20"/>
          <w:color w:val="auto"/>
        </w:rPr>
      </w:pPr>
      <w:r>
        <w:rPr>
          <w:rFonts w:ascii="Arial" w:cs="Arial" w:eastAsia="Arial" w:hAnsi="Arial"/>
          <w:sz w:val="17"/>
          <w:szCs w:val="17"/>
          <w:color w:val="auto"/>
        </w:rPr>
        <w:t>On October 27, 2021, the Board authorized an increase in our share repurchase program to permit us to purchase up to an additional $75 million of our outstanding common shares. Prior to the Board’s approval of the increase, at September 30, 2021, we had approximately $10.1 million authorization remaining under the original repurchase program. At October 27, 2021, we had approximately $85.1 million of share repurchase authorization remaining under the revised repurchase program.</w:t>
      </w:r>
    </w:p>
    <w:p>
      <w:pPr>
        <w:spacing w:after="0" w:line="76" w:lineRule="exact"/>
        <w:rPr>
          <w:sz w:val="20"/>
          <w:szCs w:val="20"/>
          <w:color w:val="auto"/>
        </w:rPr>
      </w:pPr>
    </w:p>
    <w:p>
      <w:pPr>
        <w:jc w:val="both"/>
        <w:ind w:right="100" w:firstLine="620"/>
        <w:spacing w:after="0" w:line="280" w:lineRule="auto"/>
        <w:rPr>
          <w:sz w:val="20"/>
          <w:szCs w:val="20"/>
          <w:color w:val="auto"/>
        </w:rPr>
      </w:pPr>
      <w:r>
        <w:rPr>
          <w:rFonts w:ascii="Arial" w:cs="Arial" w:eastAsia="Arial" w:hAnsi="Arial"/>
          <w:sz w:val="17"/>
          <w:szCs w:val="17"/>
          <w:color w:val="auto"/>
        </w:rPr>
        <w:t>On October 27, 2021, the Board also approved a $0.05 per share increase to its annual cash dividend and subsequently declared a quarterly dividend of $0.1125 per share payable on December 1, 2021 to common share record holders as of November 9, 2021.</w:t>
      </w:r>
    </w:p>
    <w:p>
      <w:pPr>
        <w:sectPr>
          <w:pgSz w:w="11900" w:h="16838" w:orient="portrait"/>
          <w:cols w:equalWidth="0" w:num="1">
            <w:col w:w="11340"/>
          </w:cols>
          <w:pgMar w:left="320" w:top="1115" w:right="2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74930</wp:posOffset>
            </wp:positionV>
            <wp:extent cx="716343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115" w:right="239" w:bottom="1440"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17"/>
          <w:szCs w:val="17"/>
          <w:b w:val="1"/>
          <w:bCs w:val="1"/>
          <w:color w:val="auto"/>
        </w:rPr>
        <w:t>CAUTIONARY STATEMENT ON FORWARD-LOOKING STATEMENTS</w:t>
      </w:r>
    </w:p>
    <w:p>
      <w:pPr>
        <w:spacing w:after="0" w:line="120" w:lineRule="exact"/>
        <w:rPr>
          <w:sz w:val="20"/>
          <w:szCs w:val="20"/>
          <w:color w:val="auto"/>
        </w:rPr>
      </w:pPr>
    </w:p>
    <w:p>
      <w:pPr>
        <w:jc w:val="both"/>
        <w:ind w:firstLine="387"/>
        <w:spacing w:after="0" w:line="272" w:lineRule="auto"/>
        <w:rPr>
          <w:sz w:val="20"/>
          <w:szCs w:val="20"/>
          <w:color w:val="auto"/>
        </w:rPr>
      </w:pPr>
      <w:r>
        <w:rPr>
          <w:rFonts w:ascii="Arial" w:cs="Arial" w:eastAsia="Arial" w:hAnsi="Arial"/>
          <w:sz w:val="16"/>
          <w:szCs w:val="16"/>
          <w:color w:val="auto"/>
        </w:rPr>
        <w:t>In addition to historical information, this Quarterly Report on Form 10-Q contains certain statements and information that may constitute forward-looking statements within the meaning of the Private Securities Litigation Reform Act of 1995. All statements, other than statements of historical information, should be deemed to be forward-looking statements. The words “may”, “will”, “estimate”, “intend”, “believe”, “expect”, “seek”, “project”, “forecast”, “foresee”, “should”, “would”, “could”, “plan”, “anticipate” and other similar words or expressions are intended to identify forward-looking statements, which are generally not historical in nature. These forward-looking statements include, but are not limited to, statements regarding any projections of earnings, revenue, asset sales, cash flow, debt levels or other financial items; any statements of the plans, strategies and objectives of management for future operations or future acquisitions; any statements of the plans, timing and objectives of management for acquisition and divestiture activities; any statements of the plans, timing, expectations and objectives of management for future financing activities; any statements regarding future economic and market conditions or performance; any statements of belief; and any statements of assumptions underlying any of the foregoing and are based on our current expectations and beliefs concerning future developments and their potential effect on us. While management believes that these forward-looking statements are reasonable as and when made, there can be no assurance that future developments affecting us will be those that we anticipate. All comments concerning our expectations for future revenue and operating results are based on our forecasts for our existing operations and do not include the potential impact of any future acquisitions. Our forward-looking statements involve significant risks and uncertainties (some of which are beyond our control) and assumptions that could cause actual results to differ materially from our historical experience and our present expectations or projections. Important factors that could cause actual results to differ materially from those in the forward-looking statements include, but are not limited to, those summarized below:</w:t>
      </w:r>
    </w:p>
    <w:p>
      <w:pPr>
        <w:spacing w:after="0" w:line="9" w:lineRule="exact"/>
        <w:rPr>
          <w:sz w:val="20"/>
          <w:szCs w:val="20"/>
          <w:color w:val="auto"/>
        </w:rPr>
      </w:pPr>
    </w:p>
    <w:p>
      <w:pPr>
        <w:ind w:left="540" w:hanging="304"/>
        <w:spacing w:after="0"/>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find and retain skilled personnel;</w:t>
      </w:r>
    </w:p>
    <w:p>
      <w:pPr>
        <w:spacing w:after="0" w:line="21" w:lineRule="exact"/>
        <w:rPr>
          <w:rFonts w:ascii="Arial" w:cs="Arial" w:eastAsia="Arial" w:hAnsi="Arial"/>
          <w:sz w:val="17"/>
          <w:szCs w:val="17"/>
          <w:color w:val="auto"/>
        </w:rPr>
      </w:pPr>
    </w:p>
    <w:p>
      <w:pPr>
        <w:ind w:left="540" w:hanging="304"/>
        <w:spacing w:after="0" w:line="254" w:lineRule="auto"/>
        <w:tabs>
          <w:tab w:leader="none" w:pos="535"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effects of our incentive and compensation plans and programs, including such effects on our Standards Operating Model and our operational and financial performance;</w:t>
      </w:r>
    </w:p>
    <w:p>
      <w:pPr>
        <w:spacing w:after="0" w:line="1" w:lineRule="exact"/>
        <w:rPr>
          <w:rFonts w:ascii="Arial" w:cs="Arial" w:eastAsia="Arial" w:hAnsi="Arial"/>
          <w:sz w:val="17"/>
          <w:szCs w:val="17"/>
          <w:color w:val="auto"/>
        </w:rPr>
      </w:pPr>
    </w:p>
    <w:p>
      <w:pPr>
        <w:ind w:left="540" w:hanging="304"/>
        <w:spacing w:after="0"/>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execute our growth strategy;</w:t>
      </w:r>
    </w:p>
    <w:p>
      <w:pPr>
        <w:spacing w:after="0" w:line="23" w:lineRule="exact"/>
        <w:rPr>
          <w:rFonts w:ascii="Arial" w:cs="Arial" w:eastAsia="Arial" w:hAnsi="Arial"/>
          <w:sz w:val="17"/>
          <w:szCs w:val="17"/>
          <w:color w:val="auto"/>
        </w:rPr>
      </w:pPr>
    </w:p>
    <w:p>
      <w:pPr>
        <w:ind w:left="540" w:hanging="304"/>
        <w:spacing w:after="0"/>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execution of our Standards Operating, 4E Leadership and Strategic Acquisition Models;</w:t>
      </w:r>
    </w:p>
    <w:p>
      <w:pPr>
        <w:spacing w:after="0" w:line="21" w:lineRule="exact"/>
        <w:rPr>
          <w:rFonts w:ascii="Arial" w:cs="Arial" w:eastAsia="Arial" w:hAnsi="Arial"/>
          <w:sz w:val="17"/>
          <w:szCs w:val="17"/>
          <w:color w:val="auto"/>
        </w:rPr>
      </w:pPr>
    </w:p>
    <w:p>
      <w:pPr>
        <w:ind w:left="540" w:hanging="304"/>
        <w:spacing w:after="0"/>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effects of competition;</w:t>
      </w:r>
    </w:p>
    <w:p>
      <w:pPr>
        <w:spacing w:after="0" w:line="13" w:lineRule="exact"/>
        <w:rPr>
          <w:rFonts w:ascii="Arial" w:cs="Arial" w:eastAsia="Arial" w:hAnsi="Arial"/>
          <w:sz w:val="17"/>
          <w:szCs w:val="17"/>
          <w:color w:val="auto"/>
        </w:rPr>
      </w:pPr>
    </w:p>
    <w:p>
      <w:pPr>
        <w:ind w:left="540" w:hanging="304"/>
        <w:spacing w:after="0"/>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the number of deaths in our markets;</w:t>
      </w:r>
    </w:p>
    <w:p>
      <w:pPr>
        <w:spacing w:after="0" w:line="23" w:lineRule="exact"/>
        <w:rPr>
          <w:rFonts w:ascii="Arial" w:cs="Arial" w:eastAsia="Arial" w:hAnsi="Arial"/>
          <w:sz w:val="17"/>
          <w:szCs w:val="17"/>
          <w:color w:val="auto"/>
        </w:rPr>
      </w:pPr>
    </w:p>
    <w:p>
      <w:pPr>
        <w:ind w:left="540" w:hanging="304"/>
        <w:spacing w:after="0"/>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consumer preferences and our ability to adapt to or meet those changes;</w:t>
      </w:r>
    </w:p>
    <w:p>
      <w:pPr>
        <w:spacing w:after="0" w:line="21" w:lineRule="exact"/>
        <w:rPr>
          <w:rFonts w:ascii="Arial" w:cs="Arial" w:eastAsia="Arial" w:hAnsi="Arial"/>
          <w:sz w:val="17"/>
          <w:szCs w:val="17"/>
          <w:color w:val="auto"/>
        </w:rPr>
      </w:pPr>
    </w:p>
    <w:p>
      <w:pPr>
        <w:ind w:left="540" w:hanging="304"/>
        <w:spacing w:after="0"/>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generate preneed sales, including implementing our cemetery portfolio sales strategy;</w:t>
      </w:r>
    </w:p>
    <w:p>
      <w:pPr>
        <w:spacing w:after="0" w:line="13" w:lineRule="exact"/>
        <w:rPr>
          <w:rFonts w:ascii="Arial" w:cs="Arial" w:eastAsia="Arial" w:hAnsi="Arial"/>
          <w:sz w:val="17"/>
          <w:szCs w:val="17"/>
          <w:color w:val="auto"/>
        </w:rPr>
      </w:pPr>
    </w:p>
    <w:p>
      <w:pPr>
        <w:ind w:left="540" w:hanging="304"/>
        <w:spacing w:after="0"/>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investment performance of our funeral and cemetery trust funds;</w:t>
      </w:r>
    </w:p>
    <w:p>
      <w:pPr>
        <w:spacing w:after="0" w:line="23" w:lineRule="exact"/>
        <w:rPr>
          <w:rFonts w:ascii="Arial" w:cs="Arial" w:eastAsia="Arial" w:hAnsi="Arial"/>
          <w:sz w:val="17"/>
          <w:szCs w:val="17"/>
          <w:color w:val="auto"/>
        </w:rPr>
      </w:pPr>
    </w:p>
    <w:p>
      <w:pPr>
        <w:ind w:left="540" w:hanging="304"/>
        <w:spacing w:after="0"/>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fluctuations in interest rates;</w:t>
      </w:r>
    </w:p>
    <w:p>
      <w:pPr>
        <w:spacing w:after="0" w:line="21" w:lineRule="exact"/>
        <w:rPr>
          <w:rFonts w:ascii="Arial" w:cs="Arial" w:eastAsia="Arial" w:hAnsi="Arial"/>
          <w:sz w:val="17"/>
          <w:szCs w:val="17"/>
          <w:color w:val="auto"/>
        </w:rPr>
      </w:pPr>
    </w:p>
    <w:p>
      <w:pPr>
        <w:ind w:left="540" w:hanging="304"/>
        <w:spacing w:after="0" w:line="254" w:lineRule="auto"/>
        <w:tabs>
          <w:tab w:leader="none" w:pos="535"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obtain debt or equity financing on satisfactory terms to fund additional acquisitions, expansion projects, working capital requirements and the repayment or refinancing of indebtedness;</w:t>
      </w:r>
    </w:p>
    <w:p>
      <w:pPr>
        <w:spacing w:after="0" w:line="1" w:lineRule="exact"/>
        <w:rPr>
          <w:rFonts w:ascii="Arial" w:cs="Arial" w:eastAsia="Arial" w:hAnsi="Arial"/>
          <w:sz w:val="17"/>
          <w:szCs w:val="17"/>
          <w:color w:val="auto"/>
        </w:rPr>
      </w:pPr>
    </w:p>
    <w:p>
      <w:pPr>
        <w:jc w:val="both"/>
        <w:ind w:left="540" w:hanging="304"/>
        <w:spacing w:after="0" w:line="258" w:lineRule="auto"/>
        <w:tabs>
          <w:tab w:leader="none" w:pos="535"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meet the timing, objectives and expectations related to our capital allocation framework, including our forecasted rates of return, planned uses of free cash flow and future capital allocation, including share repurchases, internal growth projects, potential strategic acquisitions, dividend increases, or debt repayment plans;</w:t>
      </w:r>
    </w:p>
    <w:p>
      <w:pPr>
        <w:spacing w:after="0" w:line="2" w:lineRule="exact"/>
        <w:rPr>
          <w:rFonts w:ascii="Arial" w:cs="Arial" w:eastAsia="Arial" w:hAnsi="Arial"/>
          <w:sz w:val="17"/>
          <w:szCs w:val="17"/>
          <w:color w:val="auto"/>
        </w:rPr>
      </w:pPr>
    </w:p>
    <w:p>
      <w:pPr>
        <w:ind w:left="540" w:hanging="304"/>
        <w:spacing w:after="0"/>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timely and full payment of death benefits related to preneed funeral contracts funded through life insurance contracts;</w:t>
      </w:r>
    </w:p>
    <w:p>
      <w:pPr>
        <w:spacing w:after="0" w:line="21" w:lineRule="exact"/>
        <w:rPr>
          <w:rFonts w:ascii="Arial" w:cs="Arial" w:eastAsia="Arial" w:hAnsi="Arial"/>
          <w:sz w:val="17"/>
          <w:szCs w:val="17"/>
          <w:color w:val="auto"/>
        </w:rPr>
      </w:pPr>
    </w:p>
    <w:p>
      <w:pPr>
        <w:ind w:left="540" w:hanging="304"/>
        <w:spacing w:after="0"/>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financial condition of third-party insurance companies that fund our preneed funeral contracts;</w:t>
      </w:r>
    </w:p>
    <w:p>
      <w:pPr>
        <w:spacing w:after="0" w:line="13" w:lineRule="exact"/>
        <w:rPr>
          <w:rFonts w:ascii="Arial" w:cs="Arial" w:eastAsia="Arial" w:hAnsi="Arial"/>
          <w:sz w:val="17"/>
          <w:szCs w:val="17"/>
          <w:color w:val="auto"/>
        </w:rPr>
      </w:pPr>
    </w:p>
    <w:p>
      <w:pPr>
        <w:ind w:left="540" w:hanging="304"/>
        <w:spacing w:after="0"/>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increased or unanticipated costs, such as insurance or taxes;</w:t>
      </w:r>
    </w:p>
    <w:p>
      <w:pPr>
        <w:spacing w:after="0" w:line="23" w:lineRule="exact"/>
        <w:rPr>
          <w:rFonts w:ascii="Arial" w:cs="Arial" w:eastAsia="Arial" w:hAnsi="Arial"/>
          <w:sz w:val="17"/>
          <w:szCs w:val="17"/>
          <w:color w:val="auto"/>
        </w:rPr>
      </w:pPr>
    </w:p>
    <w:p>
      <w:pPr>
        <w:ind w:left="540" w:hanging="304"/>
        <w:spacing w:after="0"/>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level of indebtedness and the cash required to service our indebtedness;</w:t>
      </w:r>
    </w:p>
    <w:p>
      <w:pPr>
        <w:spacing w:after="0" w:line="21" w:lineRule="exact"/>
        <w:rPr>
          <w:rFonts w:ascii="Arial" w:cs="Arial" w:eastAsia="Arial" w:hAnsi="Arial"/>
          <w:sz w:val="17"/>
          <w:szCs w:val="17"/>
          <w:color w:val="auto"/>
        </w:rPr>
      </w:pPr>
    </w:p>
    <w:p>
      <w:pPr>
        <w:ind w:left="540" w:hanging="304"/>
        <w:spacing w:after="0" w:line="254" w:lineRule="auto"/>
        <w:tabs>
          <w:tab w:leader="none" w:pos="535"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federal income tax laws and regulations and the implementation and interpretation of these laws and regulations by the Internal Revenue Service;</w:t>
      </w:r>
    </w:p>
    <w:p>
      <w:pPr>
        <w:spacing w:after="0" w:line="1" w:lineRule="exact"/>
        <w:rPr>
          <w:rFonts w:ascii="Arial" w:cs="Arial" w:eastAsia="Arial" w:hAnsi="Arial"/>
          <w:sz w:val="17"/>
          <w:szCs w:val="17"/>
          <w:color w:val="auto"/>
        </w:rPr>
      </w:pPr>
    </w:p>
    <w:p>
      <w:pPr>
        <w:ind w:left="540" w:hanging="304"/>
        <w:spacing w:after="0"/>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effects of the application of other applicable laws and regulations, including changes in such regulations or the interpretation thereof;</w:t>
      </w:r>
    </w:p>
    <w:p>
      <w:pPr>
        <w:spacing w:after="0" w:line="21" w:lineRule="exact"/>
        <w:rPr>
          <w:rFonts w:ascii="Arial" w:cs="Arial" w:eastAsia="Arial" w:hAnsi="Arial"/>
          <w:sz w:val="17"/>
          <w:szCs w:val="17"/>
          <w:color w:val="auto"/>
        </w:rPr>
      </w:pPr>
    </w:p>
    <w:p>
      <w:pPr>
        <w:ind w:left="540" w:hanging="304"/>
        <w:spacing w:after="0" w:line="254" w:lineRule="auto"/>
        <w:tabs>
          <w:tab w:leader="none" w:pos="535"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potential impact of epidemics and pandemics, including the COVID-19 coronavirus, including new variants of COVID-19, such as the Delta variant, on customer preferences and on our business;</w:t>
      </w:r>
    </w:p>
    <w:p>
      <w:pPr>
        <w:spacing w:after="0" w:line="1" w:lineRule="exact"/>
        <w:rPr>
          <w:rFonts w:ascii="Arial" w:cs="Arial" w:eastAsia="Arial" w:hAnsi="Arial"/>
          <w:sz w:val="17"/>
          <w:szCs w:val="17"/>
          <w:color w:val="auto"/>
        </w:rPr>
      </w:pPr>
    </w:p>
    <w:p>
      <w:pPr>
        <w:ind w:left="540" w:hanging="304"/>
        <w:spacing w:after="0" w:line="261" w:lineRule="auto"/>
        <w:tabs>
          <w:tab w:leader="none" w:pos="535" w:val="left"/>
        </w:tabs>
        <w:numPr>
          <w:ilvl w:val="0"/>
          <w:numId w:val="25"/>
        </w:numPr>
        <w:rPr>
          <w:rFonts w:ascii="Arial" w:cs="Arial" w:eastAsia="Arial" w:hAnsi="Arial"/>
          <w:sz w:val="17"/>
          <w:szCs w:val="17"/>
          <w:color w:val="auto"/>
        </w:rPr>
      </w:pPr>
      <w:r>
        <w:rPr>
          <w:rFonts w:ascii="Arial" w:cs="Arial" w:eastAsia="Arial" w:hAnsi="Arial"/>
          <w:sz w:val="17"/>
          <w:szCs w:val="17"/>
          <w:color w:val="auto"/>
        </w:rPr>
        <w:t>government, social, business and other actions that have been and will be taken in response to pandemics, including potential responses to new variants of COVID-19, such as the Delta variant;</w:t>
      </w:r>
    </w:p>
    <w:p>
      <w:pPr>
        <w:ind w:left="540" w:hanging="304"/>
        <w:spacing w:after="0"/>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effects of litigation;</w:t>
      </w:r>
    </w:p>
    <w:p>
      <w:pPr>
        <w:spacing w:after="0" w:line="21" w:lineRule="exact"/>
        <w:rPr>
          <w:rFonts w:ascii="Arial" w:cs="Arial" w:eastAsia="Arial" w:hAnsi="Arial"/>
          <w:sz w:val="17"/>
          <w:szCs w:val="17"/>
          <w:color w:val="auto"/>
        </w:rPr>
      </w:pPr>
    </w:p>
    <w:p>
      <w:pPr>
        <w:ind w:left="540" w:hanging="304"/>
        <w:spacing w:after="0"/>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consolidation of the funeral and cemetery industry;</w:t>
      </w:r>
    </w:p>
    <w:p>
      <w:pPr>
        <w:spacing w:after="0" w:line="13" w:lineRule="exact"/>
        <w:rPr>
          <w:rFonts w:ascii="Arial" w:cs="Arial" w:eastAsia="Arial" w:hAnsi="Arial"/>
          <w:sz w:val="17"/>
          <w:szCs w:val="17"/>
          <w:color w:val="auto"/>
        </w:rPr>
      </w:pPr>
    </w:p>
    <w:p>
      <w:pPr>
        <w:ind w:left="540" w:hanging="304"/>
        <w:spacing w:after="0"/>
        <w:tabs>
          <w:tab w:leader="none" w:pos="5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our ability to consummate the divestiture of low performing businesses as currently expected, if at all, including expected use of proceeds related thereto;</w:t>
      </w:r>
    </w:p>
    <w:p>
      <w:pPr>
        <w:spacing w:after="0" w:line="46" w:lineRule="exact"/>
        <w:rPr>
          <w:rFonts w:ascii="Arial" w:cs="Arial" w:eastAsia="Arial" w:hAnsi="Arial"/>
          <w:sz w:val="15"/>
          <w:szCs w:val="15"/>
          <w:color w:val="auto"/>
        </w:rPr>
      </w:pPr>
    </w:p>
    <w:p>
      <w:pPr>
        <w:ind w:left="540" w:hanging="304"/>
        <w:spacing w:after="0" w:line="260" w:lineRule="auto"/>
        <w:tabs>
          <w:tab w:leader="none" w:pos="535"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identify and consummate strategic acquisitions, if at all, and successfully integrate acquired businesses with our existing businesses, including expected performance and financial improvements related thereto;</w:t>
      </w:r>
    </w:p>
    <w:p>
      <w:pPr>
        <w:ind w:left="540" w:hanging="304"/>
        <w:spacing w:after="0"/>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economic, financial and stock market fluctuations;</w:t>
      </w:r>
    </w:p>
    <w:p>
      <w:pPr>
        <w:spacing w:after="0" w:line="13" w:lineRule="exact"/>
        <w:rPr>
          <w:rFonts w:ascii="Arial" w:cs="Arial" w:eastAsia="Arial" w:hAnsi="Arial"/>
          <w:sz w:val="17"/>
          <w:szCs w:val="17"/>
          <w:color w:val="auto"/>
        </w:rPr>
      </w:pPr>
    </w:p>
    <w:p>
      <w:pPr>
        <w:ind w:left="540" w:hanging="304"/>
        <w:spacing w:after="0"/>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interruptions or security lapses of our information technology, including any cybersecurity or ransomware incidents;</w:t>
      </w:r>
    </w:p>
    <w:p>
      <w:pPr>
        <w:spacing w:after="0" w:line="200" w:lineRule="exact"/>
        <w:rPr>
          <w:rFonts w:ascii="Arial" w:cs="Arial" w:eastAsia="Arial" w:hAnsi="Arial"/>
          <w:sz w:val="17"/>
          <w:szCs w:val="17"/>
          <w:color w:val="auto"/>
        </w:rPr>
      </w:pPr>
    </w:p>
    <w:p>
      <w:pPr>
        <w:spacing w:after="0" w:line="353" w:lineRule="exact"/>
        <w:rPr>
          <w:rFonts w:ascii="Arial" w:cs="Arial" w:eastAsia="Arial" w:hAnsi="Arial"/>
          <w:sz w:val="17"/>
          <w:szCs w:val="17"/>
          <w:color w:val="auto"/>
        </w:rPr>
      </w:pPr>
    </w:p>
    <w:p>
      <w:pPr>
        <w:ind w:left="5540" w:hanging="102"/>
        <w:spacing w:after="0"/>
        <w:tabs>
          <w:tab w:leader="none" w:pos="5540" w:val="left"/>
        </w:tabs>
        <w:numPr>
          <w:ilvl w:val="1"/>
          <w:numId w:val="25"/>
        </w:numPr>
        <w:rPr>
          <w:rFonts w:ascii="Arial" w:cs="Arial" w:eastAsia="Arial" w:hAnsi="Arial"/>
          <w:sz w:val="17"/>
          <w:szCs w:val="17"/>
          <w:color w:val="auto"/>
        </w:rPr>
      </w:pPr>
      <w:r>
        <w:rPr>
          <w:rFonts w:ascii="Arial" w:cs="Arial" w:eastAsia="Arial" w:hAnsi="Arial"/>
          <w:sz w:val="17"/>
          <w:szCs w:val="17"/>
          <w:color w:val="auto"/>
        </w:rPr>
        <w:t>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3" w:right="339" w:bottom="1440" w:gutter="0" w:footer="0" w:header="0"/>
        </w:sectPr>
      </w:pPr>
    </w:p>
    <w:bookmarkStart w:id="38" w:name="page39"/>
    <w:bookmarkEnd w:id="38"/>
    <w:p>
      <w:pPr>
        <w:ind w:left="540" w:hanging="304"/>
        <w:spacing w:after="0"/>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failure to maintain effective control over financial reporting; and</w:t>
      </w:r>
    </w:p>
    <w:p>
      <w:pPr>
        <w:spacing w:after="0" w:line="23" w:lineRule="exact"/>
        <w:rPr>
          <w:rFonts w:ascii="Arial" w:cs="Arial" w:eastAsia="Arial" w:hAnsi="Arial"/>
          <w:sz w:val="17"/>
          <w:szCs w:val="17"/>
          <w:color w:val="auto"/>
        </w:rPr>
      </w:pPr>
    </w:p>
    <w:p>
      <w:pPr>
        <w:ind w:left="540" w:hanging="304"/>
        <w:spacing w:after="0"/>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other factors and uncertainties inherent in the funeral and cemetery industry.</w:t>
      </w:r>
    </w:p>
    <w:p>
      <w:pPr>
        <w:spacing w:after="0" w:line="114"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For additional information regarding known material factors that could cause our actual results to differ from our projected results, please see (i) Part II, Item 1A “Risk Factors” in this Quarterly Report on Form 10-Q and (ii) Part I, Item 1A “Risk Factors” in our Annual Report on Form 10-K for the year ended December 31, 2020.</w:t>
      </w:r>
    </w:p>
    <w:p>
      <w:pPr>
        <w:spacing w:after="0" w:line="73" w:lineRule="exact"/>
        <w:rPr>
          <w:sz w:val="20"/>
          <w:szCs w:val="20"/>
          <w:color w:val="auto"/>
        </w:rPr>
      </w:pPr>
    </w:p>
    <w:p>
      <w:pPr>
        <w:jc w:val="both"/>
        <w:ind w:firstLine="387"/>
        <w:spacing w:after="0" w:line="312" w:lineRule="auto"/>
        <w:rPr>
          <w:sz w:val="20"/>
          <w:szCs w:val="20"/>
          <w:color w:val="auto"/>
        </w:rPr>
      </w:pPr>
      <w:r>
        <w:rPr>
          <w:rFonts w:ascii="Arial" w:cs="Arial" w:eastAsia="Arial" w:hAnsi="Arial"/>
          <w:sz w:val="16"/>
          <w:szCs w:val="16"/>
          <w:color w:val="auto"/>
        </w:rPr>
        <w:t>Investors are cautioned not to place undue reliance on forward-looking statements, which speak only as of the date hereof. We undertake no obligation to publicly update or revise any forward-looking statements after the date they are made, whether as a result of new information, future events or otherwise.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39" w:name="page40"/>
    <w:bookmarkEnd w:id="39"/>
    <w:p>
      <w:pPr>
        <w:spacing w:after="0"/>
        <w:tabs>
          <w:tab w:leader="none" w:pos="92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p>
    <w:p>
      <w:pPr>
        <w:spacing w:after="0" w:line="114"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Carriage Services, Inc. (“Carriage,” the “Company,” “we,” “us,” or “our”) was incorporated in the State of Delaware in December 1993 and is a leading U.S. provider of funeral and cemetery services and merchandise. We operate in two business segments: Funeral Home Operations, which currently account for approximately 70% of our revenue, and Cemetery Operations, which currently account for approximately 30% of our revenue.</w:t>
      </w:r>
    </w:p>
    <w:p>
      <w:pPr>
        <w:spacing w:after="0" w:line="73"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At September 30, 2021, we operated 171 funeral homes in 26 states and 32 cemeteries in 12 states. We compete with other publicly held and independent operators of funeral and cemetery companies. We believe we are a market leader in most of our markets.</w:t>
      </w:r>
    </w:p>
    <w:p>
      <w:pPr>
        <w:spacing w:after="0" w:line="60"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color w:val="auto"/>
        </w:rPr>
        <w:t>Funeral home and cemetery businesses provide products and services to families in three principal areas: (i) ceremony and tribute, generally in the form of a funeral or memorial service; (ii) disposition of remains, either through burial or cremation; and (iii) memorialization, generally through monuments, markers or inscriptions. Our funeral homes offer a complete range of services to meet a family’s funeral needs, including consultation, the removal and preparation of remains, the sale of caskets and related funeral merchandise, the use of funeral home facilities for visitation and memorial services and transportation services. Most of our funeral homes have a non-denominational chapel on the premises, which permits family visitation and services to take place at one location and thereby reduces transportation costs and inconvenience to the family.</w:t>
      </w:r>
    </w:p>
    <w:p>
      <w:pPr>
        <w:spacing w:after="0" w:line="81" w:lineRule="exact"/>
        <w:rPr>
          <w:sz w:val="20"/>
          <w:szCs w:val="20"/>
          <w:color w:val="auto"/>
        </w:rPr>
      </w:pPr>
    </w:p>
    <w:p>
      <w:pPr>
        <w:jc w:val="both"/>
        <w:ind w:firstLine="387"/>
        <w:spacing w:after="0" w:line="312" w:lineRule="auto"/>
        <w:rPr>
          <w:sz w:val="20"/>
          <w:szCs w:val="20"/>
          <w:color w:val="auto"/>
        </w:rPr>
      </w:pPr>
      <w:r>
        <w:rPr>
          <w:rFonts w:ascii="Arial" w:cs="Arial" w:eastAsia="Arial" w:hAnsi="Arial"/>
          <w:sz w:val="16"/>
          <w:szCs w:val="16"/>
          <w:color w:val="auto"/>
        </w:rPr>
        <w:t>Our cemeteries provide interment rights (primarily grave sites, lawn crypts, mausoleum spaces and niches), related cemetery merchandise (such as outer burial containers, memorial markers and floral placements) and services (interments, inurnments and installation of cemetery merchandise).</w:t>
      </w:r>
    </w:p>
    <w:p>
      <w:pPr>
        <w:spacing w:after="0" w:line="3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provide funeral and cemetery services and products on both an “atneed” (time of death) and “preneed” (planned prior to death) basis.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Developments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Divestitures</w:t>
      </w:r>
    </w:p>
    <w:p>
      <w:pPr>
        <w:spacing w:after="0" w:line="114"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During the nine months ended September 30, 2021, we sold three funeral homes for $3.5 million and real property for $0.7 million, for a total net loss of $0.2 million.</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Business Impact under the Macroeconomic Environment of COVID-19</w:t>
      </w:r>
    </w:p>
    <w:p>
      <w:pPr>
        <w:spacing w:after="0" w:line="114"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On March 11, 2020, COVID-19 was deemed a global pandemic and since then, the Company has continued to proactively monitor and assess the pandemic’s current and potential impact to the Company’s operations. Beginning in early March 2020, the Company’s senior leadership team took certain steps to assist our businesses in appropriately adjusting and adapting to the conditions resulting from the COVID-19 pandemic.</w:t>
      </w:r>
    </w:p>
    <w:p>
      <w:pPr>
        <w:spacing w:after="0" w:line="73"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color w:val="auto"/>
        </w:rPr>
        <w:t>Our businesses remain open and ready to provide service to their communities in this time of need. While our businesses provide an essential public function, along with a critical responsibility to the communities and families they serve, the health and safety of our employees and the families we serve remain our top priority. The Company has taken additional steps during this time to continually review and update our processes and procedures to comply with all regulatory mandates and procure additional supplies to ensure that each of our businesses have appropriate personal protective equipment to provide these essential services. The Company has also implemented additional safety and precautionary measures as it concerns our businesses’ day-to-day interaction with the families and communities they serve.</w:t>
      </w:r>
    </w:p>
    <w:p>
      <w:pPr>
        <w:spacing w:after="0" w:line="81"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The overall impact of the macroeconomic environment to the deathcare industry from COVID-19 may provide varying results as compared to other industries. Our industry’s revenues are impacted by various factors, including the number of funeral services performed, the average price for a service and the mix of traditional burial versus cremation contracts. During the third quarter of 2021, changes in the macroeconomic environment as a result of the pandemic have, to this point, led to an increase in funeral volumes and the services we provide. Our businesses have remained focused on being innovative and resourceful, providing families immediate service as part of the grieving process.</w:t>
      </w:r>
    </w:p>
    <w:p>
      <w:pPr>
        <w:spacing w:after="0" w:line="77" w:lineRule="exact"/>
        <w:rPr>
          <w:sz w:val="20"/>
          <w:szCs w:val="20"/>
          <w:color w:val="auto"/>
        </w:rPr>
      </w:pPr>
    </w:p>
    <w:p>
      <w:pPr>
        <w:jc w:val="both"/>
        <w:ind w:firstLine="387"/>
        <w:spacing w:after="0" w:line="283" w:lineRule="auto"/>
        <w:rPr>
          <w:sz w:val="20"/>
          <w:szCs w:val="20"/>
          <w:color w:val="auto"/>
        </w:rPr>
      </w:pPr>
      <w:r>
        <w:rPr>
          <w:rFonts w:ascii="Arial" w:cs="Arial" w:eastAsia="Arial" w:hAnsi="Arial"/>
          <w:sz w:val="16"/>
          <w:szCs w:val="16"/>
          <w:color w:val="auto"/>
        </w:rPr>
        <w:t>Within our financial reporting environment, we have considered various areas that could affect the results of our operations, though the scope, severity and duration of these impacts remain uncertain at this time because the ultimate impact of COVID-19 remains uncertain, including the potential impacts of new variants of COVID-19, such as the Delta variant, and any resulting government responses to such variants. We do not believe we are vulnerable to certain concentrations, whether by geographic area, revenue for specific products or our relationships with our vendors. Our relationships with our vendors and</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40" w:name="page41"/>
    <w:bookmarkEnd w:id="40"/>
    <w:p>
      <w:pPr>
        <w:jc w:val="both"/>
        <w:spacing w:after="0" w:line="349" w:lineRule="auto"/>
        <w:rPr>
          <w:sz w:val="20"/>
          <w:szCs w:val="20"/>
          <w:color w:val="auto"/>
        </w:rPr>
      </w:pPr>
      <w:r>
        <w:rPr>
          <w:rFonts w:ascii="Arial" w:cs="Arial" w:eastAsia="Arial" w:hAnsi="Arial"/>
          <w:sz w:val="15"/>
          <w:szCs w:val="15"/>
          <w:color w:val="auto"/>
        </w:rPr>
        <w:t>suppliers have remained consistent and we continue to receive reliable service. Remote working arrangements, when utilized, have not materially affected our ability to maintain and support operations, including financial reporting systems, internal controls over financial reporting, and disclosure controls and procedures.</w:t>
      </w:r>
    </w:p>
    <w:p>
      <w:pPr>
        <w:spacing w:after="0" w:line="15"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We believe our access to capital, the cost of our capital, or the sources and uses of our cash should be relatively consistent in the near term. While the expected duration of the pandemic is unknown, we have not currently experienced any material negative impacts to our liquidity position, access to capital, or cash flows as a result of COVID-19. See Liquidity within Item 2, Management’s Discussion and Analysis of Financial Condition and Results of Operations, for additional information related to our liquidity position.</w:t>
      </w:r>
    </w:p>
    <w:p>
      <w:pPr>
        <w:spacing w:after="0" w:line="76"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We also applied certain measures of the CARES Act, which provided a cash benefit in the form of tax payment refunds, tax credits related to employee retention, cash deferral for the employer portion of the Social Security tax and minimal cash taxes for 2020. While we have taken advantage of certain tax relief provisions of the CARES Act, we do not believe it will have a significant impact on our short-term or long-term liquidity position. See Item 1, Financial Statements and Supplementary Data, Note 1 for additional information related to the CARES Act.</w:t>
      </w:r>
    </w:p>
    <w:p>
      <w:pPr>
        <w:spacing w:after="0" w:line="76" w:lineRule="exact"/>
        <w:rPr>
          <w:sz w:val="20"/>
          <w:szCs w:val="20"/>
          <w:color w:val="auto"/>
        </w:rPr>
      </w:pPr>
    </w:p>
    <w:p>
      <w:pPr>
        <w:jc w:val="both"/>
        <w:ind w:firstLine="387"/>
        <w:spacing w:after="0" w:line="283" w:lineRule="auto"/>
        <w:rPr>
          <w:sz w:val="20"/>
          <w:szCs w:val="20"/>
          <w:color w:val="auto"/>
        </w:rPr>
      </w:pPr>
      <w:r>
        <w:rPr>
          <w:rFonts w:ascii="Arial" w:cs="Arial" w:eastAsia="Arial" w:hAnsi="Arial"/>
          <w:sz w:val="16"/>
          <w:szCs w:val="16"/>
          <w:color w:val="auto"/>
        </w:rPr>
        <w:t>During the third quarter of 2021, we experienced a high growth rate in funeral home revenue due to elevated funeral volumes from broad market share gains and higher COVID-19 related deaths combined with incremental growth in the average revenue per funeral contract. We will continue to assess these impacts, including the potential impacts of new variants of COVID-19, such as the Delta variant, and implement appropriate procedures, plans, strategy, and issue any disclosures that may be required, as the situation surrounding the pandemic and related gathering restrictions, if any, evolves.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Funeral Home Operations</w:t>
      </w:r>
    </w:p>
    <w:p>
      <w:pPr>
        <w:spacing w:after="0" w:line="114"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color w:val="auto"/>
        </w:rPr>
        <w:t>Our funeral homes offer a complete range of high value personal services to meet a family’s funeral needs, including consultation, the removal and preparation of remains, the sale of caskets and related funeral merchandise, the use of funeral home facilities for visitation and remembrance services and transportation services. Factors affecting our funeral operating results include, but are not limited to: demographic trends relating to population growth and average age, which impact death rates and number of deaths; establishing and maintaining leading market share positions supported by strong local heritage and relationships; effectively responding to increasing cremation trends by selling complementary services and merchandise; controlling salary and merchandise costs; and exercising pricing leverage to increase average revenue per contract.</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Cemetery Operations</w:t>
      </w:r>
    </w:p>
    <w:p>
      <w:pPr>
        <w:spacing w:after="0" w:line="114"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Our cemeteries provide interment rights (grave sites and mausoleum spaces) and related merchandise, such as markers and outer burial containers both on an atneed and preneed basis. Factors affecting our cemetery operating results include, but are not limited to: the size and success of our sales organization; local perceptions and heritage of our cemeteries; our ability to adapt to changes in the economy and consumer confidence; and our response to fluctuations in capital markets and interest rates, which affect investment earnings on trust funds, finance charges on installment contracts and our securities portfolio within the trust funds.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Strategy</w:t>
      </w:r>
    </w:p>
    <w:p>
      <w:pPr>
        <w:spacing w:after="0" w:line="114"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6"/>
          <w:szCs w:val="16"/>
          <w:color w:val="auto"/>
        </w:rPr>
        <w:t>Our business strategy is based on strong, local leadership with entrepreneurial principles that is focused on sustainable long term market share, revenue, and profitability growth in each local business. We believe Carriage has the most innovative operating model in the funeral and cemetery industry, which we are able to achieve through a decentralized, high-performance culture operating framework linked with incentive compensation programs that attract top quality industry talent to our organization. We also believe that Carriage provides a unique consolidation and operating framework that offers a highly attractive succession planning solution for independent owners who want their legacy family business to remain operationally prosperous in their local communities.</w:t>
      </w:r>
    </w:p>
    <w:p>
      <w:pPr>
        <w:spacing w:after="0" w:line="57" w:lineRule="exact"/>
        <w:rPr>
          <w:sz w:val="20"/>
          <w:szCs w:val="20"/>
          <w:color w:val="auto"/>
        </w:rPr>
      </w:pPr>
    </w:p>
    <w:p>
      <w:pPr>
        <w:jc w:val="both"/>
        <w:ind w:firstLine="387"/>
        <w:spacing w:after="0" w:line="287"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b w:val="1"/>
          <w:bCs w:val="1"/>
          <w:color w:val="auto"/>
        </w:rPr>
        <w:t>Mission Statement</w:t>
      </w:r>
      <w:r>
        <w:rPr>
          <w:rFonts w:ascii="Arial" w:cs="Arial" w:eastAsia="Arial" w:hAnsi="Arial"/>
          <w:sz w:val="17"/>
          <w:szCs w:val="17"/>
          <w:color w:val="auto"/>
        </w:rPr>
        <w:t xml:space="preserve"> states that “we are committed to being the most professional, ethical and highest quality funeral and cemetery service organization in our industry” and our </w:t>
      </w:r>
      <w:r>
        <w:rPr>
          <w:rFonts w:ascii="Arial" w:cs="Arial" w:eastAsia="Arial" w:hAnsi="Arial"/>
          <w:sz w:val="17"/>
          <w:szCs w:val="17"/>
          <w:b w:val="1"/>
          <w:bCs w:val="1"/>
          <w:color w:val="auto"/>
        </w:rPr>
        <w:t>Guiding Principles</w:t>
      </w:r>
      <w:r>
        <w:rPr>
          <w:rFonts w:ascii="Arial" w:cs="Arial" w:eastAsia="Arial" w:hAnsi="Arial"/>
          <w:sz w:val="17"/>
          <w:szCs w:val="17"/>
          <w:color w:val="auto"/>
        </w:rPr>
        <w:t xml:space="preserve"> state our core values, which are comprised of:</w:t>
      </w:r>
    </w:p>
    <w:p>
      <w:pPr>
        <w:spacing w:after="0" w:line="3" w:lineRule="exact"/>
        <w:rPr>
          <w:sz w:val="20"/>
          <w:szCs w:val="20"/>
          <w:color w:val="auto"/>
        </w:rPr>
      </w:pPr>
    </w:p>
    <w:p>
      <w:pPr>
        <w:ind w:left="1160" w:hanging="615"/>
        <w:spacing w:after="0"/>
        <w:tabs>
          <w:tab w:leader="none" w:pos="11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Honesty, integrity and quality in all that we do;</w:t>
      </w:r>
    </w:p>
    <w:p>
      <w:pPr>
        <w:spacing w:after="0" w:line="62" w:lineRule="exact"/>
        <w:rPr>
          <w:rFonts w:ascii="Arial" w:cs="Arial" w:eastAsia="Arial" w:hAnsi="Arial"/>
          <w:sz w:val="17"/>
          <w:szCs w:val="17"/>
          <w:color w:val="auto"/>
        </w:rPr>
      </w:pPr>
    </w:p>
    <w:p>
      <w:pPr>
        <w:ind w:left="1160" w:hanging="615"/>
        <w:spacing w:after="0"/>
        <w:tabs>
          <w:tab w:leader="none" w:pos="11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Hard work, pride of accomplishment, and shared success through employee ownership;</w:t>
      </w:r>
    </w:p>
    <w:p>
      <w:pPr>
        <w:spacing w:after="0" w:line="62" w:lineRule="exact"/>
        <w:rPr>
          <w:rFonts w:ascii="Arial" w:cs="Arial" w:eastAsia="Arial" w:hAnsi="Arial"/>
          <w:sz w:val="17"/>
          <w:szCs w:val="17"/>
          <w:color w:val="auto"/>
        </w:rPr>
      </w:pPr>
    </w:p>
    <w:p>
      <w:pPr>
        <w:ind w:left="1160" w:hanging="615"/>
        <w:spacing w:after="0"/>
        <w:tabs>
          <w:tab w:leader="none" w:pos="11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Belief in the power of people through individual initiative and teamwork;</w:t>
      </w:r>
    </w:p>
    <w:p>
      <w:pPr>
        <w:spacing w:after="0" w:line="62" w:lineRule="exact"/>
        <w:rPr>
          <w:rFonts w:ascii="Arial" w:cs="Arial" w:eastAsia="Arial" w:hAnsi="Arial"/>
          <w:sz w:val="17"/>
          <w:szCs w:val="17"/>
          <w:color w:val="auto"/>
        </w:rPr>
      </w:pPr>
    </w:p>
    <w:p>
      <w:pPr>
        <w:ind w:left="1160" w:hanging="615"/>
        <w:spacing w:after="0"/>
        <w:tabs>
          <w:tab w:leader="none" w:pos="11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Outstanding service and profitability to hand-in-hand; and</w:t>
      </w:r>
    </w:p>
    <w:p>
      <w:pPr>
        <w:spacing w:after="0" w:line="62" w:lineRule="exact"/>
        <w:rPr>
          <w:rFonts w:ascii="Arial" w:cs="Arial" w:eastAsia="Arial" w:hAnsi="Arial"/>
          <w:sz w:val="17"/>
          <w:szCs w:val="17"/>
          <w:color w:val="auto"/>
        </w:rPr>
      </w:pPr>
    </w:p>
    <w:p>
      <w:pPr>
        <w:ind w:left="1160" w:hanging="615"/>
        <w:spacing w:after="0"/>
        <w:tabs>
          <w:tab w:leader="none" w:pos="11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Growth of the company is driven by decentralization and partnership.</w:t>
      </w:r>
    </w:p>
    <w:p>
      <w:pPr>
        <w:spacing w:after="0" w:line="108" w:lineRule="exact"/>
        <w:rPr>
          <w:sz w:val="20"/>
          <w:szCs w:val="20"/>
          <w:color w:val="auto"/>
        </w:rPr>
      </w:pPr>
    </w:p>
    <w:p>
      <w:pPr>
        <w:ind w:firstLine="387"/>
        <w:spacing w:after="0" w:line="287" w:lineRule="auto"/>
        <w:rPr>
          <w:sz w:val="20"/>
          <w:szCs w:val="20"/>
          <w:color w:val="auto"/>
        </w:rPr>
      </w:pPr>
      <w:r>
        <w:rPr>
          <w:rFonts w:ascii="Arial" w:cs="Arial" w:eastAsia="Arial" w:hAnsi="Arial"/>
          <w:sz w:val="17"/>
          <w:szCs w:val="17"/>
          <w:color w:val="auto"/>
        </w:rPr>
        <w:t xml:space="preserve">Our five </w:t>
      </w:r>
      <w:r>
        <w:rPr>
          <w:rFonts w:ascii="Arial" w:cs="Arial" w:eastAsia="Arial" w:hAnsi="Arial"/>
          <w:sz w:val="17"/>
          <w:szCs w:val="17"/>
          <w:b w:val="1"/>
          <w:bCs w:val="1"/>
          <w:color w:val="auto"/>
        </w:rPr>
        <w:t>Guiding Principles</w:t>
      </w:r>
      <w:r>
        <w:rPr>
          <w:rFonts w:ascii="Arial" w:cs="Arial" w:eastAsia="Arial" w:hAnsi="Arial"/>
          <w:sz w:val="17"/>
          <w:szCs w:val="17"/>
          <w:color w:val="auto"/>
        </w:rPr>
        <w:t xml:space="preserve"> collectively embody our </w:t>
      </w:r>
      <w:r>
        <w:rPr>
          <w:rFonts w:ascii="Arial" w:cs="Arial" w:eastAsia="Arial" w:hAnsi="Arial"/>
          <w:sz w:val="17"/>
          <w:szCs w:val="17"/>
          <w:b w:val="1"/>
          <w:bCs w:val="1"/>
          <w:color w:val="auto"/>
        </w:rPr>
        <w:t>Being The Best</w:t>
      </w:r>
      <w:r>
        <w:rPr>
          <w:rFonts w:ascii="Arial" w:cs="Arial" w:eastAsia="Arial" w:hAnsi="Arial"/>
          <w:sz w:val="17"/>
          <w:szCs w:val="17"/>
          <w:color w:val="auto"/>
        </w:rPr>
        <w:t xml:space="preserve"> high-performance culture and operating framework. Our operations and business strategy are built upon the execution of the following three models:</w:t>
      </w:r>
    </w:p>
    <w:p>
      <w:pPr>
        <w:spacing w:after="0" w:line="3" w:lineRule="exact"/>
        <w:rPr>
          <w:sz w:val="20"/>
          <w:szCs w:val="20"/>
          <w:color w:val="auto"/>
        </w:rPr>
      </w:pPr>
    </w:p>
    <w:p>
      <w:pPr>
        <w:ind w:left="1160" w:hanging="615"/>
        <w:spacing w:after="0"/>
        <w:tabs>
          <w:tab w:leader="none" w:pos="11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Standards Operating Model;</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41" w:name="page42"/>
    <w:bookmarkEnd w:id="41"/>
    <w:p>
      <w:pPr>
        <w:ind w:left="1160" w:hanging="615"/>
        <w:spacing w:after="0"/>
        <w:tabs>
          <w:tab w:leader="none" w:pos="11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4E Leadership Model; and</w:t>
      </w:r>
    </w:p>
    <w:p>
      <w:pPr>
        <w:spacing w:after="0" w:line="62" w:lineRule="exact"/>
        <w:rPr>
          <w:rFonts w:ascii="Arial" w:cs="Arial" w:eastAsia="Arial" w:hAnsi="Arial"/>
          <w:sz w:val="17"/>
          <w:szCs w:val="17"/>
          <w:color w:val="auto"/>
        </w:rPr>
      </w:pPr>
    </w:p>
    <w:p>
      <w:pPr>
        <w:ind w:left="1160" w:hanging="615"/>
        <w:spacing w:after="0"/>
        <w:tabs>
          <w:tab w:leader="none" w:pos="11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Strategic Acquisition Model.</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Standards Operating Model</w:t>
      </w:r>
    </w:p>
    <w:p>
      <w:pPr>
        <w:spacing w:after="0" w:line="114"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color w:val="auto"/>
        </w:rPr>
        <w:t>Our Standards Operating Model is focused on growing local market share, providing personalized high value services to our client families and guests, and operating financial metrics that drive long-term, sustainable revenue growth and improved earning power of our portfolio of businesses by employing leadership and entrepreneurial principles that fit the nature of our high-value personal service business. Standards Achievement is the measure by which we judge the success of each business and incentivize our local managers and their teams. Our Standards Operating Model is not designed to produce maximum short-term earnings because we believe such performance is unsustainable and will ultimately stress the business, which very often leads to declining market share, revenue and earnings.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4E Leadership Model</w:t>
      </w:r>
    </w:p>
    <w:p>
      <w:pPr>
        <w:spacing w:after="0" w:line="114"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color w:val="auto"/>
        </w:rPr>
        <w:t xml:space="preserve">Our 4E Leadership Model requires strong local leadership in each business to grow an entrepreneurial, decentralized, high-value, personal service and sales business at sustainable profit margins. Our 4E Leadership Model is based upon principles established by Jack Welch during his tenure at General Electric, and is based upon 4E qualities essential to succeed in a high performance culture: </w:t>
      </w:r>
      <w:r>
        <w:rPr>
          <w:rFonts w:ascii="Arial" w:cs="Arial" w:eastAsia="Arial" w:hAnsi="Arial"/>
          <w:sz w:val="17"/>
          <w:szCs w:val="17"/>
          <w:i w:val="1"/>
          <w:iCs w:val="1"/>
          <w:color w:val="auto"/>
        </w:rPr>
        <w:t>Energy</w:t>
      </w:r>
      <w:r>
        <w:rPr>
          <w:rFonts w:ascii="Arial" w:cs="Arial" w:eastAsia="Arial" w:hAnsi="Arial"/>
          <w:sz w:val="17"/>
          <w:szCs w:val="17"/>
          <w:color w:val="auto"/>
        </w:rPr>
        <w:t xml:space="preserve"> to get the job done; the ability to </w:t>
      </w:r>
      <w:r>
        <w:rPr>
          <w:rFonts w:ascii="Arial" w:cs="Arial" w:eastAsia="Arial" w:hAnsi="Arial"/>
          <w:sz w:val="17"/>
          <w:szCs w:val="17"/>
          <w:i w:val="1"/>
          <w:iCs w:val="1"/>
          <w:color w:val="auto"/>
        </w:rPr>
        <w:t>Energiz</w:t>
      </w:r>
      <w:r>
        <w:rPr>
          <w:rFonts w:ascii="Arial" w:cs="Arial" w:eastAsia="Arial" w:hAnsi="Arial"/>
          <w:sz w:val="17"/>
          <w:szCs w:val="17"/>
          <w:color w:val="auto"/>
        </w:rPr>
        <w:t xml:space="preserve">e others; the </w:t>
      </w:r>
      <w:r>
        <w:rPr>
          <w:rFonts w:ascii="Arial" w:cs="Arial" w:eastAsia="Arial" w:hAnsi="Arial"/>
          <w:sz w:val="17"/>
          <w:szCs w:val="17"/>
          <w:i w:val="1"/>
          <w:iCs w:val="1"/>
          <w:color w:val="auto"/>
        </w:rPr>
        <w:t>Edge</w:t>
      </w:r>
      <w:r>
        <w:rPr>
          <w:rFonts w:ascii="Arial" w:cs="Arial" w:eastAsia="Arial" w:hAnsi="Arial"/>
          <w:sz w:val="17"/>
          <w:szCs w:val="17"/>
          <w:color w:val="auto"/>
        </w:rPr>
        <w:t xml:space="preserve"> necessary to make difficult decisions; and the ability to </w:t>
      </w:r>
      <w:r>
        <w:rPr>
          <w:rFonts w:ascii="Arial" w:cs="Arial" w:eastAsia="Arial" w:hAnsi="Arial"/>
          <w:sz w:val="17"/>
          <w:szCs w:val="17"/>
          <w:i w:val="1"/>
          <w:iCs w:val="1"/>
          <w:color w:val="auto"/>
        </w:rPr>
        <w:t>Execute</w:t>
      </w:r>
      <w:r>
        <w:rPr>
          <w:rFonts w:ascii="Arial" w:cs="Arial" w:eastAsia="Arial" w:hAnsi="Arial"/>
          <w:sz w:val="17"/>
          <w:szCs w:val="17"/>
          <w:color w:val="auto"/>
        </w:rPr>
        <w:t xml:space="preserve"> and produce results. To achieve a high level within our Standards in a business year after year, we require local Managing Partners that have the 4E Leadership skills to entrepreneurially grow the business by hiring, training and developing highly motivated and productive local teams.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Strategic Acquisition Model</w:t>
      </w:r>
    </w:p>
    <w:p>
      <w:pPr>
        <w:spacing w:after="0" w:line="114"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Our Standards Operating Model led to the development of our Strategic Acquisition Model, which guides our acquisition strategy. We believe that both models, when executed effectively, will drive long-term, sustainable increases in market share, revenue, earnings and cash flow. We believe a primary driver of higher revenue and profits in the future will be the execution of our Strategic Acquisition Model using strategic criteria to assess acquisition candidates. As we execute this strategy over time, we expect to acquire larger, higher margin strategic businesses.</w:t>
      </w:r>
    </w:p>
    <w:p>
      <w:pPr>
        <w:spacing w:after="0" w:line="76" w:lineRule="exact"/>
        <w:rPr>
          <w:sz w:val="20"/>
          <w:szCs w:val="20"/>
          <w:color w:val="auto"/>
        </w:rPr>
      </w:pPr>
    </w:p>
    <w:p>
      <w:pPr>
        <w:jc w:val="both"/>
        <w:ind w:firstLine="387"/>
        <w:spacing w:after="0" w:line="302" w:lineRule="auto"/>
        <w:rPr>
          <w:sz w:val="20"/>
          <w:szCs w:val="20"/>
          <w:color w:val="auto"/>
        </w:rPr>
      </w:pPr>
      <w:r>
        <w:rPr>
          <w:rFonts w:ascii="Arial" w:cs="Arial" w:eastAsia="Arial" w:hAnsi="Arial"/>
          <w:sz w:val="15"/>
          <w:szCs w:val="15"/>
          <w:color w:val="auto"/>
        </w:rPr>
        <w:t>We have learned that the long-term growth or decline of a local branded funeral and cemetery business is reflected by several criteria that correlate strongly with five to ten year performance in volumes (market share), revenue and sustainable field-level earnings before interest, taxes, depreciation and amortization (“EBITDA”) margins (a non-GAAP measure). We use criteria such as cultural alignment, volume and price trends, size of business, size of market, competitive standing, demographics, strength of brand and barriers to entry to evaluate the strategic position of potential acquisition candidates. Our financial valuation of the acquisition candidate is then determined through the application of an appropriate after-tax cash return on investment that exceeds our cost of capital.</w:t>
      </w:r>
    </w:p>
    <w:p>
      <w:pPr>
        <w:spacing w:after="0" w:line="45" w:lineRule="exact"/>
        <w:rPr>
          <w:sz w:val="20"/>
          <w:szCs w:val="20"/>
          <w:color w:val="auto"/>
        </w:rPr>
      </w:pPr>
    </w:p>
    <w:p>
      <w:pPr>
        <w:jc w:val="both"/>
        <w:ind w:firstLine="387"/>
        <w:spacing w:after="0" w:line="264" w:lineRule="auto"/>
        <w:rPr>
          <w:sz w:val="20"/>
          <w:szCs w:val="20"/>
          <w:color w:val="auto"/>
        </w:rPr>
      </w:pPr>
      <w:r>
        <w:rPr>
          <w:rFonts w:ascii="Arial" w:cs="Arial" w:eastAsia="Arial" w:hAnsi="Arial"/>
          <w:sz w:val="17"/>
          <w:szCs w:val="17"/>
          <w:color w:val="auto"/>
        </w:rPr>
        <w:t xml:space="preserve">Our belief in our </w:t>
      </w:r>
      <w:r>
        <w:rPr>
          <w:rFonts w:ascii="Arial" w:cs="Arial" w:eastAsia="Arial" w:hAnsi="Arial"/>
          <w:sz w:val="17"/>
          <w:szCs w:val="17"/>
          <w:b w:val="1"/>
          <w:bCs w:val="1"/>
          <w:color w:val="auto"/>
        </w:rPr>
        <w:t>Mission Statement</w:t>
      </w:r>
      <w:r>
        <w:rPr>
          <w:rFonts w:ascii="Arial" w:cs="Arial" w:eastAsia="Arial" w:hAnsi="Arial"/>
          <w:sz w:val="17"/>
          <w:szCs w:val="17"/>
          <w:color w:val="auto"/>
        </w:rPr>
        <w:t xml:space="preserve"> and </w:t>
      </w:r>
      <w:r>
        <w:rPr>
          <w:rFonts w:ascii="Arial" w:cs="Arial" w:eastAsia="Arial" w:hAnsi="Arial"/>
          <w:sz w:val="17"/>
          <w:szCs w:val="17"/>
          <w:b w:val="1"/>
          <w:bCs w:val="1"/>
          <w:color w:val="auto"/>
        </w:rPr>
        <w:t>Guiding Principles</w:t>
      </w:r>
      <w:r>
        <w:rPr>
          <w:rFonts w:ascii="Arial" w:cs="Arial" w:eastAsia="Arial" w:hAnsi="Arial"/>
          <w:sz w:val="17"/>
          <w:szCs w:val="17"/>
          <w:color w:val="auto"/>
        </w:rPr>
        <w:t xml:space="preserve"> and proper execution of the three models that define our strategy have given us a competitive advantage in every market where we compete. We believe that we can execute our three models without proportionate incremental investment in our consolidation platform infrastructure and without additional fixed regional and corporate overhead. This gives us a competitive advantage that is evidenced by the sustained earning power of our portfolio as defined by our EBITDA margin.</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Overview</w:t>
      </w:r>
    </w:p>
    <w:p>
      <w:pPr>
        <w:spacing w:after="0" w:line="114"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Our primary sources of liquidity and capital resources are internally generated cash flows from operating activities and availability under our New Credit Facility.</w:t>
      </w:r>
    </w:p>
    <w:p>
      <w:pPr>
        <w:spacing w:after="0" w:line="60" w:lineRule="exact"/>
        <w:rPr>
          <w:sz w:val="20"/>
          <w:szCs w:val="20"/>
          <w:color w:val="auto"/>
        </w:rPr>
      </w:pPr>
    </w:p>
    <w:p>
      <w:pPr>
        <w:jc w:val="both"/>
        <w:ind w:firstLine="387"/>
        <w:spacing w:after="0" w:line="297" w:lineRule="auto"/>
        <w:rPr>
          <w:sz w:val="20"/>
          <w:szCs w:val="20"/>
          <w:color w:val="auto"/>
        </w:rPr>
      </w:pPr>
      <w:r>
        <w:rPr>
          <w:rFonts w:ascii="Arial" w:cs="Arial" w:eastAsia="Arial" w:hAnsi="Arial"/>
          <w:sz w:val="15"/>
          <w:szCs w:val="15"/>
          <w:color w:val="auto"/>
        </w:rPr>
        <w:t>We generate cash in our operations primarily from atneed sales and delivery of preneed sales. We also generate cash from earnings on our cemetery perpetual care trusts. Based on our recent operating results, current cash position and anticipated future cash flows, we do not anticipate any significant liquidity constraints in the foreseeable future. We have the ability to draw on our New Credit Facility, subject to its customary terms and conditions. However, if our capital expenditures or acquisition plans change, we may need to access the capital markets to obtain additional funding. Further, to the extent operating cash flow or access to and cost of financing sources are materially different than expected, future liquidity may be adversely affected. For additional information regarding known material factors that could cause cash flow or access to and cost of finance sources to differ from our expectations, please read Part I, Item 1A “Risk Factors” in our Annual Report on Form 10-K for the year ended December 31, 2020 and Part II, Item 1A “Risk Factors” in this Quarterly Report on Form 10-Q.</w:t>
      </w:r>
    </w:p>
    <w:p>
      <w:pPr>
        <w:spacing w:after="0" w:line="55" w:lineRule="exact"/>
        <w:rPr>
          <w:sz w:val="20"/>
          <w:szCs w:val="20"/>
          <w:color w:val="auto"/>
        </w:rPr>
      </w:pPr>
    </w:p>
    <w:p>
      <w:pPr>
        <w:jc w:val="both"/>
        <w:ind w:firstLine="387"/>
        <w:spacing w:after="0" w:line="276" w:lineRule="auto"/>
        <w:rPr>
          <w:sz w:val="20"/>
          <w:szCs w:val="20"/>
          <w:color w:val="auto"/>
        </w:rPr>
      </w:pPr>
      <w:r>
        <w:rPr>
          <w:rFonts w:ascii="Arial" w:cs="Arial" w:eastAsia="Arial" w:hAnsi="Arial"/>
          <w:sz w:val="16"/>
          <w:szCs w:val="16"/>
          <w:color w:val="auto"/>
        </w:rPr>
        <w:t>Our plan is to remain focused on integrating our newly acquired businesses and to use cash on hand and borrowings under our New Credit Facility primarily for general corporate purposes, payment of dividends and debt obligations, strategic acquisitions, internal growth capital expenditures, share repurchases, dividend increases and further debt repayments. We also expect continued divestiture activity for the next six months, which could yield approximately $3-4 million of cash from the proceeds of the sale. From time to time we may also use available cash resources (including borrowings under our New Credit Facility) to repurchase shares of our common stock, subject to satisfying certain financial covenants in our New Credit Facility and in the Indenture governing our New Senior Notes. We believe that our existing and anticipated cash resources will be sufficient to meet our anticipated working capital requirements, capital expenditures, scheduled debt payments, commitments and dividends for the next 12 months.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w:t>
      </w:r>
    </w:p>
    <w:p>
      <w:pPr>
        <w:spacing w:after="0" w:line="114"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We began 2021 with $0.9 million in cash and ended the third quarter with $1.1 million in cash. At September 30, 2021, we had borrowings of $86.9 million outstanding on our Credit Facility compared to $47.2 million at December 31, 2020.</w:t>
      </w:r>
    </w:p>
    <w:p>
      <w:pPr>
        <w:spacing w:after="0" w:line="6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sets forth the elements of cash flow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5"/>
                <w:szCs w:val="15"/>
                <w:b w:val="1"/>
                <w:bCs w:val="1"/>
                <w:color w:val="auto"/>
                <w:w w:val="97"/>
              </w:rPr>
              <w:t>Nine months ended September 30,</w:t>
            </w:r>
          </w:p>
        </w:tc>
      </w:tr>
      <w:tr>
        <w:trPr>
          <w:trHeight w:val="200"/>
        </w:trPr>
        <w:tc>
          <w:tcPr>
            <w:tcW w:w="80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4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r>
      <w:tr>
        <w:trPr>
          <w:trHeight w:val="215"/>
        </w:trPr>
        <w:tc>
          <w:tcPr>
            <w:tcW w:w="8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at beginning of year</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716</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889</w:t>
            </w:r>
          </w:p>
        </w:tc>
      </w:tr>
      <w:tr>
        <w:trPr>
          <w:trHeight w:val="142"/>
        </w:trPr>
        <w:tc>
          <w:tcPr>
            <w:tcW w:w="8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19"/>
        </w:trPr>
        <w:tc>
          <w:tcPr>
            <w:tcW w:w="8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67,822</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69,699</w:t>
            </w:r>
          </w:p>
        </w:tc>
      </w:tr>
      <w:tr>
        <w:trPr>
          <w:trHeight w:val="142"/>
        </w:trPr>
        <w:tc>
          <w:tcPr>
            <w:tcW w:w="8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19"/>
        </w:trPr>
        <w:tc>
          <w:tcPr>
            <w:tcW w:w="8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Acquisitions of businesses and real estate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(28,011)</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(3,285)</w:t>
            </w:r>
          </w:p>
        </w:tc>
      </w:tr>
      <w:tr>
        <w:trPr>
          <w:trHeight w:val="219"/>
        </w:trPr>
        <w:tc>
          <w:tcPr>
            <w:tcW w:w="8080" w:type="dxa"/>
            <w:vAlign w:val="bottom"/>
          </w:tcPr>
          <w:p>
            <w:pPr>
              <w:ind w:left="20"/>
              <w:spacing w:after="0"/>
              <w:rPr>
                <w:sz w:val="20"/>
                <w:szCs w:val="20"/>
                <w:color w:val="auto"/>
              </w:rPr>
            </w:pPr>
            <w:r>
              <w:rPr>
                <w:rFonts w:ascii="Arial" w:cs="Arial" w:eastAsia="Arial" w:hAnsi="Arial"/>
                <w:sz w:val="17"/>
                <w:szCs w:val="17"/>
                <w:color w:val="auto"/>
              </w:rPr>
              <w:t>Proceeds from divestitures and sale of other assets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7,416</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4,375</w:t>
            </w:r>
          </w:p>
        </w:tc>
      </w:tr>
      <w:tr>
        <w:trPr>
          <w:trHeight w:val="220"/>
        </w:trPr>
        <w:tc>
          <w:tcPr>
            <w:tcW w:w="8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from insurance reimbursements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2,946</w:t>
            </w:r>
          </w:p>
        </w:tc>
      </w:tr>
      <w:tr>
        <w:trPr>
          <w:trHeight w:val="219"/>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Capital expenditures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(10,034)</w:t>
            </w:r>
          </w:p>
        </w:tc>
        <w:tc>
          <w:tcPr>
            <w:tcW w:w="2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(15,252)</w:t>
            </w:r>
          </w:p>
        </w:tc>
      </w:tr>
      <w:tr>
        <w:trPr>
          <w:trHeight w:val="213"/>
        </w:trPr>
        <w:tc>
          <w:tcPr>
            <w:tcW w:w="8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investing activities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(30,532)</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(11,216)</w:t>
            </w:r>
          </w:p>
        </w:tc>
      </w:tr>
      <w:tr>
        <w:trPr>
          <w:trHeight w:val="142"/>
        </w:trPr>
        <w:tc>
          <w:tcPr>
            <w:tcW w:w="8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19"/>
        </w:trPr>
        <w:tc>
          <w:tcPr>
            <w:tcW w:w="8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borrowings on our Credit Facility, acquisition debt and finance lease obligations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(28,860)</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39,042</w:t>
            </w:r>
          </w:p>
        </w:tc>
      </w:tr>
      <w:tr>
        <w:trPr>
          <w:trHeight w:val="219"/>
        </w:trPr>
        <w:tc>
          <w:tcPr>
            <w:tcW w:w="8080" w:type="dxa"/>
            <w:vAlign w:val="bottom"/>
          </w:tcPr>
          <w:p>
            <w:pPr>
              <w:ind w:left="20"/>
              <w:spacing w:after="0"/>
              <w:rPr>
                <w:sz w:val="20"/>
                <w:szCs w:val="20"/>
                <w:color w:val="auto"/>
              </w:rPr>
            </w:pPr>
            <w:r>
              <w:rPr>
                <w:rFonts w:ascii="Arial" w:cs="Arial" w:eastAsia="Arial" w:hAnsi="Arial"/>
                <w:sz w:val="17"/>
                <w:szCs w:val="17"/>
                <w:color w:val="auto"/>
              </w:rPr>
              <w:t>Payment of call premium related to the Original Senior Notes</w:t>
            </w:r>
          </w:p>
        </w:tc>
        <w:tc>
          <w:tcPr>
            <w:tcW w:w="28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(19,876)</w:t>
            </w:r>
          </w:p>
        </w:tc>
      </w:tr>
      <w:tr>
        <w:trPr>
          <w:trHeight w:val="220"/>
        </w:trPr>
        <w:tc>
          <w:tcPr>
            <w:tcW w:w="8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Payment of debt issuance and transaction costs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(6,554)</w:t>
            </w:r>
          </w:p>
        </w:tc>
      </w:tr>
      <w:tr>
        <w:trPr>
          <w:trHeight w:val="219"/>
        </w:trPr>
        <w:tc>
          <w:tcPr>
            <w:tcW w:w="8080" w:type="dxa"/>
            <w:vAlign w:val="bottom"/>
          </w:tcPr>
          <w:p>
            <w:pPr>
              <w:ind w:left="20"/>
              <w:spacing w:after="0"/>
              <w:rPr>
                <w:sz w:val="20"/>
                <w:szCs w:val="20"/>
                <w:color w:val="auto"/>
              </w:rPr>
            </w:pPr>
            <w:r>
              <w:rPr>
                <w:rFonts w:ascii="Arial" w:cs="Arial" w:eastAsia="Arial" w:hAnsi="Arial"/>
                <w:sz w:val="17"/>
                <w:szCs w:val="17"/>
                <w:color w:val="auto"/>
              </w:rPr>
              <w:t>Conversions and maturity of the Convertibles Notes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(4,563)</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(3,980)</w:t>
            </w:r>
          </w:p>
        </w:tc>
      </w:tr>
      <w:tr>
        <w:trPr>
          <w:trHeight w:val="220"/>
        </w:trPr>
        <w:tc>
          <w:tcPr>
            <w:tcW w:w="8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proceeds related to employee equity plans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674</w:t>
            </w:r>
          </w:p>
        </w:tc>
      </w:tr>
      <w:tr>
        <w:trPr>
          <w:trHeight w:val="219"/>
        </w:trPr>
        <w:tc>
          <w:tcPr>
            <w:tcW w:w="8080" w:type="dxa"/>
            <w:vAlign w:val="bottom"/>
          </w:tcPr>
          <w:p>
            <w:pPr>
              <w:ind w:left="20"/>
              <w:spacing w:after="0"/>
              <w:rPr>
                <w:sz w:val="20"/>
                <w:szCs w:val="20"/>
                <w:color w:val="auto"/>
              </w:rPr>
            </w:pPr>
            <w:r>
              <w:rPr>
                <w:rFonts w:ascii="Arial" w:cs="Arial" w:eastAsia="Arial" w:hAnsi="Arial"/>
                <w:sz w:val="17"/>
                <w:szCs w:val="17"/>
                <w:color w:val="auto"/>
              </w:rPr>
              <w:t>Dividends paid on common stock</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(4,251)</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(5,390)</w:t>
            </w:r>
          </w:p>
        </w:tc>
      </w:tr>
      <w:tr>
        <w:trPr>
          <w:trHeight w:val="220"/>
        </w:trPr>
        <w:tc>
          <w:tcPr>
            <w:tcW w:w="8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 of treasury stock</w:t>
            </w:r>
          </w:p>
        </w:tc>
        <w:tc>
          <w:tcPr>
            <w:tcW w:w="2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(61,739)</w:t>
            </w:r>
          </w:p>
        </w:tc>
      </w:tr>
      <w:tr>
        <w:trPr>
          <w:trHeight w:val="219"/>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financing costs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w:t>
            </w:r>
          </w:p>
        </w:tc>
        <w:tc>
          <w:tcPr>
            <w:tcW w:w="2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(461)</w:t>
            </w:r>
          </w:p>
        </w:tc>
      </w:tr>
      <w:tr>
        <w:trPr>
          <w:trHeight w:val="213"/>
        </w:trPr>
        <w:tc>
          <w:tcPr>
            <w:tcW w:w="8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financing activities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(37,281)</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(58,284)</w:t>
            </w:r>
          </w:p>
        </w:tc>
      </w:tr>
      <w:tr>
        <w:trPr>
          <w:trHeight w:val="142"/>
        </w:trPr>
        <w:tc>
          <w:tcPr>
            <w:tcW w:w="80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r>
      <w:tr>
        <w:trPr>
          <w:trHeight w:val="237"/>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at end of the period</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725</w:t>
            </w:r>
          </w:p>
        </w:tc>
        <w:tc>
          <w:tcPr>
            <w:tcW w:w="2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1,088</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Activities</w:t>
      </w:r>
    </w:p>
    <w:p>
      <w:pPr>
        <w:spacing w:after="0" w:line="114" w:lineRule="exact"/>
        <w:rPr>
          <w:sz w:val="20"/>
          <w:szCs w:val="20"/>
          <w:color w:val="auto"/>
        </w:rPr>
      </w:pPr>
    </w:p>
    <w:p>
      <w:pPr>
        <w:ind w:firstLine="387"/>
        <w:spacing w:after="0" w:line="280" w:lineRule="auto"/>
        <w:rPr>
          <w:sz w:val="20"/>
          <w:szCs w:val="20"/>
          <w:color w:val="auto"/>
        </w:rPr>
      </w:pPr>
      <w:r>
        <w:rPr>
          <w:rFonts w:ascii="Arial" w:cs="Arial" w:eastAsia="Arial" w:hAnsi="Arial"/>
          <w:sz w:val="17"/>
          <w:szCs w:val="17"/>
          <w:color w:val="auto"/>
        </w:rPr>
        <w:t>For the nine months ended September 30, 2021, cash provided by operating activities was $69.7 million compared to $67.8 million for the nine months ended September 30, 2020. The increase of $1.9 million is primarily due to the increase in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15" w:right="339" w:bottom="1440" w:gutter="0" w:footer="0" w:header="0"/>
        </w:sectPr>
      </w:pPr>
    </w:p>
    <w:bookmarkStart w:id="43" w:name="page44"/>
    <w:bookmarkEnd w:id="43"/>
    <w:p>
      <w:pPr>
        <w:jc w:val="both"/>
        <w:spacing w:after="0" w:line="280" w:lineRule="auto"/>
        <w:rPr>
          <w:sz w:val="20"/>
          <w:szCs w:val="20"/>
          <w:color w:val="auto"/>
        </w:rPr>
      </w:pPr>
      <w:r>
        <w:rPr>
          <w:rFonts w:ascii="Arial" w:cs="Arial" w:eastAsia="Arial" w:hAnsi="Arial"/>
          <w:sz w:val="17"/>
          <w:szCs w:val="17"/>
          <w:color w:val="auto"/>
        </w:rPr>
        <w:t>operating income (excluding the non-cash impact of the divestitures, disposals and impairment charges) of $15.3 million, which was offset by unfavorable working capital changes in accounts receivable, income tax receivables and accounts payable.</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Activities</w:t>
      </w:r>
    </w:p>
    <w:p>
      <w:pPr>
        <w:spacing w:after="0" w:line="114"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Our investing activities, resulted in a net cash outflow of $11.2 million for the nine months ended September 30, 2021 compared to $30.5 million for the nine months ended September 30, 2020, a decrease of $19.3 million.</w:t>
      </w:r>
    </w:p>
    <w:p>
      <w:pPr>
        <w:spacing w:after="0" w:line="112"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Acquisition and Divestiture Activity</w:t>
      </w:r>
    </w:p>
    <w:p>
      <w:pPr>
        <w:spacing w:after="0" w:line="114"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During the nine months ended September 30, 2021, we sold three funeral homes for $3.5 million, sold real property for $0.7 million and purchased real property for $3.3 million. We also received proceeds of $2.8 million from our property insurance policy for the reimbursement of renovation costs for our funeral and cemetery businesses that were damaged by Hurricane Ida.</w:t>
      </w:r>
    </w:p>
    <w:p>
      <w:pPr>
        <w:spacing w:after="0" w:line="73"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During the nine months ended September 30, 2020, we acquired a funeral home and cemetery combination business in Lafayette, California for $33.0 million in cash, of which $5.0 million was deposited in escrow in 2019 and $28.0 million was paid in 2020. We also sold six funeral homes for $7.3 million and we sold real property for $0.1 million.</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Capital Expenditures</w:t>
      </w:r>
    </w:p>
    <w:p>
      <w:pPr>
        <w:spacing w:after="0" w:line="114"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For the nine months ended September 30, 2021, capital expenditures (comprising of growth and maintenance spend) totaled $15.3 million compared to $10.0 million for the nine months ended September 30, 2020, an increase of $5.3 million.</w:t>
      </w:r>
    </w:p>
    <w:p>
      <w:pPr>
        <w:spacing w:after="0" w:line="6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tables present our growth and maintenance capital expenditures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3"/>
          </w:tcPr>
          <w:p>
            <w:pPr>
              <w:jc w:val="right"/>
              <w:ind w:right="74"/>
              <w:spacing w:after="0"/>
              <w:rPr>
                <w:sz w:val="20"/>
                <w:szCs w:val="20"/>
                <w:color w:val="auto"/>
              </w:rPr>
            </w:pPr>
            <w:r>
              <w:rPr>
                <w:rFonts w:ascii="Arial" w:cs="Arial" w:eastAsia="Arial" w:hAnsi="Arial"/>
                <w:sz w:val="15"/>
                <w:szCs w:val="15"/>
                <w:b w:val="1"/>
                <w:bCs w:val="1"/>
                <w:color w:val="auto"/>
              </w:rPr>
              <w:t>Nine months ended September 30,</w:t>
            </w:r>
          </w:p>
        </w:tc>
        <w:tc>
          <w:tcPr>
            <w:tcW w:w="620" w:type="dxa"/>
            <w:vAlign w:val="bottom"/>
            <w:tcBorders>
              <w:bottom w:val="single" w:sz="8" w:color="auto"/>
            </w:tcBorders>
          </w:tcPr>
          <w:p>
            <w:pPr>
              <w:spacing w:after="0"/>
              <w:rPr>
                <w:sz w:val="17"/>
                <w:szCs w:val="17"/>
                <w:color w:val="auto"/>
              </w:rPr>
            </w:pPr>
          </w:p>
        </w:tc>
      </w:tr>
      <w:tr>
        <w:trPr>
          <w:trHeight w:val="200"/>
        </w:trPr>
        <w:tc>
          <w:tcPr>
            <w:tcW w:w="74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r>
      <w:tr>
        <w:trPr>
          <w:trHeight w:val="202"/>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i w:val="1"/>
                <w:iCs w:val="1"/>
                <w:color w:val="auto"/>
              </w:rPr>
              <w:t>Growth</w:t>
            </w:r>
          </w:p>
        </w:tc>
        <w:tc>
          <w:tcPr>
            <w:tcW w:w="4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19"/>
        </w:trPr>
        <w:tc>
          <w:tcPr>
            <w:tcW w:w="7400" w:type="dxa"/>
            <w:vAlign w:val="bottom"/>
          </w:tcPr>
          <w:p>
            <w:pPr>
              <w:ind w:left="20"/>
              <w:spacing w:after="0"/>
              <w:rPr>
                <w:sz w:val="20"/>
                <w:szCs w:val="20"/>
                <w:color w:val="auto"/>
              </w:rPr>
            </w:pPr>
            <w:r>
              <w:rPr>
                <w:rFonts w:ascii="Arial" w:cs="Arial" w:eastAsia="Arial" w:hAnsi="Arial"/>
                <w:sz w:val="17"/>
                <w:szCs w:val="17"/>
                <w:color w:val="auto"/>
              </w:rPr>
              <w:t>Cemetery development</w:t>
            </w: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3,321</w:t>
            </w:r>
          </w:p>
        </w:tc>
        <w:tc>
          <w:tcPr>
            <w:tcW w:w="200" w:type="dxa"/>
            <w:vAlign w:val="bottom"/>
          </w:tcPr>
          <w:p>
            <w:pPr>
              <w:spacing w:after="0"/>
              <w:rPr>
                <w:sz w:val="19"/>
                <w:szCs w:val="19"/>
                <w:color w:val="auto"/>
              </w:rPr>
            </w:pPr>
          </w:p>
        </w:tc>
        <w:tc>
          <w:tcPr>
            <w:tcW w:w="1200" w:type="dxa"/>
            <w:vAlign w:val="bottom"/>
          </w:tcPr>
          <w:p>
            <w:pPr>
              <w:jc w:val="right"/>
              <w:ind w:right="1014"/>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4,120</w:t>
            </w:r>
          </w:p>
        </w:tc>
      </w:tr>
      <w:tr>
        <w:trPr>
          <w:trHeight w:val="220"/>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Renovations at certain businesses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673</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2,030</w:t>
            </w:r>
          </w:p>
        </w:tc>
      </w:tr>
      <w:tr>
        <w:trPr>
          <w:trHeight w:val="219"/>
        </w:trPr>
        <w:tc>
          <w:tcPr>
            <w:tcW w:w="7400" w:type="dxa"/>
            <w:vAlign w:val="bottom"/>
          </w:tcPr>
          <w:p>
            <w:pPr>
              <w:ind w:left="20"/>
              <w:spacing w:after="0"/>
              <w:rPr>
                <w:sz w:val="20"/>
                <w:szCs w:val="20"/>
                <w:color w:val="auto"/>
              </w:rPr>
            </w:pPr>
            <w:r>
              <w:rPr>
                <w:rFonts w:ascii="Arial" w:cs="Arial" w:eastAsia="Arial" w:hAnsi="Arial"/>
                <w:sz w:val="17"/>
                <w:szCs w:val="17"/>
                <w:color w:val="auto"/>
              </w:rPr>
              <w:t>Live streaming equipment</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560</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142</w:t>
            </w: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2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7400" w:type="dxa"/>
            <w:vAlign w:val="bottom"/>
          </w:tcPr>
          <w:p>
            <w:pPr>
              <w:ind w:left="120"/>
              <w:spacing w:after="0"/>
              <w:rPr>
                <w:sz w:val="20"/>
                <w:szCs w:val="20"/>
                <w:color w:val="auto"/>
              </w:rPr>
            </w:pPr>
            <w:r>
              <w:rPr>
                <w:rFonts w:ascii="Arial" w:cs="Arial" w:eastAsia="Arial" w:hAnsi="Arial"/>
                <w:sz w:val="17"/>
                <w:szCs w:val="17"/>
                <w:color w:val="auto"/>
              </w:rPr>
              <w:t>Total Growth</w:t>
            </w: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4,640</w:t>
            </w:r>
          </w:p>
        </w:tc>
        <w:tc>
          <w:tcPr>
            <w:tcW w:w="200" w:type="dxa"/>
            <w:vAlign w:val="bottom"/>
          </w:tcPr>
          <w:p>
            <w:pPr>
              <w:spacing w:after="0"/>
              <w:rPr>
                <w:sz w:val="18"/>
                <w:szCs w:val="18"/>
                <w:color w:val="auto"/>
              </w:rPr>
            </w:pPr>
          </w:p>
        </w:tc>
        <w:tc>
          <w:tcPr>
            <w:tcW w:w="1200" w:type="dxa"/>
            <w:vAlign w:val="bottom"/>
            <w:tcBorders>
              <w:bottom w:val="single" w:sz="8" w:color="auto"/>
            </w:tcBorders>
          </w:tcPr>
          <w:p>
            <w:pPr>
              <w:jc w:val="right"/>
              <w:ind w:right="1014"/>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6,292</w:t>
            </w:r>
          </w:p>
        </w:tc>
      </w:tr>
      <w:tr>
        <w:trPr>
          <w:trHeight w:val="20"/>
        </w:trPr>
        <w:tc>
          <w:tcPr>
            <w:tcW w:w="7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518"/>
        </w:trPr>
        <w:tc>
          <w:tcPr>
            <w:tcW w:w="74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3"/>
          </w:tcPr>
          <w:p>
            <w:pPr>
              <w:jc w:val="right"/>
              <w:ind w:right="74"/>
              <w:spacing w:after="0"/>
              <w:rPr>
                <w:sz w:val="20"/>
                <w:szCs w:val="20"/>
                <w:color w:val="auto"/>
              </w:rPr>
            </w:pPr>
            <w:r>
              <w:rPr>
                <w:rFonts w:ascii="Arial" w:cs="Arial" w:eastAsia="Arial" w:hAnsi="Arial"/>
                <w:sz w:val="15"/>
                <w:szCs w:val="15"/>
                <w:b w:val="1"/>
                <w:bCs w:val="1"/>
                <w:color w:val="auto"/>
              </w:rPr>
              <w:t>Nine months ended September 30,</w:t>
            </w:r>
          </w:p>
        </w:tc>
        <w:tc>
          <w:tcPr>
            <w:tcW w:w="620" w:type="dxa"/>
            <w:vAlign w:val="bottom"/>
            <w:tcBorders>
              <w:bottom w:val="single" w:sz="8" w:color="auto"/>
            </w:tcBorders>
          </w:tcPr>
          <w:p>
            <w:pPr>
              <w:spacing w:after="0"/>
              <w:rPr>
                <w:sz w:val="24"/>
                <w:szCs w:val="24"/>
                <w:color w:val="auto"/>
              </w:rPr>
            </w:pPr>
          </w:p>
        </w:tc>
      </w:tr>
      <w:tr>
        <w:trPr>
          <w:trHeight w:val="200"/>
        </w:trPr>
        <w:tc>
          <w:tcPr>
            <w:tcW w:w="74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r>
      <w:tr>
        <w:trPr>
          <w:trHeight w:val="202"/>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i w:val="1"/>
                <w:iCs w:val="1"/>
                <w:color w:val="auto"/>
              </w:rPr>
              <w:t>Maintenance</w:t>
            </w:r>
          </w:p>
        </w:tc>
        <w:tc>
          <w:tcPr>
            <w:tcW w:w="4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19"/>
        </w:trPr>
        <w:tc>
          <w:tcPr>
            <w:tcW w:w="7400" w:type="dxa"/>
            <w:vAlign w:val="bottom"/>
          </w:tcPr>
          <w:p>
            <w:pPr>
              <w:ind w:left="20"/>
              <w:spacing w:after="0"/>
              <w:rPr>
                <w:sz w:val="20"/>
                <w:szCs w:val="20"/>
                <w:color w:val="auto"/>
              </w:rPr>
            </w:pPr>
            <w:r>
              <w:rPr>
                <w:rFonts w:ascii="Arial" w:cs="Arial" w:eastAsia="Arial" w:hAnsi="Arial"/>
                <w:sz w:val="17"/>
                <w:szCs w:val="17"/>
                <w:color w:val="auto"/>
              </w:rPr>
              <w:t>Facility repairs and improvements</w:t>
            </w: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1,610</w:t>
            </w:r>
          </w:p>
        </w:tc>
        <w:tc>
          <w:tcPr>
            <w:tcW w:w="200" w:type="dxa"/>
            <w:vAlign w:val="bottom"/>
          </w:tcPr>
          <w:p>
            <w:pPr>
              <w:spacing w:after="0"/>
              <w:rPr>
                <w:sz w:val="19"/>
                <w:szCs w:val="19"/>
                <w:color w:val="auto"/>
              </w:rPr>
            </w:pPr>
          </w:p>
        </w:tc>
        <w:tc>
          <w:tcPr>
            <w:tcW w:w="1200" w:type="dxa"/>
            <w:vAlign w:val="bottom"/>
          </w:tcPr>
          <w:p>
            <w:pPr>
              <w:jc w:val="right"/>
              <w:ind w:right="1014"/>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2,172</w:t>
            </w:r>
          </w:p>
        </w:tc>
      </w:tr>
      <w:tr>
        <w:trPr>
          <w:trHeight w:val="220"/>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Vehicles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1,201</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1,481</w:t>
            </w:r>
          </w:p>
        </w:tc>
      </w:tr>
      <w:tr>
        <w:trPr>
          <w:trHeight w:val="219"/>
        </w:trPr>
        <w:tc>
          <w:tcPr>
            <w:tcW w:w="7400" w:type="dxa"/>
            <w:vAlign w:val="bottom"/>
          </w:tcPr>
          <w:p>
            <w:pPr>
              <w:ind w:left="20"/>
              <w:spacing w:after="0"/>
              <w:rPr>
                <w:sz w:val="20"/>
                <w:szCs w:val="20"/>
                <w:color w:val="auto"/>
              </w:rPr>
            </w:pPr>
            <w:r>
              <w:rPr>
                <w:rFonts w:ascii="Arial" w:cs="Arial" w:eastAsia="Arial" w:hAnsi="Arial"/>
                <w:sz w:val="17"/>
                <w:szCs w:val="17"/>
                <w:color w:val="auto"/>
              </w:rPr>
              <w:t>General equipment and furniture</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1,957</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4,167</w:t>
            </w:r>
          </w:p>
        </w:tc>
      </w:tr>
      <w:tr>
        <w:trPr>
          <w:trHeight w:val="220"/>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Paving roads and parking lots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1,140</w:t>
            </w:r>
          </w:p>
        </w:tc>
      </w:tr>
      <w:tr>
        <w:trPr>
          <w:trHeight w:val="219"/>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w:t>
            </w:r>
          </w:p>
        </w:tc>
        <w:tc>
          <w:tcPr>
            <w:tcW w:w="2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8"/>
        </w:trPr>
        <w:tc>
          <w:tcPr>
            <w:tcW w:w="7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 Maintenance</w:t>
            </w: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5,394</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014"/>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8,960</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114"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Our financing activities resulted in a net cash outflow of $58.3 million for the nine months ended September 30, 2021 compared to a net cash outflow of $37.3 million for the nine months ended September 30, 2020, an increase of $21.0 million.</w:t>
      </w:r>
    </w:p>
    <w:p>
      <w:pPr>
        <w:spacing w:after="0" w:line="60"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During the nine months ended September 30, 2021, we had net borrowings on our Credit Facility, acquisition debt and finance leases of $39.0 million, offset by the following payments: i) $19.9 million for the call premium to redeem our Original Senior Notes; ii) $61.7 million for the purchase of treasury stock; iii) $6.6 million for debt issuance and transactions costs related to our New Senior Notes and New Credit Facility; iv) $4.0 million for the conversions and maturity of our Convertible Notes; and v) $5.4 million in dividends.</w:t>
      </w:r>
    </w:p>
    <w:p>
      <w:pPr>
        <w:spacing w:after="0" w:line="76"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During the nine months ended September 30, 2020, we had net payments on our Credit Facility, acquisition debt and finance leases of $28.9 million, paid $4.3 million in dividends and paid $4.6 million for the repurchases of our Convertible Notes.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i w:val="1"/>
          <w:iCs w:val="1"/>
          <w:color w:val="auto"/>
        </w:rPr>
        <w:t>Share Repurchase</w:t>
      </w:r>
    </w:p>
    <w:p>
      <w:pPr>
        <w:spacing w:after="0" w:line="101" w:lineRule="exact"/>
        <w:rPr>
          <w:sz w:val="20"/>
          <w:szCs w:val="20"/>
          <w:color w:val="auto"/>
        </w:rPr>
      </w:pPr>
    </w:p>
    <w:p>
      <w:pPr>
        <w:jc w:val="both"/>
        <w:ind w:firstLine="387"/>
        <w:spacing w:after="0" w:line="236" w:lineRule="auto"/>
        <w:rPr>
          <w:sz w:val="20"/>
          <w:szCs w:val="20"/>
          <w:color w:val="auto"/>
        </w:rPr>
      </w:pPr>
      <w:r>
        <w:rPr>
          <w:rFonts w:ascii="Arial" w:cs="Arial" w:eastAsia="Arial" w:hAnsi="Arial"/>
          <w:sz w:val="17"/>
          <w:szCs w:val="17"/>
          <w:color w:val="auto"/>
        </w:rPr>
        <w:t>On May 18, 2021 and July 26, 2021, our Board authorized increases of up to an additional $25.0 million, respectively, in our share repurchase program to permit us to purchase up to a total of $50.0 million under our share repurchase program, in addition to amounts previously authorized and outstanding, in accordance with the Exchange Act.</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Share repurchase activity is as follows (dollar value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420" w:type="dxa"/>
            <w:vAlign w:val="bottom"/>
            <w:tcBorders>
              <w:bottom w:val="single" w:sz="8" w:color="CCEEFF"/>
            </w:tcBorders>
          </w:tcPr>
          <w:p>
            <w:pPr>
              <w:spacing w:after="0"/>
              <w:rPr>
                <w:sz w:val="17"/>
                <w:szCs w:val="17"/>
                <w:color w:val="auto"/>
              </w:rPr>
            </w:pPr>
          </w:p>
        </w:tc>
        <w:tc>
          <w:tcPr>
            <w:tcW w:w="2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8"/>
              </w:rPr>
              <w:t>Three months ended September 30, 2021</w:t>
            </w:r>
          </w:p>
        </w:tc>
        <w:tc>
          <w:tcPr>
            <w:tcW w:w="84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tcPr>
          <w:p>
            <w:pPr>
              <w:jc w:val="right"/>
              <w:ind w:right="916"/>
              <w:spacing w:after="0"/>
              <w:rPr>
                <w:sz w:val="20"/>
                <w:szCs w:val="20"/>
                <w:color w:val="auto"/>
              </w:rPr>
            </w:pPr>
            <w:r>
              <w:rPr>
                <w:rFonts w:ascii="Arial" w:cs="Arial" w:eastAsia="Arial" w:hAnsi="Arial"/>
                <w:sz w:val="15"/>
                <w:szCs w:val="15"/>
                <w:b w:val="1"/>
                <w:bCs w:val="1"/>
                <w:color w:val="auto"/>
                <w:w w:val="93"/>
              </w:rPr>
              <w:t>Nine months ended September 30, 2021</w:t>
            </w:r>
          </w:p>
        </w:tc>
      </w:tr>
      <w:tr>
        <w:trPr>
          <w:trHeight w:val="215"/>
        </w:trPr>
        <w:tc>
          <w:tcPr>
            <w:tcW w:w="3420" w:type="dxa"/>
            <w:vAlign w:val="bottom"/>
            <w:shd w:val="clear" w:color="auto" w:fill="CCEEFF"/>
          </w:tcPr>
          <w:p>
            <w:pPr>
              <w:ind w:left="20"/>
              <w:spacing w:after="0" w:line="215" w:lineRule="exact"/>
              <w:rPr>
                <w:sz w:val="20"/>
                <w:szCs w:val="20"/>
                <w:color w:val="auto"/>
              </w:rPr>
            </w:pPr>
            <w:r>
              <w:rPr>
                <w:rFonts w:ascii="Arial" w:cs="Arial" w:eastAsia="Arial" w:hAnsi="Arial"/>
                <w:sz w:val="15"/>
                <w:szCs w:val="15"/>
                <w:color w:val="auto"/>
              </w:rPr>
              <w:t>Number of Shares Repurchased</w:t>
            </w:r>
            <w:r>
              <w:rPr>
                <w:rFonts w:ascii="Arial" w:cs="Arial" w:eastAsia="Arial" w:hAnsi="Arial"/>
                <w:sz w:val="20"/>
                <w:szCs w:val="20"/>
                <w:color w:val="auto"/>
                <w:vertAlign w:val="superscript"/>
              </w:rPr>
              <w:t>(1)</w:t>
            </w:r>
          </w:p>
        </w:tc>
        <w:tc>
          <w:tcPr>
            <w:tcW w:w="29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1,203,493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1,528,197</w:t>
            </w:r>
          </w:p>
        </w:tc>
      </w:tr>
      <w:tr>
        <w:trPr>
          <w:trHeight w:val="219"/>
        </w:trPr>
        <w:tc>
          <w:tcPr>
            <w:tcW w:w="3420" w:type="dxa"/>
            <w:vAlign w:val="bottom"/>
          </w:tcPr>
          <w:p>
            <w:pPr>
              <w:ind w:left="20"/>
              <w:spacing w:after="0"/>
              <w:rPr>
                <w:sz w:val="20"/>
                <w:szCs w:val="20"/>
                <w:color w:val="auto"/>
              </w:rPr>
            </w:pPr>
            <w:r>
              <w:rPr>
                <w:rFonts w:ascii="Arial" w:cs="Arial" w:eastAsia="Arial" w:hAnsi="Arial"/>
                <w:sz w:val="15"/>
                <w:szCs w:val="15"/>
                <w:color w:val="auto"/>
              </w:rPr>
              <w:t>Average Price Paid Per Share</w:t>
            </w:r>
          </w:p>
        </w:tc>
        <w:tc>
          <w:tcPr>
            <w:tcW w:w="2980" w:type="dxa"/>
            <w:vAlign w:val="bottom"/>
          </w:tcPr>
          <w:p>
            <w:pPr>
              <w:jc w:val="right"/>
              <w:ind w:right="2797"/>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44.24</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3660" w:type="dxa"/>
            <w:vAlign w:val="bottom"/>
          </w:tcPr>
          <w:p>
            <w:pPr>
              <w:jc w:val="right"/>
              <w:spacing w:after="0"/>
              <w:rPr>
                <w:sz w:val="20"/>
                <w:szCs w:val="20"/>
                <w:color w:val="auto"/>
              </w:rPr>
            </w:pPr>
            <w:r>
              <w:rPr>
                <w:rFonts w:ascii="Arial" w:cs="Arial" w:eastAsia="Arial" w:hAnsi="Arial"/>
                <w:sz w:val="17"/>
                <w:szCs w:val="17"/>
                <w:color w:val="auto"/>
              </w:rPr>
              <w:t>42.89</w:t>
            </w:r>
          </w:p>
        </w:tc>
      </w:tr>
      <w:tr>
        <w:trPr>
          <w:trHeight w:val="220"/>
        </w:trPr>
        <w:tc>
          <w:tcPr>
            <w:tcW w:w="3420" w:type="dxa"/>
            <w:vAlign w:val="bottom"/>
            <w:shd w:val="clear" w:color="auto" w:fill="CCEEFF"/>
          </w:tcPr>
          <w:p>
            <w:pPr>
              <w:ind w:left="20"/>
              <w:spacing w:after="0" w:line="220" w:lineRule="exact"/>
              <w:rPr>
                <w:sz w:val="20"/>
                <w:szCs w:val="20"/>
                <w:color w:val="auto"/>
              </w:rPr>
            </w:pPr>
            <w:r>
              <w:rPr>
                <w:rFonts w:ascii="Arial" w:cs="Arial" w:eastAsia="Arial" w:hAnsi="Arial"/>
                <w:sz w:val="15"/>
                <w:szCs w:val="15"/>
                <w:color w:val="auto"/>
              </w:rPr>
              <w:t>Dollar Value of Shares Repurchased</w:t>
            </w:r>
            <w:r>
              <w:rPr>
                <w:rFonts w:ascii="Arial" w:cs="Arial" w:eastAsia="Arial" w:hAnsi="Arial"/>
                <w:sz w:val="20"/>
                <w:szCs w:val="20"/>
                <w:color w:val="auto"/>
                <w:vertAlign w:val="superscript"/>
              </w:rPr>
              <w:t>(1)</w:t>
            </w:r>
          </w:p>
        </w:tc>
        <w:tc>
          <w:tcPr>
            <w:tcW w:w="2980" w:type="dxa"/>
            <w:vAlign w:val="bottom"/>
            <w:shd w:val="clear" w:color="auto" w:fill="CCEEFF"/>
          </w:tcPr>
          <w:p>
            <w:pPr>
              <w:jc w:val="right"/>
              <w:ind w:right="2797"/>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53,239</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711390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13905" cy="8255"/>
                    </a:xfrm>
                    <a:prstGeom prst="rect">
                      <a:avLst/>
                    </a:prstGeom>
                    <a:noFill/>
                  </pic:spPr>
                </pic:pic>
              </a:graphicData>
            </a:graphic>
          </wp:anchor>
        </w:drawing>
      </w:r>
    </w:p>
    <w:p>
      <w:pPr>
        <w:spacing w:after="0" w:line="34" w:lineRule="exact"/>
        <w:rPr>
          <w:sz w:val="20"/>
          <w:szCs w:val="20"/>
          <w:color w:val="auto"/>
        </w:rPr>
      </w:pPr>
    </w:p>
    <w:p>
      <w:pPr>
        <w:ind w:left="400" w:hanging="380"/>
        <w:spacing w:after="0"/>
        <w:tabs>
          <w:tab w:leader="none" w:pos="400" w:val="left"/>
        </w:tabs>
        <w:numPr>
          <w:ilvl w:val="0"/>
          <w:numId w:val="30"/>
        </w:numPr>
        <w:rPr>
          <w:rFonts w:ascii="Arial" w:cs="Arial" w:eastAsia="Arial" w:hAnsi="Arial"/>
          <w:sz w:val="28"/>
          <w:szCs w:val="28"/>
          <w:color w:val="auto"/>
          <w:vertAlign w:val="superscript"/>
        </w:rPr>
      </w:pPr>
      <w:r>
        <w:rPr>
          <w:rFonts w:ascii="Arial" w:cs="Arial" w:eastAsia="Arial" w:hAnsi="Arial"/>
          <w:sz w:val="14"/>
          <w:szCs w:val="14"/>
          <w:color w:val="auto"/>
        </w:rPr>
        <w:t>During the three and nine months ended September 30, 2021, 84,000 shares settled in October 2021, which had a cost of $3.8 million.</w:t>
      </w:r>
    </w:p>
    <w:p>
      <w:pPr>
        <w:spacing w:after="0" w:line="193"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Our shares were purchased in the open market at times and in amounts as management determined appropriate based on factors such as market conditions, legal requirements and other business considerations. Shares purchased pursuant to the repurchase program are currently held as treasury shares. At September 30, 2021, we had approximately $10.1 million available for repurchase under our share repurchase program.</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Dividends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Board declared the following dividends payable on the dates below (in thousands, except per share amounts):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2021</w:t>
            </w:r>
          </w:p>
        </w:tc>
        <w:tc>
          <w:tcPr>
            <w:tcW w:w="7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Per Share</w:t>
            </w:r>
          </w:p>
        </w:tc>
        <w:tc>
          <w:tcPr>
            <w:tcW w:w="140" w:type="dxa"/>
            <w:vAlign w:val="bottom"/>
          </w:tcPr>
          <w:p>
            <w:pPr>
              <w:spacing w:after="0"/>
              <w:rPr>
                <w:sz w:val="14"/>
                <w:szCs w:val="14"/>
                <w:color w:val="auto"/>
              </w:rPr>
            </w:pPr>
          </w:p>
        </w:tc>
        <w:tc>
          <w:tcPr>
            <w:tcW w:w="1280" w:type="dxa"/>
            <w:vAlign w:val="bottom"/>
          </w:tcPr>
          <w:p>
            <w:pPr>
              <w:jc w:val="right"/>
              <w:ind w:right="258"/>
              <w:spacing w:after="0"/>
              <w:rPr>
                <w:sz w:val="20"/>
                <w:szCs w:val="20"/>
                <w:color w:val="auto"/>
              </w:rPr>
            </w:pPr>
            <w:r>
              <w:rPr>
                <w:rFonts w:ascii="Arial" w:cs="Arial" w:eastAsia="Arial" w:hAnsi="Arial"/>
                <w:sz w:val="14"/>
                <w:szCs w:val="14"/>
                <w:b w:val="1"/>
                <w:bCs w:val="1"/>
                <w:color w:val="auto"/>
              </w:rPr>
              <w:t>Dollar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78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8160" w:type="dxa"/>
            <w:vAlign w:val="bottom"/>
            <w:gridSpan w:val="2"/>
            <w:shd w:val="clear" w:color="auto" w:fill="CCEEFF"/>
          </w:tcPr>
          <w:p>
            <w:pPr>
              <w:spacing w:after="0" w:line="211" w:lineRule="exact"/>
              <w:rPr>
                <w:sz w:val="20"/>
                <w:szCs w:val="20"/>
                <w:color w:val="auto"/>
              </w:rPr>
            </w:pPr>
            <w:r>
              <w:rPr>
                <w:rFonts w:ascii="Arial" w:cs="Arial" w:eastAsia="Arial" w:hAnsi="Arial"/>
                <w:sz w:val="17"/>
                <w:szCs w:val="17"/>
                <w:color w:val="auto"/>
              </w:rPr>
              <w:t>March 1</w:t>
            </w:r>
            <w:r>
              <w:rPr>
                <w:rFonts w:ascii="Arial" w:cs="Arial" w:eastAsia="Arial" w:hAnsi="Arial"/>
                <w:sz w:val="22"/>
                <w:szCs w:val="22"/>
                <w:color w:val="auto"/>
                <w:vertAlign w:val="superscript"/>
              </w:rPr>
              <w:t>st</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1,799</w:t>
            </w:r>
          </w:p>
        </w:tc>
      </w:tr>
      <w:tr>
        <w:trPr>
          <w:trHeight w:val="219"/>
        </w:trPr>
        <w:tc>
          <w:tcPr>
            <w:tcW w:w="20" w:type="dxa"/>
            <w:vAlign w:val="bottom"/>
          </w:tcPr>
          <w:p>
            <w:pPr>
              <w:spacing w:after="0"/>
              <w:rPr>
                <w:sz w:val="19"/>
                <w:szCs w:val="19"/>
                <w:color w:val="auto"/>
              </w:rPr>
            </w:pPr>
          </w:p>
        </w:tc>
        <w:tc>
          <w:tcPr>
            <w:tcW w:w="8160" w:type="dxa"/>
            <w:vAlign w:val="bottom"/>
            <w:gridSpan w:val="2"/>
          </w:tcPr>
          <w:p>
            <w:pPr>
              <w:spacing w:after="0" w:line="220" w:lineRule="exact"/>
              <w:rPr>
                <w:sz w:val="20"/>
                <w:szCs w:val="20"/>
                <w:color w:val="auto"/>
              </w:rPr>
            </w:pPr>
            <w:r>
              <w:rPr>
                <w:rFonts w:ascii="Arial" w:cs="Arial" w:eastAsia="Arial" w:hAnsi="Arial"/>
                <w:sz w:val="17"/>
                <w:szCs w:val="17"/>
                <w:color w:val="auto"/>
              </w:rPr>
              <w:t>June 1</w:t>
            </w:r>
            <w:r>
              <w:rPr>
                <w:rFonts w:ascii="Arial" w:cs="Arial" w:eastAsia="Arial" w:hAnsi="Arial"/>
                <w:sz w:val="22"/>
                <w:szCs w:val="22"/>
                <w:color w:val="auto"/>
                <w:vertAlign w:val="superscript"/>
              </w:rPr>
              <w:t>st</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0.1000</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1,808</w:t>
            </w:r>
          </w:p>
        </w:tc>
      </w:tr>
      <w:tr>
        <w:trPr>
          <w:trHeight w:val="219"/>
        </w:trPr>
        <w:tc>
          <w:tcPr>
            <w:tcW w:w="20" w:type="dxa"/>
            <w:vAlign w:val="bottom"/>
            <w:shd w:val="clear" w:color="auto" w:fill="CCEEFF"/>
          </w:tcPr>
          <w:p>
            <w:pPr>
              <w:spacing w:after="0"/>
              <w:rPr>
                <w:sz w:val="19"/>
                <w:szCs w:val="19"/>
                <w:color w:val="auto"/>
              </w:rPr>
            </w:pPr>
          </w:p>
        </w:tc>
        <w:tc>
          <w:tcPr>
            <w:tcW w:w="8160" w:type="dxa"/>
            <w:vAlign w:val="bottom"/>
            <w:gridSpan w:val="2"/>
            <w:shd w:val="clear" w:color="auto" w:fill="CCEEFF"/>
          </w:tcPr>
          <w:p>
            <w:pPr>
              <w:spacing w:after="0" w:line="220" w:lineRule="exact"/>
              <w:rPr>
                <w:sz w:val="20"/>
                <w:szCs w:val="20"/>
                <w:color w:val="auto"/>
              </w:rPr>
            </w:pPr>
            <w:r>
              <w:rPr>
                <w:rFonts w:ascii="Arial" w:cs="Arial" w:eastAsia="Arial" w:hAnsi="Arial"/>
                <w:sz w:val="17"/>
                <w:szCs w:val="17"/>
                <w:color w:val="auto"/>
              </w:rPr>
              <w:t>September 1</w:t>
            </w:r>
            <w:r>
              <w:rPr>
                <w:rFonts w:ascii="Arial" w:cs="Arial" w:eastAsia="Arial" w:hAnsi="Arial"/>
                <w:sz w:val="22"/>
                <w:szCs w:val="22"/>
                <w:color w:val="auto"/>
                <w:vertAlign w:val="superscript"/>
              </w:rPr>
              <w:t>st</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0.1000</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1,783</w:t>
            </w:r>
          </w:p>
        </w:tc>
      </w:tr>
      <w:tr>
        <w:trPr>
          <w:trHeight w:val="297"/>
        </w:trPr>
        <w:tc>
          <w:tcPr>
            <w:tcW w:w="3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2020</w:t>
            </w:r>
          </w:p>
        </w:tc>
        <w:tc>
          <w:tcPr>
            <w:tcW w:w="7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Per Share</w:t>
            </w:r>
          </w:p>
        </w:tc>
        <w:tc>
          <w:tcPr>
            <w:tcW w:w="140" w:type="dxa"/>
            <w:vAlign w:val="bottom"/>
          </w:tcPr>
          <w:p>
            <w:pPr>
              <w:spacing w:after="0"/>
              <w:rPr>
                <w:sz w:val="24"/>
                <w:szCs w:val="24"/>
                <w:color w:val="auto"/>
              </w:rPr>
            </w:pPr>
          </w:p>
        </w:tc>
        <w:tc>
          <w:tcPr>
            <w:tcW w:w="1280" w:type="dxa"/>
            <w:vAlign w:val="bottom"/>
          </w:tcPr>
          <w:p>
            <w:pPr>
              <w:jc w:val="right"/>
              <w:ind w:right="398"/>
              <w:spacing w:after="0"/>
              <w:rPr>
                <w:sz w:val="20"/>
                <w:szCs w:val="20"/>
                <w:color w:val="auto"/>
              </w:rPr>
            </w:pPr>
            <w:r>
              <w:rPr>
                <w:rFonts w:ascii="Arial" w:cs="Arial" w:eastAsia="Arial" w:hAnsi="Arial"/>
                <w:sz w:val="14"/>
                <w:szCs w:val="14"/>
                <w:b w:val="1"/>
                <w:bCs w:val="1"/>
                <w:color w:val="auto"/>
                <w:w w:val="96"/>
              </w:rPr>
              <w:t>Dollar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78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8160" w:type="dxa"/>
            <w:vAlign w:val="bottom"/>
            <w:gridSpan w:val="2"/>
            <w:shd w:val="clear" w:color="auto" w:fill="CCEEFF"/>
          </w:tcPr>
          <w:p>
            <w:pPr>
              <w:spacing w:after="0" w:line="211" w:lineRule="exact"/>
              <w:rPr>
                <w:sz w:val="20"/>
                <w:szCs w:val="20"/>
                <w:color w:val="auto"/>
              </w:rPr>
            </w:pPr>
            <w:r>
              <w:rPr>
                <w:rFonts w:ascii="Arial" w:cs="Arial" w:eastAsia="Arial" w:hAnsi="Arial"/>
                <w:sz w:val="17"/>
                <w:szCs w:val="17"/>
                <w:color w:val="auto"/>
              </w:rPr>
              <w:t>March 1</w:t>
            </w:r>
            <w:r>
              <w:rPr>
                <w:rFonts w:ascii="Arial" w:cs="Arial" w:eastAsia="Arial" w:hAnsi="Arial"/>
                <w:sz w:val="22"/>
                <w:szCs w:val="22"/>
                <w:color w:val="auto"/>
                <w:vertAlign w:val="superscript"/>
              </w:rPr>
              <w:t>st</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0.0750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1,339</w:t>
            </w:r>
          </w:p>
        </w:tc>
      </w:tr>
      <w:tr>
        <w:trPr>
          <w:trHeight w:val="219"/>
        </w:trPr>
        <w:tc>
          <w:tcPr>
            <w:tcW w:w="20" w:type="dxa"/>
            <w:vAlign w:val="bottom"/>
          </w:tcPr>
          <w:p>
            <w:pPr>
              <w:spacing w:after="0"/>
              <w:rPr>
                <w:sz w:val="19"/>
                <w:szCs w:val="19"/>
                <w:color w:val="auto"/>
              </w:rPr>
            </w:pPr>
          </w:p>
        </w:tc>
        <w:tc>
          <w:tcPr>
            <w:tcW w:w="8160" w:type="dxa"/>
            <w:vAlign w:val="bottom"/>
            <w:gridSpan w:val="2"/>
          </w:tcPr>
          <w:p>
            <w:pPr>
              <w:spacing w:after="0" w:line="220" w:lineRule="exact"/>
              <w:rPr>
                <w:sz w:val="20"/>
                <w:szCs w:val="20"/>
                <w:color w:val="auto"/>
              </w:rPr>
            </w:pPr>
            <w:r>
              <w:rPr>
                <w:rFonts w:ascii="Arial" w:cs="Arial" w:eastAsia="Arial" w:hAnsi="Arial"/>
                <w:sz w:val="17"/>
                <w:szCs w:val="17"/>
                <w:color w:val="auto"/>
              </w:rPr>
              <w:t>June 1</w:t>
            </w:r>
            <w:r>
              <w:rPr>
                <w:rFonts w:ascii="Arial" w:cs="Arial" w:eastAsia="Arial" w:hAnsi="Arial"/>
                <w:sz w:val="22"/>
                <w:szCs w:val="22"/>
                <w:color w:val="auto"/>
                <w:vertAlign w:val="superscript"/>
              </w:rPr>
              <w:t>st</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0.0750</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1,343</w:t>
            </w:r>
          </w:p>
        </w:tc>
      </w:tr>
      <w:tr>
        <w:trPr>
          <w:trHeight w:val="219"/>
        </w:trPr>
        <w:tc>
          <w:tcPr>
            <w:tcW w:w="20" w:type="dxa"/>
            <w:vAlign w:val="bottom"/>
            <w:shd w:val="clear" w:color="auto" w:fill="CCEEFF"/>
          </w:tcPr>
          <w:p>
            <w:pPr>
              <w:spacing w:after="0"/>
              <w:rPr>
                <w:sz w:val="19"/>
                <w:szCs w:val="19"/>
                <w:color w:val="auto"/>
              </w:rPr>
            </w:pPr>
          </w:p>
        </w:tc>
        <w:tc>
          <w:tcPr>
            <w:tcW w:w="8160" w:type="dxa"/>
            <w:vAlign w:val="bottom"/>
            <w:gridSpan w:val="2"/>
            <w:shd w:val="clear" w:color="auto" w:fill="CCEEFF"/>
          </w:tcPr>
          <w:p>
            <w:pPr>
              <w:spacing w:after="0" w:line="220" w:lineRule="exact"/>
              <w:rPr>
                <w:sz w:val="20"/>
                <w:szCs w:val="20"/>
                <w:color w:val="auto"/>
              </w:rPr>
            </w:pPr>
            <w:r>
              <w:rPr>
                <w:rFonts w:ascii="Arial" w:cs="Arial" w:eastAsia="Arial" w:hAnsi="Arial"/>
                <w:sz w:val="17"/>
                <w:szCs w:val="17"/>
                <w:color w:val="auto"/>
              </w:rPr>
              <w:t>September 1</w:t>
            </w:r>
            <w:r>
              <w:rPr>
                <w:rFonts w:ascii="Arial" w:cs="Arial" w:eastAsia="Arial" w:hAnsi="Arial"/>
                <w:sz w:val="22"/>
                <w:szCs w:val="22"/>
                <w:color w:val="auto"/>
                <w:vertAlign w:val="superscript"/>
              </w:rPr>
              <w:t>st</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0.0875</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1,569</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Credit Facility, Lease Obligations and Acquisition Debt</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outstanding principal of our Credit Facility, lease obligations and acquisition debt at September 30, 2021 is as follows (in thousands):</w:t>
      </w:r>
    </w:p>
    <w:p>
      <w:pPr>
        <w:spacing w:after="0" w:line="48"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91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September 30, 2021</w:t>
            </w:r>
          </w:p>
        </w:tc>
      </w:tr>
      <w:tr>
        <w:trPr>
          <w:trHeight w:val="215"/>
        </w:trPr>
        <w:tc>
          <w:tcPr>
            <w:tcW w:w="9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Credit Facility</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86,900</w:t>
            </w:r>
          </w:p>
        </w:tc>
      </w:tr>
      <w:tr>
        <w:trPr>
          <w:trHeight w:val="219"/>
        </w:trPr>
        <w:tc>
          <w:tcPr>
            <w:tcW w:w="9180" w:type="dxa"/>
            <w:vAlign w:val="bottom"/>
          </w:tcPr>
          <w:p>
            <w:pPr>
              <w:ind w:left="20"/>
              <w:spacing w:after="0"/>
              <w:rPr>
                <w:sz w:val="20"/>
                <w:szCs w:val="20"/>
                <w:color w:val="auto"/>
              </w:rPr>
            </w:pPr>
            <w:r>
              <w:rPr>
                <w:rFonts w:ascii="Arial" w:cs="Arial" w:eastAsia="Arial" w:hAnsi="Arial"/>
                <w:sz w:val="17"/>
                <w:szCs w:val="17"/>
                <w:color w:val="auto"/>
              </w:rPr>
              <w:t>Finance leases</w:t>
            </w:r>
          </w:p>
        </w:tc>
        <w:tc>
          <w:tcPr>
            <w:tcW w:w="4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5,615</w:t>
            </w:r>
          </w:p>
        </w:tc>
      </w:tr>
      <w:tr>
        <w:trPr>
          <w:trHeight w:val="220"/>
        </w:trPr>
        <w:tc>
          <w:tcPr>
            <w:tcW w:w="9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leases</w:t>
            </w:r>
          </w:p>
        </w:tc>
        <w:tc>
          <w:tcPr>
            <w:tcW w:w="4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20,905</w:t>
            </w:r>
          </w:p>
        </w:tc>
      </w:tr>
      <w:tr>
        <w:trPr>
          <w:trHeight w:val="219"/>
        </w:trPr>
        <w:tc>
          <w:tcPr>
            <w:tcW w:w="9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Acquisition debt</w:t>
            </w:r>
          </w:p>
        </w:tc>
        <w:tc>
          <w:tcPr>
            <w:tcW w:w="4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5,089</w:t>
            </w:r>
          </w:p>
        </w:tc>
      </w:tr>
      <w:tr>
        <w:trPr>
          <w:trHeight w:val="237"/>
        </w:trPr>
        <w:tc>
          <w:tcPr>
            <w:tcW w:w="9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118,509</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Facility</w:t>
      </w:r>
    </w:p>
    <w:p>
      <w:pPr>
        <w:spacing w:after="0" w:line="114"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On May 13, 2021, in connection with the issuance of the New Senior Notes, we entered into the New Credit Facility with the New Credit Facility Subsidiary Guarantors (as defined below), the financial institutions party thereto, as lenders, and Bank of America, N.A., as administrative agent. We incurred $0.8 million in transactions costs related to the New Credit Facility, which were capitalized and will be amortized over the remaining term of the related debt using the straight-line method.</w:t>
      </w:r>
    </w:p>
    <w:p>
      <w:pPr>
        <w:spacing w:after="0" w:line="76"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6"/>
          <w:szCs w:val="16"/>
          <w:color w:val="auto"/>
        </w:rPr>
        <w:t xml:space="preserve">On May 13, 2021, we used approximately $21.4 million of the availability under the New Credit Facility to repay the then outstanding balances under our Former Credit Facility and all commitments thereunder were terminated. In connection with the repayment in full of all amounts due thereunder, the Former Credit Facility was retired and $2.1 million of letters of credit previously issued under the Former Credit Facility were deemed issued under (and remain outstanding under) the New Credit Facility. In connection with the termination of the Former Credit Facility, for the nine months ended September 30, 2021, we recognized a loss on the write-off of $0.1 million in unamortized debt issuance costs, which was recorded in </w:t>
      </w:r>
      <w:r>
        <w:rPr>
          <w:rFonts w:ascii="Arial" w:cs="Arial" w:eastAsia="Arial" w:hAnsi="Arial"/>
          <w:sz w:val="16"/>
          <w:szCs w:val="16"/>
          <w:i w:val="1"/>
          <w:iCs w:val="1"/>
          <w:color w:val="auto"/>
        </w:rPr>
        <w:t>Loss on extinguishment of debt</w:t>
      </w:r>
      <w:r>
        <w:rPr>
          <w:rFonts w:ascii="Arial" w:cs="Arial" w:eastAsia="Arial" w:hAnsi="Arial"/>
          <w:sz w:val="16"/>
          <w:szCs w:val="16"/>
          <w:color w:val="auto"/>
        </w:rPr>
        <w:t>.</w:t>
      </w:r>
    </w:p>
    <w:p>
      <w:pPr>
        <w:spacing w:after="0" w:line="63"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Our obligations under the New Credit Facility are unconditionally guaranteed on a joint and several basis by the same subsidiaries which guarantee the New Senior Notes and certain of our Subsidiary Guarantors. The New Credit Facility allows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45" w:name="page46"/>
    <w:bookmarkEnd w:id="45"/>
    <w:p>
      <w:pPr>
        <w:jc w:val="both"/>
        <w:spacing w:after="0" w:line="280" w:lineRule="auto"/>
        <w:rPr>
          <w:sz w:val="20"/>
          <w:szCs w:val="20"/>
          <w:color w:val="auto"/>
        </w:rPr>
      </w:pPr>
      <w:r>
        <w:rPr>
          <w:rFonts w:ascii="Arial" w:cs="Arial" w:eastAsia="Arial" w:hAnsi="Arial"/>
          <w:sz w:val="17"/>
          <w:szCs w:val="17"/>
          <w:color w:val="auto"/>
        </w:rPr>
        <w:t>for future increases in the facility size in the form of increased revolving commitments or new incremental term loans by an additional amount of up to $75.0 million in the aggregate. The final maturity of the New Credit Facility will occur on May 13, 2026.</w:t>
      </w:r>
    </w:p>
    <w:p>
      <w:pPr>
        <w:spacing w:after="0" w:line="60"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The New Credit Facility is secured by a first-priority perfected security interest in and lien on substantially all of the Company’s personal property assets and those of the Subsidiary Guarantors. In addition, the New Credit Facility includes provisions which require the Company and the Subsidiary Guarantors, upon the occurrence of an event of default or in the event the Company’s actual Total Leverage Ratio is not at least 0.25 less than the required Total Leverage Ratio covenant level under the New Credit Facility, to grant additional liens on real property assets accounting for no less than 50% of the Company’s and the Subsidiary Guarantors’ funeral operations if requested by the administrative agent.</w:t>
      </w:r>
    </w:p>
    <w:p>
      <w:pPr>
        <w:spacing w:after="0" w:line="77"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The New Credit Facility contains customary affirmative covenants, including, but not limited to, covenants with respect to the use of proceeds, payment of taxes and other obligations, continuation of the Company’s business and the maintenance of existing rights and privileges, the maintenance of property and insurance, amongst others.</w:t>
      </w:r>
    </w:p>
    <w:p>
      <w:pPr>
        <w:spacing w:after="0" w:line="73"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color w:val="auto"/>
        </w:rPr>
        <w:t>In addition, the New Credit Facility also contains customary negative covenants, including, but not limited to, covenants that restrict (subject to certain exceptions) the ability of the Company and the Subsidiary Guarantors to incur indebtedness, grant liens, make investments, engage in mergers and acquisitions, and pay dividends and other restricted payments, and certain financial maintenance covenants. At September 30, 2021, we were subject to the following financial covenants under our New Credit Facility: (A) a Total Leverage Ratio not to exceed 5.00 to 1.00 and (B) a Fixed Charge Coverage Ratio (as defined in the New Credit Facility) of not less than 1.20 to 1.00 as of the end of any period of four consecutive fiscal quarters. These financial maintenance covenants are calculated for the Company and its subsidiaries on a consolidated basis.</w:t>
      </w:r>
    </w:p>
    <w:p>
      <w:pPr>
        <w:spacing w:after="0" w:line="8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were in compliance with all of the covenants contained in our New Credit Facility as of September 30, 2021.</w:t>
      </w:r>
    </w:p>
    <w:p>
      <w:pPr>
        <w:spacing w:after="0" w:line="114"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At September 30, 2021, we had outstanding borrowings under the New Credit Facility of $86.9 million. We also had one letter of credit for $2.1 million under the New Credit Facility, which was increased to $2.3 million on September 1, 2021. The letter of credit will expire on November 25, 2021 and is expected to automatically renew annually and secures our obligations under our various self-insured policies. At September 30, 2021, we had $60.8 million of availability under the New Credit Facility.</w:t>
      </w:r>
    </w:p>
    <w:p>
      <w:pPr>
        <w:spacing w:after="0" w:line="76" w:lineRule="exact"/>
        <w:rPr>
          <w:sz w:val="20"/>
          <w:szCs w:val="20"/>
          <w:color w:val="auto"/>
        </w:rPr>
      </w:pPr>
    </w:p>
    <w:p>
      <w:pPr>
        <w:jc w:val="both"/>
        <w:ind w:firstLine="387"/>
        <w:spacing w:after="0" w:line="283" w:lineRule="auto"/>
        <w:rPr>
          <w:sz w:val="20"/>
          <w:szCs w:val="20"/>
          <w:color w:val="auto"/>
        </w:rPr>
      </w:pPr>
      <w:r>
        <w:rPr>
          <w:rFonts w:ascii="Arial" w:cs="Arial" w:eastAsia="Arial" w:hAnsi="Arial"/>
          <w:sz w:val="16"/>
          <w:szCs w:val="16"/>
          <w:color w:val="auto"/>
        </w:rPr>
        <w:t>Outstanding borrowings under our New Credit Facility bear interest at either a prime rate or a LIBOR rate, plus an applicable margin based upon our leverage ratio. At September 30, 2021, the prime rate margin was equivalent to 0.75% and the LIBOR rate margin was 1.75%. The weighted average interest rate on our New Credit Facility was 2.0% and 2.5% for the three and nine months ended September 30, 2021, respectively. The weighted average interest rate on our Former Credit Facility was 3.9% and 4.0% for the three and nine months ended September 30, 2020, respectively.</w:t>
      </w:r>
    </w:p>
    <w:p>
      <w:pPr>
        <w:spacing w:after="0" w:line="6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interest expense and amortization of debt issuance costs related to our Credit Facility are as follows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3"/>
          </w:tcPr>
          <w:p>
            <w:pPr>
              <w:ind w:left="140"/>
              <w:spacing w:after="0"/>
              <w:rPr>
                <w:sz w:val="20"/>
                <w:szCs w:val="20"/>
                <w:color w:val="auto"/>
              </w:rPr>
            </w:pPr>
            <w:r>
              <w:rPr>
                <w:rFonts w:ascii="Arial" w:cs="Arial" w:eastAsia="Arial" w:hAnsi="Arial"/>
                <w:sz w:val="15"/>
                <w:szCs w:val="15"/>
                <w:b w:val="1"/>
                <w:bCs w:val="1"/>
                <w:color w:val="auto"/>
                <w:w w:val="92"/>
              </w:rPr>
              <w:t>Three months ended September 30,</w:t>
            </w:r>
          </w:p>
        </w:tc>
        <w:tc>
          <w:tcPr>
            <w:tcW w:w="3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357"/>
              <w:spacing w:after="0"/>
              <w:rPr>
                <w:sz w:val="20"/>
                <w:szCs w:val="20"/>
                <w:color w:val="auto"/>
              </w:rPr>
            </w:pPr>
            <w:r>
              <w:rPr>
                <w:rFonts w:ascii="Arial" w:cs="Arial" w:eastAsia="Arial" w:hAnsi="Arial"/>
                <w:sz w:val="15"/>
                <w:szCs w:val="15"/>
                <w:b w:val="1"/>
                <w:bCs w:val="1"/>
                <w:color w:val="auto"/>
                <w:w w:val="98"/>
              </w:rPr>
              <w:t>Nine months ended September 30,</w:t>
            </w:r>
          </w:p>
        </w:tc>
      </w:tr>
      <w:tr>
        <w:trPr>
          <w:trHeight w:val="200"/>
        </w:trPr>
        <w:tc>
          <w:tcPr>
            <w:tcW w:w="47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900"/>
              <w:spacing w:after="0"/>
              <w:rPr>
                <w:sz w:val="20"/>
                <w:szCs w:val="20"/>
                <w:color w:val="auto"/>
              </w:rPr>
            </w:pPr>
            <w:r>
              <w:rPr>
                <w:rFonts w:ascii="Arial" w:cs="Arial" w:eastAsia="Arial" w:hAnsi="Arial"/>
                <w:sz w:val="15"/>
                <w:szCs w:val="15"/>
                <w:b w:val="1"/>
                <w:bCs w:val="1"/>
                <w:color w:val="auto"/>
                <w:w w:val="89"/>
              </w:rPr>
              <w:t>2020</w:t>
            </w:r>
          </w:p>
        </w:tc>
        <w:tc>
          <w:tcPr>
            <w:tcW w:w="1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16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r>
      <w:tr>
        <w:trPr>
          <w:trHeight w:val="215"/>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Credit Facility interest expense</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ind w:left="900"/>
              <w:spacing w:after="0"/>
              <w:rPr>
                <w:sz w:val="20"/>
                <w:szCs w:val="20"/>
                <w:color w:val="auto"/>
              </w:rPr>
            </w:pPr>
            <w:r>
              <w:rPr>
                <w:rFonts w:ascii="Arial" w:cs="Arial" w:eastAsia="Arial" w:hAnsi="Arial"/>
                <w:sz w:val="17"/>
                <w:szCs w:val="17"/>
                <w:color w:val="auto"/>
              </w:rPr>
              <w:t>828</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4"/>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383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3,164</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w:t>
            </w:r>
          </w:p>
        </w:tc>
      </w:tr>
      <w:tr>
        <w:trPr>
          <w:trHeight w:val="218"/>
        </w:trPr>
        <w:tc>
          <w:tcPr>
            <w:tcW w:w="4760" w:type="dxa"/>
            <w:vAlign w:val="bottom"/>
          </w:tcPr>
          <w:p>
            <w:pPr>
              <w:ind w:left="20"/>
              <w:spacing w:after="0"/>
              <w:rPr>
                <w:sz w:val="20"/>
                <w:szCs w:val="20"/>
                <w:color w:val="auto"/>
              </w:rPr>
            </w:pPr>
            <w:r>
              <w:rPr>
                <w:rFonts w:ascii="Arial" w:cs="Arial" w:eastAsia="Arial" w:hAnsi="Arial"/>
                <w:sz w:val="17"/>
                <w:szCs w:val="17"/>
                <w:color w:val="auto"/>
              </w:rPr>
              <w:t>Credit Facility amortization of debt issuance costs</w:t>
            </w:r>
          </w:p>
        </w:tc>
        <w:tc>
          <w:tcPr>
            <w:tcW w:w="260" w:type="dxa"/>
            <w:vAlign w:val="bottom"/>
          </w:tcPr>
          <w:p>
            <w:pPr>
              <w:spacing w:after="0"/>
              <w:rPr>
                <w:sz w:val="18"/>
                <w:szCs w:val="18"/>
                <w:color w:val="auto"/>
              </w:rPr>
            </w:pPr>
          </w:p>
        </w:tc>
        <w:tc>
          <w:tcPr>
            <w:tcW w:w="1220" w:type="dxa"/>
            <w:vAlign w:val="bottom"/>
          </w:tcPr>
          <w:p>
            <w:pPr>
              <w:ind w:left="900"/>
              <w:spacing w:after="0"/>
              <w:rPr>
                <w:sz w:val="20"/>
                <w:szCs w:val="20"/>
                <w:color w:val="auto"/>
              </w:rPr>
            </w:pPr>
            <w:r>
              <w:rPr>
                <w:rFonts w:ascii="Arial" w:cs="Arial" w:eastAsia="Arial" w:hAnsi="Arial"/>
                <w:sz w:val="17"/>
                <w:szCs w:val="17"/>
                <w:color w:val="auto"/>
              </w:rPr>
              <w:t>118</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80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363</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297</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 Obligations</w:t>
      </w:r>
    </w:p>
    <w:p>
      <w:pPr>
        <w:spacing w:after="0" w:line="114" w:lineRule="exact"/>
        <w:rPr>
          <w:sz w:val="20"/>
          <w:szCs w:val="20"/>
          <w:color w:val="auto"/>
        </w:rPr>
      </w:pPr>
    </w:p>
    <w:p>
      <w:pPr>
        <w:jc w:val="both"/>
        <w:ind w:firstLine="387"/>
        <w:spacing w:after="0" w:line="291" w:lineRule="auto"/>
        <w:rPr>
          <w:sz w:val="20"/>
          <w:szCs w:val="20"/>
          <w:color w:val="auto"/>
        </w:rPr>
      </w:pPr>
      <w:r>
        <w:rPr>
          <w:rFonts w:ascii="Arial" w:cs="Arial" w:eastAsia="Arial" w:hAnsi="Arial"/>
          <w:sz w:val="16"/>
          <w:szCs w:val="16"/>
          <w:color w:val="auto"/>
        </w:rPr>
        <w:t>Our lease obligations consist of operating and finance leases. We lease certain office facilities, certain funeral homes and equipment under operating leases with original terms ranging from one to nineteen years. Many leases include one or more options to renew, some of which include options to extend the leases for up to 26 years. We lease certain funeral homes under finance leases with original terms ranging from ten to forty years.</w:t>
      </w:r>
    </w:p>
    <w:p>
      <w:pPr>
        <w:spacing w:after="0" w:line="54" w:lineRule="exact"/>
        <w:rPr>
          <w:sz w:val="20"/>
          <w:szCs w:val="20"/>
          <w:color w:val="auto"/>
        </w:rPr>
      </w:pPr>
    </w:p>
    <w:p>
      <w:pPr>
        <w:jc w:val="both"/>
        <w:ind w:firstLine="387"/>
        <w:spacing w:after="0" w:line="276" w:lineRule="auto"/>
        <w:rPr>
          <w:sz w:val="20"/>
          <w:szCs w:val="20"/>
          <w:color w:val="auto"/>
        </w:rPr>
      </w:pPr>
      <w:r>
        <w:rPr>
          <w:rFonts w:ascii="Arial" w:cs="Arial" w:eastAsia="Arial" w:hAnsi="Arial"/>
          <w:sz w:val="17"/>
          <w:szCs w:val="17"/>
          <w:color w:val="auto"/>
        </w:rPr>
        <w:t>The lease cost related to our operating leases and short-term leases and depreciation expense and interest expense related to our finance leases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w w:val="97"/>
              </w:rPr>
              <w:t>Three months ended September 30,</w:t>
            </w:r>
          </w:p>
        </w:tc>
        <w:tc>
          <w:tcPr>
            <w:tcW w:w="3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w w:val="98"/>
              </w:rPr>
              <w:t>Nine months ended September 30,</w:t>
            </w:r>
          </w:p>
        </w:tc>
        <w:tc>
          <w:tcPr>
            <w:tcW w:w="460" w:type="dxa"/>
            <w:vAlign w:val="bottom"/>
            <w:tcBorders>
              <w:bottom w:val="single" w:sz="8" w:color="auto"/>
            </w:tcBorders>
          </w:tcPr>
          <w:p>
            <w:pPr>
              <w:spacing w:after="0"/>
              <w:rPr>
                <w:sz w:val="17"/>
                <w:szCs w:val="17"/>
                <w:color w:val="auto"/>
              </w:rPr>
            </w:pPr>
          </w:p>
        </w:tc>
      </w:tr>
      <w:tr>
        <w:trPr>
          <w:trHeight w:val="200"/>
        </w:trPr>
        <w:tc>
          <w:tcPr>
            <w:tcW w:w="45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r>
      <w:tr>
        <w:trPr>
          <w:trHeight w:val="215"/>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cost</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927</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14"/>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947</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2,838</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34"/>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2,871</w:t>
            </w:r>
          </w:p>
        </w:tc>
      </w:tr>
      <w:tr>
        <w:trPr>
          <w:trHeight w:val="219"/>
        </w:trPr>
        <w:tc>
          <w:tcPr>
            <w:tcW w:w="4580" w:type="dxa"/>
            <w:vAlign w:val="bottom"/>
          </w:tcPr>
          <w:p>
            <w:pPr>
              <w:ind w:left="20"/>
              <w:spacing w:after="0"/>
              <w:rPr>
                <w:sz w:val="20"/>
                <w:szCs w:val="20"/>
                <w:color w:val="auto"/>
              </w:rPr>
            </w:pPr>
            <w:r>
              <w:rPr>
                <w:rFonts w:ascii="Arial" w:cs="Arial" w:eastAsia="Arial" w:hAnsi="Arial"/>
                <w:sz w:val="17"/>
                <w:szCs w:val="17"/>
                <w:color w:val="auto"/>
              </w:rPr>
              <w:t>Short-term lease cost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35</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39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107</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145</w:t>
            </w:r>
          </w:p>
        </w:tc>
      </w:tr>
      <w:tr>
        <w:trPr>
          <w:trHeight w:val="220"/>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Variable lease cost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r>
      <w:tr>
        <w:trPr>
          <w:trHeight w:val="194"/>
        </w:trPr>
        <w:tc>
          <w:tcPr>
            <w:tcW w:w="4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Finance lease cost: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r>
      <w:tr>
        <w:trPr>
          <w:trHeight w:val="219"/>
        </w:trPr>
        <w:tc>
          <w:tcPr>
            <w:tcW w:w="4580" w:type="dxa"/>
            <w:vAlign w:val="bottom"/>
          </w:tcPr>
          <w:p>
            <w:pPr>
              <w:ind w:left="220"/>
              <w:spacing w:after="0"/>
              <w:rPr>
                <w:sz w:val="20"/>
                <w:szCs w:val="20"/>
                <w:color w:val="auto"/>
              </w:rPr>
            </w:pPr>
            <w:r>
              <w:rPr>
                <w:rFonts w:ascii="Arial" w:cs="Arial" w:eastAsia="Arial" w:hAnsi="Arial"/>
                <w:sz w:val="17"/>
                <w:szCs w:val="17"/>
                <w:color w:val="auto"/>
              </w:rPr>
              <w:t>Depreciation of leased assets</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111</w:t>
            </w:r>
          </w:p>
        </w:tc>
        <w:tc>
          <w:tcPr>
            <w:tcW w:w="220" w:type="dxa"/>
            <w:vAlign w:val="bottom"/>
          </w:tcPr>
          <w:p>
            <w:pPr>
              <w:spacing w:after="0"/>
              <w:rPr>
                <w:sz w:val="19"/>
                <w:szCs w:val="19"/>
                <w:color w:val="auto"/>
              </w:rPr>
            </w:pPr>
          </w:p>
        </w:tc>
        <w:tc>
          <w:tcPr>
            <w:tcW w:w="1120" w:type="dxa"/>
            <w:vAlign w:val="bottom"/>
          </w:tcPr>
          <w:p>
            <w:pPr>
              <w:jc w:val="right"/>
              <w:ind w:right="914"/>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111</w:t>
            </w:r>
          </w:p>
        </w:tc>
        <w:tc>
          <w:tcPr>
            <w:tcW w:w="24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329</w:t>
            </w:r>
          </w:p>
        </w:tc>
        <w:tc>
          <w:tcPr>
            <w:tcW w:w="220" w:type="dxa"/>
            <w:vAlign w:val="bottom"/>
          </w:tcPr>
          <w:p>
            <w:pPr>
              <w:spacing w:after="0"/>
              <w:rPr>
                <w:sz w:val="19"/>
                <w:szCs w:val="19"/>
                <w:color w:val="auto"/>
              </w:rPr>
            </w:pPr>
          </w:p>
        </w:tc>
        <w:tc>
          <w:tcPr>
            <w:tcW w:w="1040" w:type="dxa"/>
            <w:vAlign w:val="bottom"/>
          </w:tcPr>
          <w:p>
            <w:pPr>
              <w:jc w:val="right"/>
              <w:ind w:right="834"/>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328</w:t>
            </w:r>
          </w:p>
        </w:tc>
      </w:tr>
      <w:tr>
        <w:trPr>
          <w:trHeight w:val="220"/>
        </w:trPr>
        <w:tc>
          <w:tcPr>
            <w:tcW w:w="4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on lease liabilities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w:t>
            </w:r>
          </w:p>
        </w:tc>
      </w:tr>
      <w:tr>
        <w:trPr>
          <w:trHeight w:val="811"/>
        </w:trPr>
        <w:tc>
          <w:tcPr>
            <w:tcW w:w="4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156"/>
              <w:spacing w:after="0"/>
              <w:rPr>
                <w:sz w:val="20"/>
                <w:szCs w:val="20"/>
                <w:color w:val="auto"/>
              </w:rPr>
            </w:pPr>
            <w:r>
              <w:rPr>
                <w:rFonts w:ascii="Arial" w:cs="Arial" w:eastAsia="Arial" w:hAnsi="Arial"/>
                <w:sz w:val="17"/>
                <w:szCs w:val="17"/>
                <w:color w:val="auto"/>
              </w:rPr>
              <w:t>- 46 -</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11"/>
        </w:trPr>
        <w:tc>
          <w:tcPr>
            <w:tcW w:w="45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i w:val="1"/>
          <w:iCs w:val="1"/>
          <w:color w:val="auto"/>
        </w:rPr>
        <w:t>Acquisition Debt</w:t>
      </w:r>
    </w:p>
    <w:p>
      <w:pPr>
        <w:spacing w:after="0" w:line="114"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Acquisition debt consists of deferred purchase price and promissory notes payable to sellers. A majority of the deferred purchase price and notes bear no interest and are discounted at imputed interest rates ranging from 7.3% to 10.0%. Original maturities range from five to twenty years.</w:t>
      </w:r>
    </w:p>
    <w:p>
      <w:pPr>
        <w:spacing w:after="0" w:line="6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imputed interest expense related to our acquisition debt is as follows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3"/>
          </w:tcPr>
          <w:p>
            <w:pPr>
              <w:ind w:left="160"/>
              <w:spacing w:after="0"/>
              <w:rPr>
                <w:sz w:val="20"/>
                <w:szCs w:val="20"/>
                <w:color w:val="auto"/>
              </w:rPr>
            </w:pPr>
            <w:r>
              <w:rPr>
                <w:rFonts w:ascii="Arial" w:cs="Arial" w:eastAsia="Arial" w:hAnsi="Arial"/>
                <w:sz w:val="15"/>
                <w:szCs w:val="15"/>
                <w:b w:val="1"/>
                <w:bCs w:val="1"/>
                <w:color w:val="auto"/>
                <w:w w:val="93"/>
              </w:rPr>
              <w:t>Three months ended September 30,</w:t>
            </w:r>
          </w:p>
        </w:tc>
        <w:tc>
          <w:tcPr>
            <w:tcW w:w="3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3"/>
          </w:tcPr>
          <w:p>
            <w:pPr>
              <w:ind w:left="180"/>
              <w:spacing w:after="0"/>
              <w:rPr>
                <w:sz w:val="20"/>
                <w:szCs w:val="20"/>
                <w:color w:val="auto"/>
              </w:rPr>
            </w:pPr>
            <w:r>
              <w:rPr>
                <w:rFonts w:ascii="Arial" w:cs="Arial" w:eastAsia="Arial" w:hAnsi="Arial"/>
                <w:sz w:val="15"/>
                <w:szCs w:val="15"/>
                <w:b w:val="1"/>
                <w:bCs w:val="1"/>
                <w:color w:val="auto"/>
                <w:w w:val="94"/>
              </w:rPr>
              <w:t>Nine months ended September 30,</w:t>
            </w:r>
          </w:p>
        </w:tc>
        <w:tc>
          <w:tcPr>
            <w:tcW w:w="400" w:type="dxa"/>
            <w:vAlign w:val="bottom"/>
            <w:tcBorders>
              <w:bottom w:val="single" w:sz="8" w:color="auto"/>
            </w:tcBorders>
          </w:tcPr>
          <w:p>
            <w:pPr>
              <w:spacing w:after="0"/>
              <w:rPr>
                <w:sz w:val="17"/>
                <w:szCs w:val="17"/>
                <w:color w:val="auto"/>
              </w:rPr>
            </w:pPr>
          </w:p>
        </w:tc>
      </w:tr>
      <w:tr>
        <w:trPr>
          <w:trHeight w:val="200"/>
        </w:trPr>
        <w:tc>
          <w:tcPr>
            <w:tcW w:w="45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880"/>
              <w:spacing w:after="0"/>
              <w:rPr>
                <w:sz w:val="20"/>
                <w:szCs w:val="20"/>
                <w:color w:val="auto"/>
              </w:rPr>
            </w:pPr>
            <w:r>
              <w:rPr>
                <w:rFonts w:ascii="Arial" w:cs="Arial" w:eastAsia="Arial" w:hAnsi="Arial"/>
                <w:sz w:val="15"/>
                <w:szCs w:val="15"/>
                <w:b w:val="1"/>
                <w:bCs w:val="1"/>
                <w:color w:val="auto"/>
                <w:w w:val="95"/>
              </w:rPr>
              <w:t>2020</w:t>
            </w:r>
          </w:p>
        </w:tc>
        <w:tc>
          <w:tcPr>
            <w:tcW w:w="2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860"/>
              <w:spacing w:after="0"/>
              <w:rPr>
                <w:sz w:val="20"/>
                <w:szCs w:val="20"/>
                <w:color w:val="auto"/>
              </w:rPr>
            </w:pPr>
            <w:r>
              <w:rPr>
                <w:rFonts w:ascii="Arial" w:cs="Arial" w:eastAsia="Arial" w:hAnsi="Arial"/>
                <w:sz w:val="15"/>
                <w:szCs w:val="15"/>
                <w:b w:val="1"/>
                <w:bCs w:val="1"/>
                <w:color w:val="auto"/>
                <w:w w:val="95"/>
              </w:rPr>
              <w:t>2020</w:t>
            </w:r>
          </w:p>
        </w:tc>
        <w:tc>
          <w:tcPr>
            <w:tcW w:w="2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w w:val="89"/>
              </w:rPr>
              <w:t>2021</w:t>
            </w:r>
          </w:p>
        </w:tc>
      </w:tr>
      <w:tr>
        <w:trPr>
          <w:trHeight w:val="215"/>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Acquisition debt imputed interest expense</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ind w:left="880"/>
              <w:spacing w:after="0"/>
              <w:rPr>
                <w:sz w:val="20"/>
                <w:szCs w:val="20"/>
                <w:color w:val="auto"/>
              </w:rPr>
            </w:pPr>
            <w:r>
              <w:rPr>
                <w:rFonts w:ascii="Arial" w:cs="Arial" w:eastAsia="Arial" w:hAnsi="Arial"/>
                <w:sz w:val="17"/>
                <w:szCs w:val="17"/>
                <w:color w:val="auto"/>
              </w:rPr>
              <w:t>122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14"/>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ind w:left="860"/>
              <w:spacing w:after="0"/>
              <w:rPr>
                <w:sz w:val="20"/>
                <w:szCs w:val="20"/>
                <w:color w:val="auto"/>
              </w:rPr>
            </w:pPr>
            <w:r>
              <w:rPr>
                <w:rFonts w:ascii="Arial" w:cs="Arial" w:eastAsia="Arial" w:hAnsi="Arial"/>
                <w:sz w:val="17"/>
                <w:szCs w:val="17"/>
                <w:color w:val="auto"/>
              </w:rPr>
              <w:t>373</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94"/>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ind w:left="80"/>
              <w:spacing w:after="0"/>
              <w:rPr>
                <w:sz w:val="20"/>
                <w:szCs w:val="20"/>
                <w:color w:val="auto"/>
              </w:rPr>
            </w:pPr>
            <w:r>
              <w:rPr>
                <w:rFonts w:ascii="Arial" w:cs="Arial" w:eastAsia="Arial" w:hAnsi="Arial"/>
                <w:sz w:val="17"/>
                <w:szCs w:val="17"/>
                <w:color w:val="auto"/>
              </w:rPr>
              <w:t>280</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Convertible Subordinated Notes due 2021</w:t>
      </w:r>
    </w:p>
    <w:p>
      <w:pPr>
        <w:spacing w:after="0" w:line="114" w:lineRule="exact"/>
        <w:rPr>
          <w:sz w:val="20"/>
          <w:szCs w:val="20"/>
          <w:color w:val="auto"/>
        </w:rPr>
      </w:pPr>
    </w:p>
    <w:p>
      <w:pPr>
        <w:jc w:val="both"/>
        <w:ind w:firstLine="387"/>
        <w:spacing w:after="0" w:line="318" w:lineRule="auto"/>
        <w:rPr>
          <w:sz w:val="20"/>
          <w:szCs w:val="20"/>
          <w:color w:val="auto"/>
        </w:rPr>
      </w:pPr>
      <w:r>
        <w:rPr>
          <w:rFonts w:ascii="Arial" w:cs="Arial" w:eastAsia="Arial" w:hAnsi="Arial"/>
          <w:sz w:val="15"/>
          <w:szCs w:val="15"/>
          <w:color w:val="auto"/>
        </w:rPr>
        <w:t>During the nine months ended September 30, 2021, we converted approximately $2.4 million in aggregate principal amount of our Convertible Notes held by certain holders for approximately $3.8 million in cash. The Convertible Notes matured on March 15, 2021, at which time all Convertible Notes then outstanding, approximately $0.2 million in aggregate principal amount, were paid in full in cash at par value. No Convertible Notes remain outstanding at September 30, 2021.</w:t>
      </w:r>
    </w:p>
    <w:p>
      <w:pPr>
        <w:spacing w:after="0" w:line="3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interest expense and accretion of debt discount and debt issuance costs related to our Convertible Notes are as follows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w w:val="97"/>
              </w:rPr>
              <w:t>Three months ended September 30,</w:t>
            </w:r>
          </w:p>
        </w:tc>
        <w:tc>
          <w:tcPr>
            <w:tcW w:w="3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w w:val="98"/>
              </w:rPr>
              <w:t>Nine months ended September 30,</w:t>
            </w:r>
          </w:p>
        </w:tc>
        <w:tc>
          <w:tcPr>
            <w:tcW w:w="400" w:type="dxa"/>
            <w:vAlign w:val="bottom"/>
            <w:tcBorders>
              <w:bottom w:val="single" w:sz="8" w:color="auto"/>
            </w:tcBorders>
          </w:tcPr>
          <w:p>
            <w:pPr>
              <w:spacing w:after="0"/>
              <w:rPr>
                <w:sz w:val="17"/>
                <w:szCs w:val="17"/>
                <w:color w:val="auto"/>
              </w:rPr>
            </w:pPr>
          </w:p>
        </w:tc>
      </w:tr>
      <w:tr>
        <w:trPr>
          <w:trHeight w:val="200"/>
        </w:trPr>
        <w:tc>
          <w:tcPr>
            <w:tcW w:w="45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r>
      <w:tr>
        <w:trPr>
          <w:trHeight w:val="215"/>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Convertible Notes interest expense</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14"/>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94"/>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219"/>
        </w:trPr>
        <w:tc>
          <w:tcPr>
            <w:tcW w:w="4580" w:type="dxa"/>
            <w:vAlign w:val="bottom"/>
          </w:tcPr>
          <w:p>
            <w:pPr>
              <w:ind w:left="20"/>
              <w:spacing w:after="0"/>
              <w:rPr>
                <w:sz w:val="20"/>
                <w:szCs w:val="20"/>
                <w:color w:val="auto"/>
              </w:rPr>
            </w:pPr>
            <w:r>
              <w:rPr>
                <w:rFonts w:ascii="Arial" w:cs="Arial" w:eastAsia="Arial" w:hAnsi="Arial"/>
                <w:sz w:val="17"/>
                <w:szCs w:val="17"/>
                <w:color w:val="auto"/>
              </w:rPr>
              <w:t>Convertible Notes accretion of debt discount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69</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200</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20"/>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Convertible Notes amortization of debt issuance costs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bl>
    <w:p>
      <w:pPr>
        <w:spacing w:after="0" w:line="168"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The effective interest rate on the unamortized debt discount for both the three months ended September 30, 2020 and 2021 was 11.4%. The effective interest rate on the debt issuance costs for the three months ended September 30, 2020 and 2021 was 3.2% and 3.1%,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Senior Notes</w:t>
      </w:r>
    </w:p>
    <w:p>
      <w:pPr>
        <w:spacing w:after="0" w:line="114"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color w:val="auto"/>
        </w:rPr>
        <w:t>On May 13, 2021, we completed the issuance of the New Senior Notes and related guarantees by the Subsidiary Guarantors in a private offering under Rule 144A and Regulation S of the Securities Act. We used the proceeds of $395.5 million from the offering of the New Senior Notes, which are net of a 1.125% debt discount of $4.5 million, together with cash on hand and borrowings under the New Credit Facility, to redeem all of the then outstanding Original Senior Notes. We paid a premium of $19.9 million to redeem the Original Senior Notes on June 1, 2021 at a redemption price of 104.97% of the principal amount thereof, plus accrued and unpaid interest of $13.25 million. During the nine months ended September 30, 2021, we incurred $1.3 million in transaction costs related to the New Senior Notes.</w:t>
      </w:r>
    </w:p>
    <w:p>
      <w:pPr>
        <w:spacing w:after="0" w:line="81" w:lineRule="exact"/>
        <w:rPr>
          <w:sz w:val="20"/>
          <w:szCs w:val="20"/>
          <w:color w:val="auto"/>
        </w:rPr>
      </w:pPr>
    </w:p>
    <w:p>
      <w:pPr>
        <w:jc w:val="both"/>
        <w:ind w:firstLine="387"/>
        <w:spacing w:after="0" w:line="291" w:lineRule="auto"/>
        <w:rPr>
          <w:sz w:val="20"/>
          <w:szCs w:val="20"/>
          <w:color w:val="auto"/>
        </w:rPr>
      </w:pPr>
      <w:r>
        <w:rPr>
          <w:rFonts w:ascii="Arial" w:cs="Arial" w:eastAsia="Arial" w:hAnsi="Arial"/>
          <w:sz w:val="16"/>
          <w:szCs w:val="16"/>
          <w:color w:val="auto"/>
        </w:rPr>
        <w:t xml:space="preserve">For the nine months ended September 30, 2021, we recognized a net loss of $23.7 million related to the redemption of the Original Senior Notes, which was recorded in </w:t>
      </w:r>
      <w:r>
        <w:rPr>
          <w:rFonts w:ascii="Arial" w:cs="Arial" w:eastAsia="Arial" w:hAnsi="Arial"/>
          <w:sz w:val="16"/>
          <w:szCs w:val="16"/>
          <w:i w:val="1"/>
          <w:iCs w:val="1"/>
          <w:color w:val="auto"/>
        </w:rPr>
        <w:t>Loss on extinguishment of debt</w:t>
      </w:r>
      <w:r>
        <w:rPr>
          <w:rFonts w:ascii="Arial" w:cs="Arial" w:eastAsia="Arial" w:hAnsi="Arial"/>
          <w:sz w:val="16"/>
          <w:szCs w:val="16"/>
          <w:color w:val="auto"/>
        </w:rPr>
        <w:t>. The loss is composed of the $19.9 million call premium, the write-off of $3.4 million in unamortized debt discount, the write-off of $1.8 million in unamortized debt issuance costs, offset by the write-off of $1.4 million in unamortized debt premium.</w:t>
      </w:r>
    </w:p>
    <w:p>
      <w:pPr>
        <w:spacing w:after="0" w:line="54"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The New Senior Notes were issued under the Indenture, dated as of May 13, 2021, among the Company, the Subsidiary Guarantors and Wilmington Trust, National Association, as trustee.</w:t>
      </w:r>
    </w:p>
    <w:p>
      <w:pPr>
        <w:spacing w:after="0" w:line="60" w:lineRule="exact"/>
        <w:rPr>
          <w:sz w:val="20"/>
          <w:szCs w:val="20"/>
          <w:color w:val="auto"/>
        </w:rPr>
      </w:pPr>
    </w:p>
    <w:p>
      <w:pPr>
        <w:jc w:val="both"/>
        <w:ind w:firstLine="387"/>
        <w:spacing w:after="0" w:line="318" w:lineRule="auto"/>
        <w:rPr>
          <w:sz w:val="20"/>
          <w:szCs w:val="20"/>
          <w:color w:val="auto"/>
        </w:rPr>
      </w:pPr>
      <w:r>
        <w:rPr>
          <w:rFonts w:ascii="Arial" w:cs="Arial" w:eastAsia="Arial" w:hAnsi="Arial"/>
          <w:sz w:val="15"/>
          <w:szCs w:val="15"/>
          <w:color w:val="auto"/>
        </w:rPr>
        <w:t>The New Senior Notes bear interest at 4.25% per year. Interest on the New Senior Notes is payable semi-annually in arrears on May 15 and November 15 of each year, beginning on November 15, 2021. The New Senior Notes mature on May 15, 2029, unless earlier redeemed or purchased. The New Senior Notes are unsecured, senior obligations and are fully and unconditionally guaranteed on a senior unsecured basis, jointly and severally by each of the Subsidiary Guarantors.</w:t>
      </w:r>
    </w:p>
    <w:p>
      <w:pPr>
        <w:spacing w:after="0" w:line="37" w:lineRule="exact"/>
        <w:rPr>
          <w:sz w:val="20"/>
          <w:szCs w:val="20"/>
          <w:color w:val="auto"/>
        </w:rPr>
      </w:pPr>
    </w:p>
    <w:p>
      <w:pPr>
        <w:jc w:val="both"/>
        <w:ind w:firstLine="387"/>
        <w:spacing w:after="0" w:line="297" w:lineRule="auto"/>
        <w:rPr>
          <w:sz w:val="20"/>
          <w:szCs w:val="20"/>
          <w:color w:val="auto"/>
        </w:rPr>
      </w:pPr>
      <w:r>
        <w:rPr>
          <w:rFonts w:ascii="Arial" w:cs="Arial" w:eastAsia="Arial" w:hAnsi="Arial"/>
          <w:sz w:val="15"/>
          <w:szCs w:val="15"/>
          <w:color w:val="auto"/>
        </w:rPr>
        <w:t>We may redeem the New Senior Notes, in whole or in part, at the redemption price of 102.13% on or after May 15, 2024, 101.06% on or after May 15, 2025 and 100% on or after May 15, 2026, plus accrued and unpaid interest, if any, to, but excluding, the redemption date. At any time before May 15, 2024, we may also redeem all or part of the New Senior Notes at the redemption prices described in the Indenture, plus accrued and unpaid interest, if any, to (but excluding) the date of redemption. In addition, before May 15, 2024, we may redeem up to 40% of the aggregate principal amount of the New Senior Notes outstanding using an amount of cash equal to the net proceeds of certain equity offerings, at a price of 104.25% of the principal amount of the New Senior Notes, plus accrued and unpaid interest, if any, to (but excluding) the date of redemption; provided that (1) at least 50% of the aggregate principal amount of the New Senior Notes (including any additional New Senior Notes) outstanding under the Indenture remain outstanding immediately after the occurrence of such redemption (unless all</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47" w:name="page48"/>
    <w:bookmarkEnd w:id="47"/>
    <w:p>
      <w:pPr>
        <w:jc w:val="both"/>
        <w:spacing w:after="0" w:line="280" w:lineRule="auto"/>
        <w:rPr>
          <w:sz w:val="20"/>
          <w:szCs w:val="20"/>
          <w:color w:val="auto"/>
        </w:rPr>
      </w:pPr>
      <w:r>
        <w:rPr>
          <w:rFonts w:ascii="Arial" w:cs="Arial" w:eastAsia="Arial" w:hAnsi="Arial"/>
          <w:sz w:val="17"/>
          <w:szCs w:val="17"/>
          <w:color w:val="auto"/>
        </w:rPr>
        <w:t>New Senior Notes are redeemed concurrently), and (2) each such redemption must occur within 180 days of the date of the consummation of any such equity offering.</w:t>
      </w:r>
    </w:p>
    <w:p>
      <w:pPr>
        <w:spacing w:after="0" w:line="60" w:lineRule="exact"/>
        <w:rPr>
          <w:sz w:val="20"/>
          <w:szCs w:val="20"/>
          <w:color w:val="auto"/>
        </w:rPr>
      </w:pPr>
    </w:p>
    <w:p>
      <w:pPr>
        <w:jc w:val="both"/>
        <w:ind w:firstLine="387"/>
        <w:spacing w:after="0" w:line="283" w:lineRule="auto"/>
        <w:rPr>
          <w:sz w:val="20"/>
          <w:szCs w:val="20"/>
          <w:color w:val="auto"/>
        </w:rPr>
      </w:pPr>
      <w:r>
        <w:rPr>
          <w:rFonts w:ascii="Arial" w:cs="Arial" w:eastAsia="Arial" w:hAnsi="Arial"/>
          <w:sz w:val="16"/>
          <w:szCs w:val="16"/>
          <w:color w:val="auto"/>
        </w:rPr>
        <w:t>If a “change of control” occurs, holders of the New Senior Notes will have the option to require us to purchase for cash all or a portion of their New Senior Notes at a price equal to 101% of the principal amount of the New Senior Notes, plus accrued and unpaid interest. In addition, if we make certain asset sales and do not reinvest the proceeds thereof or use such proceeds to repay certain debt, we will be required to use the proceeds of such asset sales to make an offer to purchase the New Senior Notes at a price equal to 100% of the principal amount of the New Senior Notes, plus accrued and unpaid interest.</w:t>
      </w:r>
    </w:p>
    <w:p>
      <w:pPr>
        <w:spacing w:after="0" w:line="61"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The Indenture contains restrictive covenants limiting our ability and our Restricted Subsidiaries (as defined in the Indenture) to, among other things, incur additional indebtedness or issue certain preferred shares, create liens on certain assets to secure debt, pay dividends or make other equity distributions, purchase or redeem capital stock, make certain investments, sell assets, agree to certain restrictions on the ability of Restricted Subsidiaries to make payments to us, consolidate, merge, sell or otherwise dispose of all or substantially all assets, or engage in transactions with affiliates. The Indenture also contains customary events of default.</w:t>
      </w:r>
    </w:p>
    <w:p>
      <w:pPr>
        <w:spacing w:after="0" w:line="77"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The debt discount and the debt issuance costs are being amortized using the effective interest method over the remaining term of approximately 92 months of the New Senior Notes. The effective interest rate on the unamortized debt discount and the unamortized debt issuance costs for the New Senior Notes for both three and nine months ended September 30, 2021 was 4.42% and 4.30%, respectively.</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interest expense and amortization of debt discount, debt premium and debt issuance costs related to our Senior Notes are as follows (in thousands):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80" w:type="dxa"/>
            <w:vAlign w:val="bottom"/>
            <w:gridSpan w:val="5"/>
          </w:tcPr>
          <w:p>
            <w:pPr>
              <w:ind w:left="160"/>
              <w:spacing w:after="0"/>
              <w:rPr>
                <w:sz w:val="20"/>
                <w:szCs w:val="20"/>
                <w:color w:val="auto"/>
              </w:rPr>
            </w:pPr>
            <w:r>
              <w:rPr>
                <w:rFonts w:ascii="Arial" w:cs="Arial" w:eastAsia="Arial" w:hAnsi="Arial"/>
                <w:sz w:val="15"/>
                <w:szCs w:val="15"/>
                <w:b w:val="1"/>
                <w:bCs w:val="1"/>
                <w:color w:val="auto"/>
              </w:rPr>
              <w:t>Three months ended September 30,</w:t>
            </w:r>
          </w:p>
        </w:tc>
        <w:tc>
          <w:tcPr>
            <w:tcW w:w="300" w:type="dxa"/>
            <w:vAlign w:val="bottom"/>
          </w:tcPr>
          <w:p>
            <w:pPr>
              <w:spacing w:after="0"/>
              <w:rPr>
                <w:sz w:val="17"/>
                <w:szCs w:val="17"/>
                <w:color w:val="auto"/>
              </w:rPr>
            </w:pPr>
          </w:p>
        </w:tc>
        <w:tc>
          <w:tcPr>
            <w:tcW w:w="2920" w:type="dxa"/>
            <w:vAlign w:val="bottom"/>
            <w:gridSpan w:val="4"/>
          </w:tcPr>
          <w:p>
            <w:pPr>
              <w:jc w:val="right"/>
              <w:ind w:right="396"/>
              <w:spacing w:after="0"/>
              <w:rPr>
                <w:sz w:val="20"/>
                <w:szCs w:val="20"/>
                <w:color w:val="auto"/>
              </w:rPr>
            </w:pPr>
            <w:r>
              <w:rPr>
                <w:rFonts w:ascii="Arial" w:cs="Arial" w:eastAsia="Arial" w:hAnsi="Arial"/>
                <w:sz w:val="15"/>
                <w:szCs w:val="15"/>
                <w:b w:val="1"/>
                <w:bCs w:val="1"/>
                <w:color w:val="auto"/>
                <w:w w:val="98"/>
              </w:rPr>
              <w:t>Nine months ended September 30,</w:t>
            </w:r>
          </w:p>
        </w:tc>
      </w:tr>
      <w:tr>
        <w:trPr>
          <w:trHeight w:val="200"/>
        </w:trPr>
        <w:tc>
          <w:tcPr>
            <w:tcW w:w="45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top w:val="single" w:sz="8" w:color="auto"/>
              <w:bottom w:val="single" w:sz="8" w:color="CCEEFF"/>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24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top w:val="single" w:sz="8" w:color="auto"/>
              <w:bottom w:val="single" w:sz="8" w:color="CCEEFF"/>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r>
      <w:tr>
        <w:trPr>
          <w:trHeight w:val="215"/>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Senior Notes interest expense</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6,625</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19,875</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17,517</w:t>
            </w:r>
          </w:p>
        </w:tc>
      </w:tr>
      <w:tr>
        <w:trPr>
          <w:trHeight w:val="219"/>
        </w:trPr>
        <w:tc>
          <w:tcPr>
            <w:tcW w:w="4580" w:type="dxa"/>
            <w:vAlign w:val="bottom"/>
          </w:tcPr>
          <w:p>
            <w:pPr>
              <w:ind w:left="20"/>
              <w:spacing w:after="0"/>
              <w:rPr>
                <w:sz w:val="20"/>
                <w:szCs w:val="20"/>
                <w:color w:val="auto"/>
              </w:rPr>
            </w:pPr>
            <w:r>
              <w:rPr>
                <w:rFonts w:ascii="Arial" w:cs="Arial" w:eastAsia="Arial" w:hAnsi="Arial"/>
                <w:sz w:val="17"/>
                <w:szCs w:val="17"/>
                <w:color w:val="auto"/>
              </w:rPr>
              <w:t>Senior Notes amortization of debt discount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133</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393</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384</w:t>
            </w:r>
          </w:p>
        </w:tc>
      </w:tr>
      <w:tr>
        <w:trPr>
          <w:trHeight w:val="220"/>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Senior Notes amortization of debt premium</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r>
      <w:tr>
        <w:trPr>
          <w:trHeight w:val="218"/>
        </w:trPr>
        <w:tc>
          <w:tcPr>
            <w:tcW w:w="4580" w:type="dxa"/>
            <w:vAlign w:val="bottom"/>
          </w:tcPr>
          <w:p>
            <w:pPr>
              <w:ind w:left="20"/>
              <w:spacing w:after="0"/>
              <w:rPr>
                <w:sz w:val="20"/>
                <w:szCs w:val="20"/>
                <w:color w:val="auto"/>
              </w:rPr>
            </w:pPr>
            <w:r>
              <w:rPr>
                <w:rFonts w:ascii="Arial" w:cs="Arial" w:eastAsia="Arial" w:hAnsi="Arial"/>
                <w:sz w:val="17"/>
                <w:szCs w:val="17"/>
                <w:color w:val="auto"/>
              </w:rPr>
              <w:t>Senior Notes amortization of debt issuance costs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72</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208</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161</w:t>
            </w:r>
          </w:p>
        </w:tc>
      </w:tr>
    </w:tbl>
    <w:p>
      <w:pPr>
        <w:spacing w:after="0" w:line="18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At September 30, 2021, the fair value of the New Senior Notes, which are Level 2 measurements, was $403.2 million.</w:t>
      </w:r>
    </w:p>
    <w:p>
      <w:pPr>
        <w:spacing w:after="0" w:line="76"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The effective interest rate on the unamortized debt discount and unamortized debt issuance costs for the Original Senior Notes, issued in May 2018, for both the three and nine months ended September 30, 2020 was 6.87% and 6.69%, respectively. The effective interest rate on the unamortized debt premium and the unamortized debt issuance costs for the additional Original Senior Notes, issued in December 2019, for both the three and nine months ended September 30, 2020 was 6.20% and 6.90%,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HIGHLIGHTS</w:t>
      </w:r>
    </w:p>
    <w:p>
      <w:pPr>
        <w:spacing w:after="0" w:line="12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Below are our financial highlights (in thousands except for volumes and averages):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80" w:type="dxa"/>
            <w:vAlign w:val="bottom"/>
            <w:gridSpan w:val="5"/>
          </w:tcPr>
          <w:p>
            <w:pPr>
              <w:ind w:left="160"/>
              <w:spacing w:after="0"/>
              <w:rPr>
                <w:sz w:val="20"/>
                <w:szCs w:val="20"/>
                <w:color w:val="auto"/>
              </w:rPr>
            </w:pPr>
            <w:r>
              <w:rPr>
                <w:rFonts w:ascii="Arial" w:cs="Arial" w:eastAsia="Arial" w:hAnsi="Arial"/>
                <w:sz w:val="15"/>
                <w:szCs w:val="15"/>
                <w:b w:val="1"/>
                <w:bCs w:val="1"/>
                <w:color w:val="auto"/>
              </w:rPr>
              <w:t>Three months ended September 30,</w:t>
            </w:r>
          </w:p>
        </w:tc>
        <w:tc>
          <w:tcPr>
            <w:tcW w:w="300" w:type="dxa"/>
            <w:vAlign w:val="bottom"/>
          </w:tcPr>
          <w:p>
            <w:pPr>
              <w:spacing w:after="0"/>
              <w:rPr>
                <w:sz w:val="17"/>
                <w:szCs w:val="17"/>
                <w:color w:val="auto"/>
              </w:rPr>
            </w:pPr>
          </w:p>
        </w:tc>
        <w:tc>
          <w:tcPr>
            <w:tcW w:w="2920" w:type="dxa"/>
            <w:vAlign w:val="bottom"/>
            <w:gridSpan w:val="4"/>
          </w:tcPr>
          <w:p>
            <w:pPr>
              <w:jc w:val="right"/>
              <w:ind w:right="395"/>
              <w:spacing w:after="0"/>
              <w:rPr>
                <w:sz w:val="20"/>
                <w:szCs w:val="20"/>
                <w:color w:val="auto"/>
              </w:rPr>
            </w:pPr>
            <w:r>
              <w:rPr>
                <w:rFonts w:ascii="Arial" w:cs="Arial" w:eastAsia="Arial" w:hAnsi="Arial"/>
                <w:sz w:val="15"/>
                <w:szCs w:val="15"/>
                <w:b w:val="1"/>
                <w:bCs w:val="1"/>
                <w:color w:val="auto"/>
                <w:w w:val="98"/>
              </w:rPr>
              <w:t>Nine months ended September 30,</w:t>
            </w:r>
          </w:p>
        </w:tc>
      </w:tr>
      <w:tr>
        <w:trPr>
          <w:trHeight w:val="200"/>
        </w:trPr>
        <w:tc>
          <w:tcPr>
            <w:tcW w:w="456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top w:val="single" w:sz="8" w:color="auto"/>
              <w:bottom w:val="single" w:sz="8" w:color="CCEEFF"/>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24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top w:val="single" w:sz="8" w:color="auto"/>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r>
      <w:tr>
        <w:trPr>
          <w:trHeight w:val="215"/>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84,393</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95,041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239,360</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279,955</w:t>
            </w:r>
          </w:p>
        </w:tc>
      </w:tr>
      <w:tr>
        <w:trPr>
          <w:trHeight w:val="219"/>
        </w:trPr>
        <w:tc>
          <w:tcPr>
            <w:tcW w:w="4560" w:type="dxa"/>
            <w:vAlign w:val="bottom"/>
          </w:tcPr>
          <w:p>
            <w:pPr>
              <w:ind w:left="20"/>
              <w:spacing w:after="0"/>
              <w:rPr>
                <w:sz w:val="20"/>
                <w:szCs w:val="20"/>
                <w:color w:val="auto"/>
              </w:rPr>
            </w:pPr>
            <w:r>
              <w:rPr>
                <w:rFonts w:ascii="Arial" w:cs="Arial" w:eastAsia="Arial" w:hAnsi="Arial"/>
                <w:sz w:val="17"/>
                <w:szCs w:val="17"/>
                <w:color w:val="auto"/>
              </w:rPr>
              <w:t>Funeral contracts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11,512</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12,566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34,742</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36,704</w:t>
            </w:r>
          </w:p>
        </w:tc>
      </w:tr>
      <w:tr>
        <w:trPr>
          <w:trHeight w:val="220"/>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Average revenue per funeral contract</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5,194</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5,358</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5,110</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5,336</w:t>
            </w:r>
          </w:p>
        </w:tc>
      </w:tr>
      <w:tr>
        <w:trPr>
          <w:trHeight w:val="219"/>
        </w:trPr>
        <w:tc>
          <w:tcPr>
            <w:tcW w:w="4560" w:type="dxa"/>
            <w:vAlign w:val="bottom"/>
          </w:tcPr>
          <w:p>
            <w:pPr>
              <w:ind w:left="20"/>
              <w:spacing w:after="0"/>
              <w:rPr>
                <w:sz w:val="20"/>
                <w:szCs w:val="20"/>
                <w:color w:val="auto"/>
              </w:rPr>
            </w:pPr>
            <w:r>
              <w:rPr>
                <w:rFonts w:ascii="Arial" w:cs="Arial" w:eastAsia="Arial" w:hAnsi="Arial"/>
                <w:sz w:val="17"/>
                <w:szCs w:val="17"/>
                <w:color w:val="auto"/>
              </w:rPr>
              <w:t>Preneed interment rights (property) sold</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2,655</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2,841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6,861</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8,775</w:t>
            </w:r>
          </w:p>
        </w:tc>
      </w:tr>
      <w:tr>
        <w:trPr>
          <w:trHeight w:val="220"/>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Average price per preneed interment right sold</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3,662</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4,763</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3,805</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4,635</w:t>
            </w:r>
          </w:p>
        </w:tc>
      </w:tr>
      <w:tr>
        <w:trPr>
          <w:trHeight w:val="219"/>
        </w:trPr>
        <w:tc>
          <w:tcPr>
            <w:tcW w:w="456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27,874</w:t>
            </w:r>
          </w:p>
        </w:tc>
        <w:tc>
          <w:tcPr>
            <w:tcW w:w="220" w:type="dxa"/>
            <w:vAlign w:val="bottom"/>
          </w:tcPr>
          <w:p>
            <w:pPr>
              <w:spacing w:after="0"/>
              <w:rPr>
                <w:sz w:val="19"/>
                <w:szCs w:val="19"/>
                <w:color w:val="auto"/>
              </w:rPr>
            </w:pPr>
          </w:p>
        </w:tc>
        <w:tc>
          <w:tcPr>
            <w:tcW w:w="540" w:type="dxa"/>
            <w:vAlign w:val="bottom"/>
          </w:tcPr>
          <w:p>
            <w:pPr>
              <w:jc w:val="right"/>
              <w:ind w:right="334"/>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33,164</w:t>
            </w:r>
          </w:p>
        </w:tc>
        <w:tc>
          <w:tcPr>
            <w:tcW w:w="24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76,205</w:t>
            </w:r>
          </w:p>
        </w:tc>
        <w:tc>
          <w:tcPr>
            <w:tcW w:w="220" w:type="dxa"/>
            <w:vAlign w:val="bottom"/>
          </w:tcPr>
          <w:p>
            <w:pPr>
              <w:spacing w:after="0"/>
              <w:rPr>
                <w:sz w:val="19"/>
                <w:szCs w:val="19"/>
                <w:color w:val="auto"/>
              </w:rPr>
            </w:pPr>
          </w:p>
        </w:tc>
        <w:tc>
          <w:tcPr>
            <w:tcW w:w="500" w:type="dxa"/>
            <w:vAlign w:val="bottom"/>
          </w:tcPr>
          <w:p>
            <w:pPr>
              <w:jc w:val="right"/>
              <w:ind w:right="294"/>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97,152</w:t>
            </w:r>
          </w:p>
        </w:tc>
      </w:tr>
      <w:tr>
        <w:trPr>
          <w:trHeight w:val="220"/>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5,525</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13,046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7,725</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19,812</w:t>
            </w:r>
          </w:p>
        </w:tc>
      </w:tr>
    </w:tbl>
    <w:p>
      <w:pPr>
        <w:spacing w:after="0" w:line="181"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6"/>
          <w:szCs w:val="16"/>
          <w:color w:val="auto"/>
        </w:rPr>
        <w:t>Revenue for the three months ended September 30, 2021 increased $10.6 million compared to the three months ended September 30, 2020, as we experienced a 7.0% increase in the number of preneed interment rights (property) sold, as well as a 30.1% increase in the average price per interment right sold, primarily due to (1) our sales personnel being less impacted by social distancing restrictions that were in place in the third quarter of 2020 due to COVID-19; (2) the full integration of the cemetery acquisitions made in the fourth quarter of 2019 and first quarter of 2020; and (3) the execution of our innovative cemetery sales strategy of building high performance sales teams and standardized sales systems across our portfolio of cemeteries.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48" w:name="page49"/>
    <w:bookmarkEnd w:id="48"/>
    <w:p>
      <w:pPr>
        <w:jc w:val="both"/>
        <w:ind w:firstLine="387"/>
        <w:spacing w:after="0" w:line="260" w:lineRule="auto"/>
        <w:rPr>
          <w:sz w:val="20"/>
          <w:szCs w:val="20"/>
          <w:color w:val="auto"/>
        </w:rPr>
      </w:pPr>
      <w:r>
        <w:rPr>
          <w:rFonts w:ascii="Arial" w:cs="Arial" w:eastAsia="Arial" w:hAnsi="Arial"/>
          <w:sz w:val="17"/>
          <w:szCs w:val="17"/>
          <w:color w:val="auto"/>
        </w:rPr>
        <w:t>We also experienced a 9.2% increase in total funeral contracts and a 3.2% increase in the average revenue per funeral contract for the three months ended September 30, 2021 compared to the same period in 2020. Approximately 60% of the increase in funeral volumes is attributable to deaths from the Delta COVID-19 variant. The additional volume increase is primarily a consequence of our ability to adapt to the continued changing environment with our new and innovative ways to serve families. The increase in the average revenue per contract is a further reflection of our ability to creatively serve our families, as the number of contracts for which we provide memorial services are returning to pre-COVID-19 levels.</w:t>
      </w:r>
    </w:p>
    <w:p>
      <w:pPr>
        <w:spacing w:after="0" w:line="77"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Gross profit for the three months ended September 30, 2021 increased $5.3 million compared to the three months ended September 30, 2020, primarily due to the increase in revenue from both our funeral home and cemetery segments, as well as decreases in funeral home operating expenses as a percent of operating revenue primarily in salaries and benefits expense as we increased revenue without adding extra personnel.</w:t>
      </w:r>
    </w:p>
    <w:p>
      <w:pPr>
        <w:spacing w:after="0" w:line="73"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Net income for the three months ended September 30, 2021 increased $7.5 million compared to the three months ended September 30, 2020, primarily due to a $5.3 million increase in gross profit, a $2.9 million decrease in interest expense, and a $4.1 million decrease in net loss on divestitures, disposals and impairments charges, offset by a $2.6 million increase in general, administrative and other expenses, primarily due to increased incentive compensation, as well as a $2.3 million increase in tax expense.</w:t>
      </w:r>
    </w:p>
    <w:p>
      <w:pPr>
        <w:spacing w:after="0" w:line="76"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Revenue for the nine months ended September 30, 2021 increased $40.6 million compared to the nine months ended September 30, 2020, as we experienced a 27.9% increase in the number of preneed interment rights (property) sold, as well as a 21.8% increase in the average price per interment right sold, primarily due to (1) our sales personnel being less impacted by social distancing restrictions that were in place in 2020 due to COVID-19; (2) the full integration of the cemetery acquisitions made in the fourth quarter of 2019 and first quarter of 2020; and (3) the execution of our innovative cemetery sales strategy of building high performance sales teams and standardized sales systems across our portfolio of cemeteries.</w:t>
      </w:r>
    </w:p>
    <w:p>
      <w:pPr>
        <w:spacing w:after="0" w:line="77"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We also experienced a 5.6% increase in total funeral contracts and a 4.4% increase in the average revenue per funeral contract for the nine months ended September 30, 2021 compared to the same period in 2020. The increase in volume is not only due to COVID-19 deaths during the first and third quarters of 2021, but is also a consequence of our ability to adapt to the continued changing environment with our new and innovative ways to serve families. The increase in the average revenue per contract is a further reflection of our ability to creatively serve our families, as the number of contracts for which we provide memorial services are returning to pre-COVID-19 levels in the second and third quarters of 2021.</w:t>
      </w:r>
    </w:p>
    <w:p>
      <w:pPr>
        <w:spacing w:after="0" w:line="77" w:lineRule="exact"/>
        <w:rPr>
          <w:sz w:val="20"/>
          <w:szCs w:val="20"/>
          <w:color w:val="auto"/>
        </w:rPr>
      </w:pPr>
    </w:p>
    <w:p>
      <w:pPr>
        <w:jc w:val="both"/>
        <w:ind w:firstLine="387"/>
        <w:spacing w:after="0" w:line="291" w:lineRule="auto"/>
        <w:rPr>
          <w:sz w:val="20"/>
          <w:szCs w:val="20"/>
          <w:color w:val="auto"/>
        </w:rPr>
      </w:pPr>
      <w:r>
        <w:rPr>
          <w:rFonts w:ascii="Arial" w:cs="Arial" w:eastAsia="Arial" w:hAnsi="Arial"/>
          <w:sz w:val="16"/>
          <w:szCs w:val="16"/>
          <w:color w:val="auto"/>
        </w:rPr>
        <w:t>Gross profit for the nine months ended September 30, 2021 increased $20.9 million compared to the nine months ended September 30, 2020, primarily due to the increase in revenue from both our funeral home and cemetery segments, as well as decreases in funeral home and cemetery operating expenses as a percent of operating revenue primarily in salaries and benefits expense as we increased revenue without adding extra personnel.</w:t>
      </w:r>
    </w:p>
    <w:p>
      <w:pPr>
        <w:spacing w:after="0" w:line="54"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Net income for the nine months ended September 30, 2021 increased $12.1 million compared to the nine months ended September 30, 2020, primarily due to the increase in gross profit of $20.9 million, an $18.2 million decrease in net loss on divestitures, disposals and impairments charges, and a $4.6 million decrease in interest expense, offset by a $23.8 million loss on extinguishment of debt, a $5.9 million increase in general, administrative and other expenses, primarily due to increased incentive compensation, as well as a $2.4 million increase in tax expense.</w:t>
      </w:r>
    </w:p>
    <w:p>
      <w:pPr>
        <w:spacing w:after="0" w:line="76"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Further discussion of Revenue and the components of Gross profit for our funeral home and cemetery segments is presented herein under “– Results of Operations.”</w:t>
      </w:r>
    </w:p>
    <w:p>
      <w:pPr>
        <w:spacing w:after="0" w:line="60"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Further discussion of General, administrative and other expenses, Home office depreciation and amortization expense, Interest expense, Income taxes and other components of income and expenses are presented herein under “– Other Financial Statement Items.”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REPORTING AND NON-GAAP FINANCIAL MEASURES</w:t>
      </w:r>
    </w:p>
    <w:p>
      <w:pPr>
        <w:spacing w:after="0" w:line="120"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color w:val="auto"/>
        </w:rPr>
        <w:t>We also present our financial performance in our “Operating and Financial Trend Report” (“Trend Report”) as reported in our earnings release for the three months ended September 30, 2021 issued on October 27, 2021 and discussed in the corresponding earnings conference call. The Trend Report is used as a supplemental financial statement by management and investors to compare our current financial performance with our previous results and with the performance of other companies. We do not intend for this information to be considered in isolation or as a substitute for other measures of performance prepared in accordance with United States generally accepted accounting principles (“GAAP”). The Trend Report is a non-GAAP statement that also provides insight into underlying trends in our business.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49" w:name="page50"/>
    <w:bookmarkEnd w:id="49"/>
    <w:p>
      <w:pPr>
        <w:ind w:left="400"/>
        <w:spacing w:after="0"/>
        <w:rPr>
          <w:sz w:val="20"/>
          <w:szCs w:val="20"/>
          <w:color w:val="auto"/>
        </w:rPr>
      </w:pPr>
      <w:r>
        <w:rPr>
          <w:rFonts w:ascii="Arial" w:cs="Arial" w:eastAsia="Arial" w:hAnsi="Arial"/>
          <w:sz w:val="17"/>
          <w:szCs w:val="17"/>
          <w:color w:val="auto"/>
        </w:rPr>
        <w:t>Below is a reconciliation of Net income, a GAAP measure, to Adjusted net income, a non-GAAP measure,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80" w:type="dxa"/>
            <w:vAlign w:val="bottom"/>
            <w:gridSpan w:val="5"/>
          </w:tcPr>
          <w:p>
            <w:pPr>
              <w:ind w:left="160"/>
              <w:spacing w:after="0"/>
              <w:rPr>
                <w:sz w:val="20"/>
                <w:szCs w:val="20"/>
                <w:color w:val="auto"/>
              </w:rPr>
            </w:pPr>
            <w:r>
              <w:rPr>
                <w:rFonts w:ascii="Arial" w:cs="Arial" w:eastAsia="Arial" w:hAnsi="Arial"/>
                <w:sz w:val="15"/>
                <w:szCs w:val="15"/>
                <w:b w:val="1"/>
                <w:bCs w:val="1"/>
                <w:color w:val="auto"/>
              </w:rPr>
              <w:t>Three months ended September 30,</w:t>
            </w:r>
          </w:p>
        </w:tc>
        <w:tc>
          <w:tcPr>
            <w:tcW w:w="300" w:type="dxa"/>
            <w:vAlign w:val="bottom"/>
          </w:tcPr>
          <w:p>
            <w:pPr>
              <w:spacing w:after="0"/>
              <w:rPr>
                <w:sz w:val="17"/>
                <w:szCs w:val="17"/>
                <w:color w:val="auto"/>
              </w:rPr>
            </w:pPr>
          </w:p>
        </w:tc>
        <w:tc>
          <w:tcPr>
            <w:tcW w:w="2920" w:type="dxa"/>
            <w:vAlign w:val="bottom"/>
            <w:gridSpan w:val="4"/>
          </w:tcPr>
          <w:p>
            <w:pPr>
              <w:jc w:val="right"/>
              <w:ind w:right="395"/>
              <w:spacing w:after="0"/>
              <w:rPr>
                <w:sz w:val="20"/>
                <w:szCs w:val="20"/>
                <w:color w:val="auto"/>
              </w:rPr>
            </w:pPr>
            <w:r>
              <w:rPr>
                <w:rFonts w:ascii="Arial" w:cs="Arial" w:eastAsia="Arial" w:hAnsi="Arial"/>
                <w:sz w:val="15"/>
                <w:szCs w:val="15"/>
                <w:b w:val="1"/>
                <w:bCs w:val="1"/>
                <w:color w:val="auto"/>
                <w:w w:val="98"/>
              </w:rPr>
              <w:t>Nine months ended September 30,</w:t>
            </w:r>
          </w:p>
        </w:tc>
      </w:tr>
      <w:tr>
        <w:trPr>
          <w:trHeight w:val="200"/>
        </w:trPr>
        <w:tc>
          <w:tcPr>
            <w:tcW w:w="45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top w:val="single" w:sz="8" w:color="auto"/>
              <w:bottom w:val="single" w:sz="8" w:color="CCEEFF"/>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24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top w:val="single" w:sz="8" w:color="auto"/>
              <w:bottom w:val="single" w:sz="8" w:color="CCEEFF"/>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r>
      <w:tr>
        <w:trPr>
          <w:trHeight w:val="215"/>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5,525</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13,046</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7,725</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19,812</w:t>
            </w:r>
          </w:p>
        </w:tc>
      </w:tr>
      <w:tr>
        <w:trPr>
          <w:trHeight w:val="219"/>
        </w:trPr>
        <w:tc>
          <w:tcPr>
            <w:tcW w:w="4580" w:type="dxa"/>
            <w:vAlign w:val="bottom"/>
          </w:tcPr>
          <w:p>
            <w:pPr>
              <w:ind w:left="20"/>
              <w:spacing w:after="0" w:line="220" w:lineRule="exact"/>
              <w:rPr>
                <w:sz w:val="20"/>
                <w:szCs w:val="20"/>
                <w:color w:val="auto"/>
              </w:rPr>
            </w:pPr>
            <w:r>
              <w:rPr>
                <w:rFonts w:ascii="Arial" w:cs="Arial" w:eastAsia="Arial" w:hAnsi="Arial"/>
                <w:sz w:val="17"/>
                <w:szCs w:val="17"/>
                <w:color w:val="auto"/>
              </w:rPr>
              <w:t>Special items</w:t>
            </w:r>
            <w:r>
              <w:rPr>
                <w:rFonts w:ascii="Arial" w:cs="Arial" w:eastAsia="Arial" w:hAnsi="Arial"/>
                <w:sz w:val="22"/>
                <w:szCs w:val="22"/>
                <w:color w:val="auto"/>
                <w:vertAlign w:val="superscript"/>
              </w:rPr>
              <w:t>(1)</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9"/>
        </w:trPr>
        <w:tc>
          <w:tcPr>
            <w:tcW w:w="4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Acquisition expenses</w:t>
            </w:r>
          </w:p>
        </w:tc>
        <w:tc>
          <w:tcPr>
            <w:tcW w:w="2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4580" w:type="dxa"/>
            <w:vAlign w:val="bottom"/>
          </w:tcPr>
          <w:p>
            <w:pPr>
              <w:ind w:left="220"/>
              <w:spacing w:after="0" w:line="220" w:lineRule="exact"/>
              <w:rPr>
                <w:sz w:val="20"/>
                <w:szCs w:val="20"/>
                <w:color w:val="auto"/>
              </w:rPr>
            </w:pPr>
            <w:r>
              <w:rPr>
                <w:rFonts w:ascii="Arial" w:cs="Arial" w:eastAsia="Arial" w:hAnsi="Arial"/>
                <w:sz w:val="17"/>
                <w:szCs w:val="17"/>
                <w:color w:val="auto"/>
              </w:rPr>
              <w:t>Severance and separation costs</w:t>
            </w:r>
            <w:r>
              <w:rPr>
                <w:rFonts w:ascii="Arial" w:cs="Arial" w:eastAsia="Arial" w:hAnsi="Arial"/>
                <w:sz w:val="22"/>
                <w:szCs w:val="22"/>
                <w:color w:val="auto"/>
                <w:vertAlign w:val="superscript"/>
              </w:rPr>
              <w:t>(2)</w:t>
            </w:r>
          </w:p>
        </w:tc>
        <w:tc>
          <w:tcPr>
            <w:tcW w:w="260" w:type="dxa"/>
            <w:vAlign w:val="bottom"/>
          </w:tcPr>
          <w:p>
            <w:pPr>
              <w:spacing w:after="0"/>
              <w:rPr>
                <w:sz w:val="19"/>
                <w:szCs w:val="19"/>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563</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1,575</w:t>
            </w:r>
          </w:p>
        </w:tc>
      </w:tr>
      <w:tr>
        <w:trPr>
          <w:trHeight w:val="219"/>
        </w:trPr>
        <w:tc>
          <w:tcPr>
            <w:tcW w:w="4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Performance awards cancellation and exchange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4580" w:type="dxa"/>
            <w:vAlign w:val="bottom"/>
          </w:tcPr>
          <w:p>
            <w:pPr>
              <w:ind w:left="220"/>
              <w:spacing w:after="0" w:line="220" w:lineRule="exact"/>
              <w:rPr>
                <w:sz w:val="20"/>
                <w:szCs w:val="20"/>
                <w:color w:val="auto"/>
              </w:rPr>
            </w:pPr>
            <w:r>
              <w:rPr>
                <w:rFonts w:ascii="Arial" w:cs="Arial" w:eastAsia="Arial" w:hAnsi="Arial"/>
                <w:sz w:val="17"/>
                <w:szCs w:val="17"/>
                <w:color w:val="auto"/>
              </w:rPr>
              <w:t>Accretion of discount on Convertible Notes</w:t>
            </w:r>
            <w:r>
              <w:rPr>
                <w:rFonts w:ascii="Arial" w:cs="Arial" w:eastAsia="Arial" w:hAnsi="Arial"/>
                <w:sz w:val="22"/>
                <w:szCs w:val="22"/>
                <w:color w:val="auto"/>
                <w:vertAlign w:val="superscript"/>
              </w:rPr>
              <w:t>(1)</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69</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200</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19"/>
        </w:trPr>
        <w:tc>
          <w:tcPr>
            <w:tcW w:w="4580" w:type="dxa"/>
            <w:vAlign w:val="bottom"/>
            <w:shd w:val="clear" w:color="auto" w:fill="CCEEFF"/>
          </w:tcPr>
          <w:p>
            <w:pPr>
              <w:ind w:left="220"/>
              <w:spacing w:after="0" w:line="220" w:lineRule="exact"/>
              <w:rPr>
                <w:sz w:val="20"/>
                <w:szCs w:val="20"/>
                <w:color w:val="auto"/>
              </w:rPr>
            </w:pPr>
            <w:r>
              <w:rPr>
                <w:rFonts w:ascii="Arial" w:cs="Arial" w:eastAsia="Arial" w:hAnsi="Arial"/>
                <w:sz w:val="17"/>
                <w:szCs w:val="17"/>
                <w:color w:val="auto"/>
              </w:rPr>
              <w:t>Loss on extinguishment of debt</w:t>
            </w:r>
            <w:r>
              <w:rPr>
                <w:rFonts w:ascii="Arial" w:cs="Arial" w:eastAsia="Arial" w:hAnsi="Arial"/>
                <w:sz w:val="22"/>
                <w:szCs w:val="22"/>
                <w:color w:val="auto"/>
                <w:vertAlign w:val="superscript"/>
              </w:rPr>
              <w:t>(3)</w:t>
            </w:r>
          </w:p>
        </w:tc>
        <w:tc>
          <w:tcPr>
            <w:tcW w:w="2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23,807</w:t>
            </w:r>
          </w:p>
        </w:tc>
      </w:tr>
      <w:tr>
        <w:trPr>
          <w:trHeight w:val="219"/>
        </w:trPr>
        <w:tc>
          <w:tcPr>
            <w:tcW w:w="4580" w:type="dxa"/>
            <w:vAlign w:val="bottom"/>
          </w:tcPr>
          <w:p>
            <w:pPr>
              <w:ind w:left="220"/>
              <w:spacing w:after="0"/>
              <w:rPr>
                <w:sz w:val="20"/>
                <w:szCs w:val="20"/>
                <w:color w:val="auto"/>
              </w:rPr>
            </w:pPr>
            <w:r>
              <w:rPr>
                <w:rFonts w:ascii="Arial" w:cs="Arial" w:eastAsia="Arial" w:hAnsi="Arial"/>
                <w:sz w:val="17"/>
                <w:szCs w:val="17"/>
                <w:color w:val="auto"/>
              </w:rPr>
              <w:t>Net loss on divestitures and other costs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4,917</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282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4,917</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179</w:t>
            </w:r>
          </w:p>
        </w:tc>
      </w:tr>
      <w:tr>
        <w:trPr>
          <w:trHeight w:val="220"/>
        </w:trPr>
        <w:tc>
          <w:tcPr>
            <w:tcW w:w="4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impact of impairment of goodwill and other</w:t>
            </w:r>
          </w:p>
        </w:tc>
        <w:tc>
          <w:tcPr>
            <w:tcW w:w="2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14,769</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r>
      <w:tr>
        <w:trPr>
          <w:trHeight w:val="219"/>
        </w:trPr>
        <w:tc>
          <w:tcPr>
            <w:tcW w:w="4580" w:type="dxa"/>
            <w:vAlign w:val="bottom"/>
          </w:tcPr>
          <w:p>
            <w:pPr>
              <w:ind w:left="220"/>
              <w:spacing w:after="0" w:line="220" w:lineRule="exact"/>
              <w:rPr>
                <w:sz w:val="20"/>
                <w:szCs w:val="20"/>
                <w:color w:val="auto"/>
              </w:rPr>
            </w:pPr>
            <w:r>
              <w:rPr>
                <w:rFonts w:ascii="Arial" w:cs="Arial" w:eastAsia="Arial" w:hAnsi="Arial"/>
                <w:sz w:val="17"/>
                <w:szCs w:val="17"/>
                <w:color w:val="auto"/>
              </w:rPr>
              <w:t>Litigation reserve</w:t>
            </w:r>
            <w:r>
              <w:rPr>
                <w:rFonts w:ascii="Arial" w:cs="Arial" w:eastAsia="Arial" w:hAnsi="Arial"/>
                <w:sz w:val="22"/>
                <w:szCs w:val="22"/>
                <w:color w:val="auto"/>
                <w:vertAlign w:val="superscript"/>
              </w:rPr>
              <w:t>(4)</w:t>
            </w:r>
          </w:p>
        </w:tc>
        <w:tc>
          <w:tcPr>
            <w:tcW w:w="260" w:type="dxa"/>
            <w:vAlign w:val="bottom"/>
          </w:tcPr>
          <w:p>
            <w:pPr>
              <w:spacing w:after="0"/>
              <w:rPr>
                <w:sz w:val="19"/>
                <w:szCs w:val="19"/>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270</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4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Disaster recovery and pandemic costs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1,002</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1,312</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2,041</w:t>
            </w:r>
          </w:p>
        </w:tc>
      </w:tr>
      <w:tr>
        <w:trPr>
          <w:trHeight w:val="219"/>
        </w:trPr>
        <w:tc>
          <w:tcPr>
            <w:tcW w:w="4580" w:type="dxa"/>
            <w:vAlign w:val="bottom"/>
            <w:tcBorders>
              <w:bottom w:val="single" w:sz="8" w:color="CCEEFF"/>
            </w:tcBorders>
          </w:tcPr>
          <w:p>
            <w:pPr>
              <w:ind w:left="220"/>
              <w:spacing w:after="0" w:line="220" w:lineRule="exact"/>
              <w:rPr>
                <w:sz w:val="20"/>
                <w:szCs w:val="20"/>
                <w:color w:val="auto"/>
              </w:rPr>
            </w:pPr>
            <w:r>
              <w:rPr>
                <w:rFonts w:ascii="Arial" w:cs="Arial" w:eastAsia="Arial" w:hAnsi="Arial"/>
                <w:sz w:val="17"/>
                <w:szCs w:val="17"/>
                <w:color w:val="auto"/>
              </w:rPr>
              <w:t>Other special items</w:t>
            </w:r>
            <w:r>
              <w:rPr>
                <w:rFonts w:ascii="Arial" w:cs="Arial" w:eastAsia="Arial" w:hAnsi="Arial"/>
                <w:sz w:val="22"/>
                <w:szCs w:val="22"/>
                <w:color w:val="auto"/>
                <w:vertAlign w:val="superscript"/>
              </w:rPr>
              <w:t>(5)</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w:t>
            </w:r>
          </w:p>
        </w:tc>
        <w:tc>
          <w:tcPr>
            <w:tcW w:w="2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1,020</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410</w:t>
            </w:r>
          </w:p>
        </w:tc>
        <w:tc>
          <w:tcPr>
            <w:tcW w:w="2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2,354</w:t>
            </w:r>
          </w:p>
        </w:tc>
      </w:tr>
      <w:tr>
        <w:trPr>
          <w:trHeight w:val="212"/>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Sum of special items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5,374</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2,804</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22,780</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30,476</w:t>
            </w:r>
          </w:p>
        </w:tc>
      </w:tr>
      <w:tr>
        <w:trPr>
          <w:trHeight w:val="219"/>
        </w:trPr>
        <w:tc>
          <w:tcPr>
            <w:tcW w:w="4580" w:type="dxa"/>
            <w:vAlign w:val="bottom"/>
            <w:tcBorders>
              <w:bottom w:val="single" w:sz="8" w:color="CCEEFF"/>
            </w:tcBorders>
          </w:tcPr>
          <w:p>
            <w:pPr>
              <w:ind w:left="20"/>
              <w:spacing w:after="0" w:line="220" w:lineRule="exact"/>
              <w:rPr>
                <w:sz w:val="20"/>
                <w:szCs w:val="20"/>
                <w:color w:val="auto"/>
              </w:rPr>
            </w:pPr>
            <w:r>
              <w:rPr>
                <w:rFonts w:ascii="Arial" w:cs="Arial" w:eastAsia="Arial" w:hAnsi="Arial"/>
                <w:sz w:val="17"/>
                <w:szCs w:val="17"/>
                <w:color w:val="auto"/>
              </w:rPr>
              <w:t>Tax effect on special items</w:t>
            </w:r>
            <w:r>
              <w:rPr>
                <w:rFonts w:ascii="Arial" w:cs="Arial" w:eastAsia="Arial" w:hAnsi="Arial"/>
                <w:sz w:val="22"/>
                <w:szCs w:val="22"/>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1,755</w:t>
            </w:r>
          </w:p>
        </w:tc>
        <w:tc>
          <w:tcPr>
            <w:tcW w:w="2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738</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7,243</w:t>
            </w:r>
          </w:p>
        </w:tc>
        <w:tc>
          <w:tcPr>
            <w:tcW w:w="2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8,619</w:t>
            </w:r>
          </w:p>
        </w:tc>
      </w:tr>
      <w:tr>
        <w:trPr>
          <w:trHeight w:val="237"/>
        </w:trPr>
        <w:tc>
          <w:tcPr>
            <w:tcW w:w="4580" w:type="dxa"/>
            <w:vAlign w:val="bottom"/>
            <w:tcBorders>
              <w:bottom w:val="single" w:sz="8" w:color="CCEEFF"/>
            </w:tcBorders>
            <w:shd w:val="clear" w:color="auto" w:fill="CCEEFF"/>
          </w:tcPr>
          <w:p>
            <w:pPr>
              <w:ind w:left="20"/>
              <w:spacing w:after="0" w:line="212" w:lineRule="exact"/>
              <w:rPr>
                <w:sz w:val="20"/>
                <w:szCs w:val="20"/>
                <w:color w:val="auto"/>
              </w:rPr>
            </w:pPr>
            <w:r>
              <w:rPr>
                <w:rFonts w:ascii="Arial" w:cs="Arial" w:eastAsia="Arial" w:hAnsi="Arial"/>
                <w:sz w:val="17"/>
                <w:szCs w:val="17"/>
                <w:color w:val="auto"/>
              </w:rPr>
              <w:t>Adjusted net income</w:t>
            </w:r>
            <w:r>
              <w:rPr>
                <w:rFonts w:ascii="Arial" w:cs="Arial" w:eastAsia="Arial" w:hAnsi="Arial"/>
                <w:sz w:val="22"/>
                <w:szCs w:val="22"/>
                <w:color w:val="auto"/>
                <w:vertAlign w:val="superscript"/>
              </w:rPr>
              <w:t>(6)</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9,144</w:t>
            </w:r>
          </w:p>
        </w:tc>
        <w:tc>
          <w:tcPr>
            <w:tcW w:w="2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15,112</w:t>
            </w:r>
          </w:p>
        </w:tc>
        <w:tc>
          <w:tcPr>
            <w:tcW w:w="2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23,262</w:t>
            </w:r>
          </w:p>
        </w:tc>
        <w:tc>
          <w:tcPr>
            <w:tcW w:w="2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41,669</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7122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191" w:lineRule="exact"/>
        <w:rPr>
          <w:sz w:val="20"/>
          <w:szCs w:val="20"/>
          <w:color w:val="auto"/>
        </w:rPr>
      </w:pPr>
    </w:p>
    <w:p>
      <w:pPr>
        <w:jc w:val="both"/>
        <w:ind w:left="400" w:right="40" w:hanging="380"/>
        <w:spacing w:after="0" w:line="248" w:lineRule="auto"/>
        <w:tabs>
          <w:tab w:leader="none" w:pos="4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Special items are defined as charges or credits included in our GAAP financial statements that can vary from period to period and are not reflective of costs incurred in the ordinary course of our operations. In 2020, Special items are taxed at the federal statutory rate of 21.0%, except the Net loss on divestitures and other costs and the Net impact of impairment of goodwill and other, which are taxed at the operating tax rate in the period. In 2021, Special items are taxed at the operating tax rate in the period and include adjustments to reflect prior quarter Special items at the operating tax rate on a year-to-date basis. The Accretion of discount on Convertible Notes is not tax effected.</w:t>
      </w:r>
    </w:p>
    <w:p>
      <w:pPr>
        <w:spacing w:after="0" w:line="18" w:lineRule="exact"/>
        <w:rPr>
          <w:rFonts w:ascii="Arial" w:cs="Arial" w:eastAsia="Arial" w:hAnsi="Arial"/>
          <w:sz w:val="14"/>
          <w:szCs w:val="14"/>
          <w:color w:val="auto"/>
        </w:rPr>
      </w:pPr>
    </w:p>
    <w:p>
      <w:pPr>
        <w:ind w:left="400" w:right="40" w:hanging="380"/>
        <w:spacing w:after="0" w:line="248" w:lineRule="auto"/>
        <w:tabs>
          <w:tab w:leader="none" w:pos="4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increase during the nine months ended September 30, 2021 is due to separation costs related to the resignation of two members of senior leadership in the first quarter of 2021.</w:t>
      </w:r>
    </w:p>
    <w:p>
      <w:pPr>
        <w:spacing w:after="0" w:line="4" w:lineRule="exact"/>
        <w:rPr>
          <w:rFonts w:ascii="Arial" w:cs="Arial" w:eastAsia="Arial" w:hAnsi="Arial"/>
          <w:sz w:val="15"/>
          <w:szCs w:val="15"/>
          <w:color w:val="auto"/>
        </w:rPr>
      </w:pPr>
    </w:p>
    <w:p>
      <w:pPr>
        <w:ind w:left="400" w:hanging="380"/>
        <w:spacing w:after="0"/>
        <w:tabs>
          <w:tab w:leader="none" w:pos="4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Loss on the redemption of our Original Senior Notes during the second quarter of 2021.</w:t>
      </w:r>
    </w:p>
    <w:p>
      <w:pPr>
        <w:spacing w:after="0" w:line="34" w:lineRule="exact"/>
        <w:rPr>
          <w:rFonts w:ascii="Arial" w:cs="Arial" w:eastAsia="Arial" w:hAnsi="Arial"/>
          <w:sz w:val="15"/>
          <w:szCs w:val="15"/>
          <w:color w:val="auto"/>
        </w:rPr>
      </w:pPr>
    </w:p>
    <w:p>
      <w:pPr>
        <w:ind w:left="400" w:hanging="380"/>
        <w:spacing w:after="0"/>
        <w:tabs>
          <w:tab w:leader="none" w:pos="4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Relates to legal costs associated with a former corporate employee lawsuit.</w:t>
      </w:r>
    </w:p>
    <w:p>
      <w:pPr>
        <w:spacing w:after="0" w:line="34" w:lineRule="exact"/>
        <w:rPr>
          <w:rFonts w:ascii="Arial" w:cs="Arial" w:eastAsia="Arial" w:hAnsi="Arial"/>
          <w:sz w:val="15"/>
          <w:szCs w:val="15"/>
          <w:color w:val="auto"/>
        </w:rPr>
      </w:pPr>
    </w:p>
    <w:p>
      <w:pPr>
        <w:jc w:val="both"/>
        <w:ind w:left="400" w:right="40" w:hanging="380"/>
        <w:spacing w:after="0" w:line="256" w:lineRule="auto"/>
        <w:tabs>
          <w:tab w:leader="none" w:pos="4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During the nine months ended September 30, 2020, the Special item relates to the costs associated with a state audit assessment. During the nine months ended September 30, 2021, the Special item relates to (1) the write-off of certain fixed assets; (2) a one-time $1.0 million payment in September 2021 for residual insurance claims; and (3) interest paid on our Original Senior Notes for the two-week period during which our New Senior Notes were issued prior to the redemption of our Original Senior Notes.</w:t>
      </w:r>
    </w:p>
    <w:p>
      <w:pPr>
        <w:spacing w:after="0" w:line="1" w:lineRule="exact"/>
        <w:rPr>
          <w:rFonts w:ascii="Arial" w:cs="Arial" w:eastAsia="Arial" w:hAnsi="Arial"/>
          <w:sz w:val="14"/>
          <w:szCs w:val="14"/>
          <w:color w:val="auto"/>
        </w:rPr>
      </w:pPr>
    </w:p>
    <w:p>
      <w:pPr>
        <w:ind w:left="400" w:right="40" w:hanging="380"/>
        <w:spacing w:after="0" w:line="248" w:lineRule="auto"/>
        <w:tabs>
          <w:tab w:leader="none" w:pos="4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Adjusted net income is defined as Net income plus adjustments for Special items and other expenses or gains that we believe do not directly reflect our core operations and may not be indicative of our normal business operations.</w:t>
      </w:r>
    </w:p>
    <w:p>
      <w:pPr>
        <w:spacing w:after="0" w:line="200" w:lineRule="exact"/>
        <w:rPr>
          <w:rFonts w:ascii="Arial" w:cs="Arial" w:eastAsia="Arial" w:hAnsi="Arial"/>
          <w:sz w:val="15"/>
          <w:szCs w:val="15"/>
          <w:color w:val="auto"/>
        </w:rPr>
      </w:pPr>
    </w:p>
    <w:p>
      <w:pPr>
        <w:spacing w:after="0" w:line="394" w:lineRule="exact"/>
        <w:rPr>
          <w:rFonts w:ascii="Arial" w:cs="Arial" w:eastAsia="Arial" w:hAnsi="Arial"/>
          <w:sz w:val="15"/>
          <w:szCs w:val="15"/>
          <w:color w:val="auto"/>
        </w:rPr>
      </w:pPr>
    </w:p>
    <w:p>
      <w:pPr>
        <w:ind w:left="5540" w:hanging="102"/>
        <w:spacing w:after="0"/>
        <w:tabs>
          <w:tab w:leader="none" w:pos="5540" w:val="left"/>
        </w:tabs>
        <w:numPr>
          <w:ilvl w:val="1"/>
          <w:numId w:val="31"/>
        </w:numPr>
        <w:rPr>
          <w:rFonts w:ascii="Arial" w:cs="Arial" w:eastAsia="Arial" w:hAnsi="Arial"/>
          <w:sz w:val="17"/>
          <w:szCs w:val="17"/>
          <w:color w:val="auto"/>
        </w:rPr>
      </w:pPr>
      <w:r>
        <w:rPr>
          <w:rFonts w:ascii="Arial" w:cs="Arial" w:eastAsia="Arial" w:hAnsi="Arial"/>
          <w:sz w:val="17"/>
          <w:szCs w:val="17"/>
          <w:color w:val="auto"/>
        </w:rPr>
        <w:t>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50" w:name="page51"/>
    <w:bookmarkEnd w:id="50"/>
    <w:p>
      <w:pPr>
        <w:ind w:left="400"/>
        <w:spacing w:after="0"/>
        <w:rPr>
          <w:sz w:val="20"/>
          <w:szCs w:val="20"/>
          <w:color w:val="auto"/>
        </w:rPr>
      </w:pPr>
      <w:r>
        <w:rPr>
          <w:rFonts w:ascii="Arial" w:cs="Arial" w:eastAsia="Arial" w:hAnsi="Arial"/>
          <w:sz w:val="17"/>
          <w:szCs w:val="17"/>
          <w:color w:val="auto"/>
        </w:rPr>
        <w:t>Below is a reconciliation of Gross profit (a GAAP measure) to Operating profit (a non-GAAP measure)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20" w:type="dxa"/>
            <w:vAlign w:val="bottom"/>
            <w:gridSpan w:val="5"/>
          </w:tcPr>
          <w:p>
            <w:pPr>
              <w:ind w:left="180"/>
              <w:spacing w:after="0"/>
              <w:rPr>
                <w:sz w:val="20"/>
                <w:szCs w:val="20"/>
                <w:color w:val="auto"/>
              </w:rPr>
            </w:pPr>
            <w:r>
              <w:rPr>
                <w:rFonts w:ascii="Arial" w:cs="Arial" w:eastAsia="Arial" w:hAnsi="Arial"/>
                <w:sz w:val="15"/>
                <w:szCs w:val="15"/>
                <w:b w:val="1"/>
                <w:bCs w:val="1"/>
                <w:color w:val="auto"/>
              </w:rPr>
              <w:t>Three months ended September 30,</w:t>
            </w:r>
          </w:p>
        </w:tc>
        <w:tc>
          <w:tcPr>
            <w:tcW w:w="300" w:type="dxa"/>
            <w:vAlign w:val="bottom"/>
          </w:tcPr>
          <w:p>
            <w:pPr>
              <w:spacing w:after="0"/>
              <w:rPr>
                <w:sz w:val="17"/>
                <w:szCs w:val="17"/>
                <w:color w:val="auto"/>
              </w:rPr>
            </w:pPr>
          </w:p>
        </w:tc>
        <w:tc>
          <w:tcPr>
            <w:tcW w:w="2940" w:type="dxa"/>
            <w:vAlign w:val="bottom"/>
            <w:gridSpan w:val="4"/>
          </w:tcPr>
          <w:p>
            <w:pPr>
              <w:jc w:val="right"/>
              <w:ind w:right="415"/>
              <w:spacing w:after="0"/>
              <w:rPr>
                <w:sz w:val="20"/>
                <w:szCs w:val="20"/>
                <w:color w:val="auto"/>
              </w:rPr>
            </w:pPr>
            <w:r>
              <w:rPr>
                <w:rFonts w:ascii="Arial" w:cs="Arial" w:eastAsia="Arial" w:hAnsi="Arial"/>
                <w:sz w:val="15"/>
                <w:szCs w:val="15"/>
                <w:b w:val="1"/>
                <w:bCs w:val="1"/>
                <w:color w:val="auto"/>
                <w:w w:val="98"/>
              </w:rPr>
              <w:t>Nine months ended September 30,</w:t>
            </w:r>
          </w:p>
        </w:tc>
      </w:tr>
      <w:tr>
        <w:trPr>
          <w:trHeight w:val="200"/>
        </w:trPr>
        <w:tc>
          <w:tcPr>
            <w:tcW w:w="45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top w:val="single" w:sz="8" w:color="auto"/>
              <w:bottom w:val="single" w:sz="8" w:color="CCEEFF"/>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24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40" w:type="dxa"/>
            <w:vAlign w:val="bottom"/>
            <w:tcBorders>
              <w:top w:val="single" w:sz="8" w:color="auto"/>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r>
      <w:tr>
        <w:trPr>
          <w:trHeight w:val="215"/>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27,874</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33,164</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76,205</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97,152</w:t>
            </w:r>
          </w:p>
        </w:tc>
      </w:tr>
      <w:tr>
        <w:trPr>
          <w:trHeight w:val="194"/>
        </w:trPr>
        <w:tc>
          <w:tcPr>
            <w:tcW w:w="4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9"/>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Cemetery property amortization</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1,471</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1,521</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3,445</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5,213</w:t>
            </w:r>
          </w:p>
        </w:tc>
      </w:tr>
      <w:tr>
        <w:trPr>
          <w:trHeight w:val="219"/>
        </w:trPr>
        <w:tc>
          <w:tcPr>
            <w:tcW w:w="4500" w:type="dxa"/>
            <w:vAlign w:val="bottom"/>
          </w:tcPr>
          <w:p>
            <w:pPr>
              <w:ind w:left="20"/>
              <w:spacing w:after="0"/>
              <w:rPr>
                <w:sz w:val="20"/>
                <w:szCs w:val="20"/>
                <w:color w:val="auto"/>
              </w:rPr>
            </w:pPr>
            <w:r>
              <w:rPr>
                <w:rFonts w:ascii="Arial" w:cs="Arial" w:eastAsia="Arial" w:hAnsi="Arial"/>
                <w:sz w:val="17"/>
                <w:szCs w:val="17"/>
                <w:color w:val="auto"/>
              </w:rPr>
              <w:t>Field depreciation expense</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3,233</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3,154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9,770</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9,432</w:t>
            </w:r>
          </w:p>
        </w:tc>
      </w:tr>
      <w:tr>
        <w:trPr>
          <w:trHeight w:val="219"/>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Regional and unallocated funeral and cemetery costs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4,731</w:t>
            </w:r>
          </w:p>
        </w:tc>
        <w:tc>
          <w:tcPr>
            <w:tcW w:w="2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6,812</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11,204</w:t>
            </w:r>
          </w:p>
        </w:tc>
        <w:tc>
          <w:tcPr>
            <w:tcW w:w="24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18,655</w:t>
            </w:r>
          </w:p>
        </w:tc>
      </w:tr>
      <w:tr>
        <w:trPr>
          <w:trHeight w:val="213"/>
        </w:trPr>
        <w:tc>
          <w:tcPr>
            <w:tcW w:w="4500" w:type="dxa"/>
            <w:vAlign w:val="bottom"/>
          </w:tcPr>
          <w:p>
            <w:pPr>
              <w:ind w:left="20"/>
              <w:spacing w:after="0" w:line="213" w:lineRule="exact"/>
              <w:rPr>
                <w:sz w:val="20"/>
                <w:szCs w:val="20"/>
                <w:color w:val="auto"/>
              </w:rPr>
            </w:pPr>
            <w:r>
              <w:rPr>
                <w:rFonts w:ascii="Arial" w:cs="Arial" w:eastAsia="Arial" w:hAnsi="Arial"/>
                <w:sz w:val="17"/>
                <w:szCs w:val="17"/>
                <w:color w:val="auto"/>
              </w:rPr>
              <w:t>Operating profit</w:t>
            </w:r>
            <w:r>
              <w:rPr>
                <w:rFonts w:ascii="Arial" w:cs="Arial" w:eastAsia="Arial" w:hAnsi="Arial"/>
                <w:sz w:val="22"/>
                <w:szCs w:val="22"/>
                <w:color w:val="auto"/>
                <w:vertAlign w:val="superscript"/>
              </w:rPr>
              <w:t>(1)</w:t>
            </w: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37,309</w:t>
            </w:r>
          </w:p>
        </w:tc>
        <w:tc>
          <w:tcPr>
            <w:tcW w:w="220" w:type="dxa"/>
            <w:vAlign w:val="bottom"/>
          </w:tcPr>
          <w:p>
            <w:pPr>
              <w:spacing w:after="0"/>
              <w:rPr>
                <w:sz w:val="18"/>
                <w:szCs w:val="18"/>
                <w:color w:val="auto"/>
              </w:rPr>
            </w:pPr>
          </w:p>
        </w:tc>
        <w:tc>
          <w:tcPr>
            <w:tcW w:w="54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44,651</w:t>
            </w:r>
          </w:p>
        </w:tc>
        <w:tc>
          <w:tcPr>
            <w:tcW w:w="24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100,624</w:t>
            </w:r>
          </w:p>
        </w:tc>
        <w:tc>
          <w:tcPr>
            <w:tcW w:w="24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130,452</w:t>
            </w:r>
          </w:p>
        </w:tc>
      </w:tr>
      <w:tr>
        <w:trPr>
          <w:trHeight w:val="20"/>
        </w:trPr>
        <w:tc>
          <w:tcPr>
            <w:tcW w:w="4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7122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166" w:lineRule="exact"/>
        <w:rPr>
          <w:sz w:val="20"/>
          <w:szCs w:val="20"/>
          <w:color w:val="auto"/>
        </w:rPr>
      </w:pPr>
    </w:p>
    <w:p>
      <w:pPr>
        <w:ind w:left="400" w:hanging="380"/>
        <w:spacing w:after="0"/>
        <w:tabs>
          <w:tab w:leader="none" w:pos="4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Operating profit is defined as Gross profit less Cemetery property amortization, Field depreciation expense and Regional and unallocated funeral and cemetery costs.</w:t>
      </w:r>
    </w:p>
    <w:p>
      <w:pPr>
        <w:spacing w:after="0" w:line="209" w:lineRule="exact"/>
        <w:rPr>
          <w:sz w:val="20"/>
          <w:szCs w:val="20"/>
          <w:color w:val="auto"/>
        </w:rPr>
      </w:pPr>
    </w:p>
    <w:p>
      <w:pPr>
        <w:ind w:left="400"/>
        <w:spacing w:after="0"/>
        <w:rPr>
          <w:sz w:val="20"/>
          <w:szCs w:val="20"/>
          <w:color w:val="auto"/>
        </w:rPr>
      </w:pPr>
      <w:r>
        <w:rPr>
          <w:rFonts w:ascii="Arial" w:cs="Arial" w:eastAsia="Arial" w:hAnsi="Arial"/>
          <w:sz w:val="15"/>
          <w:szCs w:val="15"/>
          <w:color w:val="auto"/>
        </w:rPr>
        <w:t>Our operations are reported in two business segments: Funeral Home and Cemetery. Below is a breakdown of Operating profit (a non-GAAP measure) by</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Segment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80" w:type="dxa"/>
            <w:vAlign w:val="bottom"/>
            <w:gridSpan w:val="5"/>
          </w:tcPr>
          <w:p>
            <w:pPr>
              <w:ind w:left="160"/>
              <w:spacing w:after="0"/>
              <w:rPr>
                <w:sz w:val="20"/>
                <w:szCs w:val="20"/>
                <w:color w:val="auto"/>
              </w:rPr>
            </w:pPr>
            <w:r>
              <w:rPr>
                <w:rFonts w:ascii="Arial" w:cs="Arial" w:eastAsia="Arial" w:hAnsi="Arial"/>
                <w:sz w:val="15"/>
                <w:szCs w:val="15"/>
                <w:b w:val="1"/>
                <w:bCs w:val="1"/>
                <w:color w:val="auto"/>
              </w:rPr>
              <w:t>Three months ended September 30,</w:t>
            </w:r>
          </w:p>
        </w:tc>
        <w:tc>
          <w:tcPr>
            <w:tcW w:w="300" w:type="dxa"/>
            <w:vAlign w:val="bottom"/>
          </w:tcPr>
          <w:p>
            <w:pPr>
              <w:spacing w:after="0"/>
              <w:rPr>
                <w:sz w:val="17"/>
                <w:szCs w:val="17"/>
                <w:color w:val="auto"/>
              </w:rPr>
            </w:pPr>
          </w:p>
        </w:tc>
        <w:tc>
          <w:tcPr>
            <w:tcW w:w="2920" w:type="dxa"/>
            <w:vAlign w:val="bottom"/>
            <w:gridSpan w:val="4"/>
          </w:tcPr>
          <w:p>
            <w:pPr>
              <w:jc w:val="right"/>
              <w:ind w:right="396"/>
              <w:spacing w:after="0"/>
              <w:rPr>
                <w:sz w:val="20"/>
                <w:szCs w:val="20"/>
                <w:color w:val="auto"/>
              </w:rPr>
            </w:pPr>
            <w:r>
              <w:rPr>
                <w:rFonts w:ascii="Arial" w:cs="Arial" w:eastAsia="Arial" w:hAnsi="Arial"/>
                <w:sz w:val="15"/>
                <w:szCs w:val="15"/>
                <w:b w:val="1"/>
                <w:bCs w:val="1"/>
                <w:color w:val="auto"/>
                <w:w w:val="98"/>
              </w:rPr>
              <w:t>Nine months ended September 30,</w:t>
            </w:r>
          </w:p>
        </w:tc>
      </w:tr>
      <w:tr>
        <w:trPr>
          <w:trHeight w:val="200"/>
        </w:trPr>
        <w:tc>
          <w:tcPr>
            <w:tcW w:w="456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top w:val="single" w:sz="8" w:color="auto"/>
              <w:bottom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24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top w:val="single" w:sz="8" w:color="auto"/>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r>
      <w:tr>
        <w:trPr>
          <w:trHeight w:val="215"/>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Funeral Home</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25,636</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31,355</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75,462</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88,445</w:t>
            </w:r>
          </w:p>
        </w:tc>
      </w:tr>
      <w:tr>
        <w:trPr>
          <w:trHeight w:val="219"/>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Cemetery</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11,673</w:t>
            </w:r>
          </w:p>
        </w:tc>
        <w:tc>
          <w:tcPr>
            <w:tcW w:w="2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13,296</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25,162</w:t>
            </w:r>
          </w:p>
        </w:tc>
        <w:tc>
          <w:tcPr>
            <w:tcW w:w="2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42,007</w:t>
            </w:r>
          </w:p>
        </w:tc>
      </w:tr>
      <w:tr>
        <w:trPr>
          <w:trHeight w:val="237"/>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profit</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37,309</w:t>
            </w:r>
          </w:p>
        </w:tc>
        <w:tc>
          <w:tcPr>
            <w:tcW w:w="2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44,651</w:t>
            </w:r>
          </w:p>
        </w:tc>
        <w:tc>
          <w:tcPr>
            <w:tcW w:w="2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100,624</w:t>
            </w:r>
          </w:p>
        </w:tc>
        <w:tc>
          <w:tcPr>
            <w:tcW w:w="2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130,452</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02"/>
        </w:trPr>
        <w:tc>
          <w:tcPr>
            <w:tcW w:w="4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r>
      <w:tr>
        <w:trPr>
          <w:trHeight w:val="219"/>
        </w:trPr>
        <w:tc>
          <w:tcPr>
            <w:tcW w:w="456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Operating profit margin</w:t>
            </w:r>
            <w:r>
              <w:rPr>
                <w:rFonts w:ascii="Arial" w:cs="Arial" w:eastAsia="Arial" w:hAnsi="Arial"/>
                <w:sz w:val="22"/>
                <w:szCs w:val="22"/>
                <w:color w:val="auto"/>
                <w:vertAlign w:val="superscript"/>
              </w:rPr>
              <w:t>(1)</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44.2%</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47.0%</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42.0%</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46.6%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71139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13905" cy="8255"/>
                    </a:xfrm>
                    <a:prstGeom prst="rect">
                      <a:avLst/>
                    </a:prstGeom>
                    <a:noFill/>
                  </pic:spPr>
                </pic:pic>
              </a:graphicData>
            </a:graphic>
          </wp:anchor>
        </w:drawing>
      </w:r>
    </w:p>
    <w:p>
      <w:pPr>
        <w:spacing w:after="0" w:line="166" w:lineRule="exact"/>
        <w:rPr>
          <w:sz w:val="20"/>
          <w:szCs w:val="20"/>
          <w:color w:val="auto"/>
        </w:rPr>
      </w:pPr>
    </w:p>
    <w:p>
      <w:pPr>
        <w:ind w:left="400" w:hanging="380"/>
        <w:spacing w:after="0"/>
        <w:tabs>
          <w:tab w:leader="none" w:pos="4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Operating profit margin is defined as Operating profit as a percentage of Revenue.</w:t>
      </w:r>
    </w:p>
    <w:p>
      <w:pPr>
        <w:spacing w:after="0" w:line="210" w:lineRule="exact"/>
        <w:rPr>
          <w:rFonts w:ascii="Arial" w:cs="Arial" w:eastAsia="Arial" w:hAnsi="Arial"/>
          <w:sz w:val="15"/>
          <w:szCs w:val="15"/>
          <w:color w:val="auto"/>
        </w:rPr>
      </w:pPr>
    </w:p>
    <w:p>
      <w:pPr>
        <w:ind w:left="400"/>
        <w:spacing w:after="0"/>
        <w:rPr>
          <w:rFonts w:ascii="Arial" w:cs="Arial" w:eastAsia="Arial" w:hAnsi="Arial"/>
          <w:sz w:val="15"/>
          <w:szCs w:val="15"/>
          <w:color w:val="auto"/>
        </w:rPr>
      </w:pPr>
      <w:r>
        <w:rPr>
          <w:rFonts w:ascii="Arial" w:cs="Arial" w:eastAsia="Arial" w:hAnsi="Arial"/>
          <w:sz w:val="17"/>
          <w:szCs w:val="17"/>
          <w:color w:val="auto"/>
        </w:rPr>
        <w:t>Further discussion of Operating profit for our funeral home and cemetery segments is presented herein under “– Results of Operations.”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2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is a discussion of our results of operations for the three and nine months ended September 30, 2021 and 2020.</w:t>
      </w:r>
    </w:p>
    <w:p>
      <w:pPr>
        <w:spacing w:after="0" w:line="114"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The term “same store” refers to funeral homes and cemeteries acquired prior to January 1, 2017 and owned and operated for the entirety of each period being presented, excluding certain funeral home and cemetery businesses that we intend to divest in the near future.</w:t>
      </w:r>
    </w:p>
    <w:p>
      <w:pPr>
        <w:spacing w:after="0" w:line="60" w:lineRule="exact"/>
        <w:rPr>
          <w:sz w:val="20"/>
          <w:szCs w:val="20"/>
          <w:color w:val="auto"/>
        </w:rPr>
      </w:pPr>
    </w:p>
    <w:p>
      <w:pPr>
        <w:jc w:val="both"/>
        <w:ind w:firstLine="387"/>
        <w:spacing w:after="0" w:line="291" w:lineRule="auto"/>
        <w:rPr>
          <w:sz w:val="20"/>
          <w:szCs w:val="20"/>
          <w:color w:val="auto"/>
        </w:rPr>
      </w:pPr>
      <w:r>
        <w:rPr>
          <w:rFonts w:ascii="Arial" w:cs="Arial" w:eastAsia="Arial" w:hAnsi="Arial"/>
          <w:sz w:val="16"/>
          <w:szCs w:val="16"/>
          <w:color w:val="auto"/>
        </w:rPr>
        <w:t>The term “acquired” refers to funeral homes and cemeteries purchased after December 31, 2016, excluding any funeral home and cemetery businesses that we intend to divest in the near future. This classification of acquisitions has been important to management and investors in monitoring the results of these businesses and to gauge the leveraging performance contribution that a selective acquisition program can have on total company performance.</w:t>
      </w:r>
    </w:p>
    <w:p>
      <w:pPr>
        <w:spacing w:after="0" w:line="54"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The term “divested” when discussed in the Funeral Home Segment, refers to six funeral homes and three funeral homes we sold in the nine months ended September 30, 2020 and 2021, respectively.</w:t>
      </w:r>
    </w:p>
    <w:p>
      <w:pPr>
        <w:spacing w:after="0" w:line="6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“Planned divested” refers to the funeral home and cemetery businesses that we intend to divest.</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“Ancillary” in the Funeral Home Segment represents our flower shop, pet cremation business and online cremation business.</w:t>
      </w:r>
    </w:p>
    <w:p>
      <w:pPr>
        <w:spacing w:after="0" w:line="114"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Cemetery property amortization, Field depreciation expense and Regional and unallocated funeral and cemetery costs, are not included in Operating profit, a non-GAAP financial measure. Adding back these items will result in Gross profit, a GAAP financial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i w:val="1"/>
          <w:iCs w:val="1"/>
          <w:color w:val="auto"/>
        </w:rPr>
        <w:t>Funeral Home Segment</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sets forth certain information regarding our Revenue and Operating profit from our funeral home operations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5"/>
                <w:szCs w:val="15"/>
                <w:b w:val="1"/>
                <w:bCs w:val="1"/>
                <w:color w:val="auto"/>
                <w:w w:val="97"/>
              </w:rPr>
              <w:t>Three months ended September 30,</w:t>
            </w:r>
          </w:p>
        </w:tc>
        <w:tc>
          <w:tcPr>
            <w:tcW w:w="0" w:type="dxa"/>
            <w:vAlign w:val="bottom"/>
          </w:tcPr>
          <w:p>
            <w:pPr>
              <w:spacing w:after="0"/>
              <w:rPr>
                <w:sz w:val="1"/>
                <w:szCs w:val="1"/>
                <w:color w:val="auto"/>
              </w:rPr>
            </w:pPr>
          </w:p>
        </w:tc>
      </w:tr>
      <w:tr>
        <w:trPr>
          <w:trHeight w:val="200"/>
        </w:trPr>
        <w:tc>
          <w:tcPr>
            <w:tcW w:w="80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202"/>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020" w:type="dxa"/>
            <w:vAlign w:val="bottom"/>
          </w:tcPr>
          <w:p>
            <w:pPr>
              <w:ind w:left="220"/>
              <w:spacing w:after="0"/>
              <w:rPr>
                <w:sz w:val="20"/>
                <w:szCs w:val="20"/>
                <w:color w:val="auto"/>
              </w:rPr>
            </w:pPr>
            <w:r>
              <w:rPr>
                <w:rFonts w:ascii="Arial" w:cs="Arial" w:eastAsia="Arial" w:hAnsi="Arial"/>
                <w:sz w:val="17"/>
                <w:szCs w:val="17"/>
                <w:color w:val="auto"/>
              </w:rPr>
              <w:t>Same store operating revenue</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47,865</w:t>
            </w:r>
          </w:p>
        </w:tc>
        <w:tc>
          <w:tcPr>
            <w:tcW w:w="220" w:type="dxa"/>
            <w:vAlign w:val="bottom"/>
          </w:tcPr>
          <w:p>
            <w:pPr>
              <w:spacing w:after="0"/>
              <w:rPr>
                <w:sz w:val="19"/>
                <w:szCs w:val="19"/>
                <w:color w:val="auto"/>
              </w:rPr>
            </w:pPr>
          </w:p>
        </w:tc>
        <w:tc>
          <w:tcPr>
            <w:tcW w:w="52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55,502</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Acquired operating revenue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8,205</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9,354</w:t>
            </w:r>
          </w:p>
        </w:tc>
        <w:tc>
          <w:tcPr>
            <w:tcW w:w="0" w:type="dxa"/>
            <w:vAlign w:val="bottom"/>
          </w:tcPr>
          <w:p>
            <w:pPr>
              <w:spacing w:after="0"/>
              <w:rPr>
                <w:sz w:val="1"/>
                <w:szCs w:val="1"/>
                <w:color w:val="auto"/>
              </w:rPr>
            </w:pPr>
          </w:p>
        </w:tc>
      </w:tr>
      <w:tr>
        <w:trPr>
          <w:trHeight w:val="219"/>
        </w:trPr>
        <w:tc>
          <w:tcPr>
            <w:tcW w:w="8020" w:type="dxa"/>
            <w:vAlign w:val="bottom"/>
          </w:tcPr>
          <w:p>
            <w:pPr>
              <w:ind w:left="220"/>
              <w:spacing w:after="0"/>
              <w:rPr>
                <w:sz w:val="20"/>
                <w:szCs w:val="20"/>
                <w:color w:val="auto"/>
              </w:rPr>
            </w:pPr>
            <w:r>
              <w:rPr>
                <w:rFonts w:ascii="Arial" w:cs="Arial" w:eastAsia="Arial" w:hAnsi="Arial"/>
                <w:sz w:val="17"/>
                <w:szCs w:val="17"/>
                <w:color w:val="auto"/>
              </w:rPr>
              <w:t>Divested/planned divested revenue</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1,796</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694</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Ancillary revenue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1,196</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1,096</w:t>
            </w:r>
          </w:p>
        </w:tc>
        <w:tc>
          <w:tcPr>
            <w:tcW w:w="0" w:type="dxa"/>
            <w:vAlign w:val="bottom"/>
          </w:tcPr>
          <w:p>
            <w:pPr>
              <w:spacing w:after="0"/>
              <w:rPr>
                <w:sz w:val="1"/>
                <w:szCs w:val="1"/>
                <w:color w:val="auto"/>
              </w:rPr>
            </w:pPr>
          </w:p>
        </w:tc>
      </w:tr>
      <w:tr>
        <w:trPr>
          <w:trHeight w:val="219"/>
        </w:trPr>
        <w:tc>
          <w:tcPr>
            <w:tcW w:w="8020" w:type="dxa"/>
            <w:vAlign w:val="bottom"/>
          </w:tcPr>
          <w:p>
            <w:pPr>
              <w:ind w:left="220"/>
              <w:spacing w:after="0"/>
              <w:rPr>
                <w:sz w:val="20"/>
                <w:szCs w:val="20"/>
                <w:color w:val="auto"/>
              </w:rPr>
            </w:pPr>
            <w:r>
              <w:rPr>
                <w:rFonts w:ascii="Arial" w:cs="Arial" w:eastAsia="Arial" w:hAnsi="Arial"/>
                <w:sz w:val="17"/>
                <w:szCs w:val="17"/>
                <w:color w:val="auto"/>
              </w:rPr>
              <w:t>Preneed funeral insurance commissions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369</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375</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Preneed funeral trust and insurance</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2,003</w:t>
            </w:r>
          </w:p>
        </w:tc>
        <w:tc>
          <w:tcPr>
            <w:tcW w:w="2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1,876</w:t>
            </w:r>
          </w:p>
        </w:tc>
        <w:tc>
          <w:tcPr>
            <w:tcW w:w="0" w:type="dxa"/>
            <w:vAlign w:val="bottom"/>
          </w:tcPr>
          <w:p>
            <w:pPr>
              <w:spacing w:after="0"/>
              <w:rPr>
                <w:sz w:val="1"/>
                <w:szCs w:val="1"/>
                <w:color w:val="auto"/>
              </w:rPr>
            </w:pPr>
          </w:p>
        </w:tc>
      </w:tr>
      <w:tr>
        <w:trPr>
          <w:trHeight w:val="212"/>
        </w:trPr>
        <w:tc>
          <w:tcPr>
            <w:tcW w:w="8020" w:type="dxa"/>
            <w:vAlign w:val="bottom"/>
          </w:tcPr>
          <w:p>
            <w:pPr>
              <w:ind w:left="20"/>
              <w:spacing w:after="0"/>
              <w:rPr>
                <w:sz w:val="20"/>
                <w:szCs w:val="20"/>
                <w:color w:val="auto"/>
              </w:rPr>
            </w:pPr>
            <w:r>
              <w:rPr>
                <w:rFonts w:ascii="Arial" w:cs="Arial" w:eastAsia="Arial" w:hAnsi="Arial"/>
                <w:sz w:val="17"/>
                <w:szCs w:val="17"/>
                <w:color w:val="auto"/>
              </w:rPr>
              <w:t>Total</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61,434</w:t>
            </w:r>
          </w:p>
        </w:tc>
        <w:tc>
          <w:tcPr>
            <w:tcW w:w="220" w:type="dxa"/>
            <w:vAlign w:val="bottom"/>
          </w:tcPr>
          <w:p>
            <w:pPr>
              <w:spacing w:after="0"/>
              <w:rPr>
                <w:sz w:val="18"/>
                <w:szCs w:val="18"/>
                <w:color w:val="auto"/>
              </w:rPr>
            </w:pPr>
          </w:p>
        </w:tc>
        <w:tc>
          <w:tcPr>
            <w:tcW w:w="5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68,897</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80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8020" w:type="dxa"/>
            <w:vAlign w:val="bottom"/>
          </w:tcPr>
          <w:p>
            <w:pPr>
              <w:ind w:left="20"/>
              <w:spacing w:after="0"/>
              <w:rPr>
                <w:sz w:val="20"/>
                <w:szCs w:val="20"/>
                <w:color w:val="auto"/>
              </w:rPr>
            </w:pPr>
            <w:r>
              <w:rPr>
                <w:rFonts w:ascii="Arial" w:cs="Arial" w:eastAsia="Arial" w:hAnsi="Arial"/>
                <w:sz w:val="17"/>
                <w:szCs w:val="17"/>
                <w:color w:val="auto"/>
              </w:rPr>
              <w:t>Operating profit:</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Same store operating profit</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19,903</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24,960</w:t>
            </w:r>
          </w:p>
        </w:tc>
        <w:tc>
          <w:tcPr>
            <w:tcW w:w="0" w:type="dxa"/>
            <w:vAlign w:val="bottom"/>
          </w:tcPr>
          <w:p>
            <w:pPr>
              <w:spacing w:after="0"/>
              <w:rPr>
                <w:sz w:val="1"/>
                <w:szCs w:val="1"/>
                <w:color w:val="auto"/>
              </w:rPr>
            </w:pPr>
          </w:p>
        </w:tc>
      </w:tr>
      <w:tr>
        <w:trPr>
          <w:trHeight w:val="219"/>
        </w:trPr>
        <w:tc>
          <w:tcPr>
            <w:tcW w:w="8020" w:type="dxa"/>
            <w:vAlign w:val="bottom"/>
          </w:tcPr>
          <w:p>
            <w:pPr>
              <w:ind w:left="220"/>
              <w:spacing w:after="0"/>
              <w:rPr>
                <w:sz w:val="20"/>
                <w:szCs w:val="20"/>
                <w:color w:val="auto"/>
              </w:rPr>
            </w:pPr>
            <w:r>
              <w:rPr>
                <w:rFonts w:ascii="Arial" w:cs="Arial" w:eastAsia="Arial" w:hAnsi="Arial"/>
                <w:sz w:val="17"/>
                <w:szCs w:val="17"/>
                <w:color w:val="auto"/>
              </w:rPr>
              <w:t>Acquired operating profit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2,942</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3,974</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Divested/planned divested operating profit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0" w:type="dxa"/>
            <w:vAlign w:val="bottom"/>
          </w:tcPr>
          <w:p>
            <w:pPr>
              <w:spacing w:after="0"/>
              <w:rPr>
                <w:sz w:val="1"/>
                <w:szCs w:val="1"/>
                <w:color w:val="auto"/>
              </w:rPr>
            </w:pPr>
          </w:p>
        </w:tc>
      </w:tr>
      <w:tr>
        <w:trPr>
          <w:trHeight w:val="219"/>
        </w:trPr>
        <w:tc>
          <w:tcPr>
            <w:tcW w:w="8020" w:type="dxa"/>
            <w:vAlign w:val="bottom"/>
          </w:tcPr>
          <w:p>
            <w:pPr>
              <w:ind w:left="220"/>
              <w:spacing w:after="0"/>
              <w:rPr>
                <w:sz w:val="20"/>
                <w:szCs w:val="20"/>
                <w:color w:val="auto"/>
              </w:rPr>
            </w:pPr>
            <w:r>
              <w:rPr>
                <w:rFonts w:ascii="Arial" w:cs="Arial" w:eastAsia="Arial" w:hAnsi="Arial"/>
                <w:sz w:val="17"/>
                <w:szCs w:val="17"/>
                <w:color w:val="auto"/>
              </w:rPr>
              <w:t>Ancillary operating profit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292</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274</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Preneed funeral insurance commissions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219"/>
        </w:trPr>
        <w:tc>
          <w:tcPr>
            <w:tcW w:w="80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Preneed funeral trust and insurance</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1,971</w:t>
            </w:r>
          </w:p>
        </w:tc>
        <w:tc>
          <w:tcPr>
            <w:tcW w:w="2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1,839</w:t>
            </w:r>
          </w:p>
        </w:tc>
        <w:tc>
          <w:tcPr>
            <w:tcW w:w="0" w:type="dxa"/>
            <w:vAlign w:val="bottom"/>
          </w:tcPr>
          <w:p>
            <w:pPr>
              <w:spacing w:after="0"/>
              <w:rPr>
                <w:sz w:val="1"/>
                <w:szCs w:val="1"/>
                <w:color w:val="auto"/>
              </w:rPr>
            </w:pPr>
          </w:p>
        </w:tc>
      </w:tr>
      <w:tr>
        <w:trPr>
          <w:trHeight w:val="237"/>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25,636</w:t>
            </w:r>
          </w:p>
        </w:tc>
        <w:tc>
          <w:tcPr>
            <w:tcW w:w="2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31,355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400"/>
              <w:spacing w:after="0"/>
              <w:rPr>
                <w:sz w:val="20"/>
                <w:szCs w:val="20"/>
                <w:color w:val="auto"/>
              </w:rPr>
            </w:pPr>
            <w:r>
              <w:rPr>
                <w:rFonts w:ascii="Arial" w:cs="Arial" w:eastAsia="Arial" w:hAnsi="Arial"/>
                <w:sz w:val="17"/>
                <w:szCs w:val="17"/>
                <w:color w:val="auto"/>
              </w:rPr>
              <w:t>The following measures reflect the significant metrics over this comparative period: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0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8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5"/>
                <w:szCs w:val="15"/>
                <w:b w:val="1"/>
                <w:bCs w:val="1"/>
                <w:color w:val="auto"/>
                <w:w w:val="97"/>
              </w:rPr>
              <w:t>Three months ended September 30,</w:t>
            </w:r>
          </w:p>
        </w:tc>
        <w:tc>
          <w:tcPr>
            <w:tcW w:w="0" w:type="dxa"/>
            <w:vAlign w:val="bottom"/>
          </w:tcPr>
          <w:p>
            <w:pPr>
              <w:spacing w:after="0"/>
              <w:rPr>
                <w:sz w:val="1"/>
                <w:szCs w:val="1"/>
                <w:color w:val="auto"/>
              </w:rPr>
            </w:pPr>
          </w:p>
        </w:tc>
      </w:tr>
      <w:tr>
        <w:trPr>
          <w:trHeight w:val="200"/>
        </w:trPr>
        <w:tc>
          <w:tcPr>
            <w:tcW w:w="80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202"/>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Same store:</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020" w:type="dxa"/>
            <w:vAlign w:val="bottom"/>
          </w:tcPr>
          <w:p>
            <w:pPr>
              <w:ind w:left="20"/>
              <w:spacing w:after="0"/>
              <w:rPr>
                <w:sz w:val="20"/>
                <w:szCs w:val="20"/>
                <w:color w:val="auto"/>
              </w:rPr>
            </w:pPr>
            <w:r>
              <w:rPr>
                <w:rFonts w:ascii="Arial" w:cs="Arial" w:eastAsia="Arial" w:hAnsi="Arial"/>
                <w:sz w:val="17"/>
                <w:szCs w:val="17"/>
                <w:color w:val="auto"/>
              </w:rPr>
              <w:t>Contract volume</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9,442</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10,664</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Average revenue per contract, excluding preneed funeral trust earnings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5,069</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5,205</w:t>
            </w:r>
          </w:p>
        </w:tc>
        <w:tc>
          <w:tcPr>
            <w:tcW w:w="0" w:type="dxa"/>
            <w:vAlign w:val="bottom"/>
          </w:tcPr>
          <w:p>
            <w:pPr>
              <w:spacing w:after="0"/>
              <w:rPr>
                <w:sz w:val="1"/>
                <w:szCs w:val="1"/>
                <w:color w:val="auto"/>
              </w:rPr>
            </w:pPr>
          </w:p>
        </w:tc>
      </w:tr>
      <w:tr>
        <w:trPr>
          <w:trHeight w:val="219"/>
        </w:trPr>
        <w:tc>
          <w:tcPr>
            <w:tcW w:w="8020" w:type="dxa"/>
            <w:vAlign w:val="bottom"/>
          </w:tcPr>
          <w:p>
            <w:pPr>
              <w:ind w:left="20"/>
              <w:spacing w:after="0"/>
              <w:rPr>
                <w:sz w:val="20"/>
                <w:szCs w:val="20"/>
                <w:color w:val="auto"/>
              </w:rPr>
            </w:pPr>
            <w:r>
              <w:rPr>
                <w:rFonts w:ascii="Arial" w:cs="Arial" w:eastAsia="Arial" w:hAnsi="Arial"/>
                <w:sz w:val="17"/>
                <w:szCs w:val="17"/>
                <w:color w:val="auto"/>
              </w:rPr>
              <w:t>Average revenue per contract, including preneed funeral trust earnings</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5,260</w:t>
            </w:r>
          </w:p>
        </w:tc>
        <w:tc>
          <w:tcPr>
            <w:tcW w:w="220" w:type="dxa"/>
            <w:vAlign w:val="bottom"/>
          </w:tcPr>
          <w:p>
            <w:pPr>
              <w:spacing w:after="0"/>
              <w:rPr>
                <w:sz w:val="19"/>
                <w:szCs w:val="19"/>
                <w:color w:val="auto"/>
              </w:rPr>
            </w:pPr>
          </w:p>
        </w:tc>
        <w:tc>
          <w:tcPr>
            <w:tcW w:w="52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5,361</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Burial rate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35.8%</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33.7%</w:t>
            </w:r>
          </w:p>
        </w:tc>
        <w:tc>
          <w:tcPr>
            <w:tcW w:w="0" w:type="dxa"/>
            <w:vAlign w:val="bottom"/>
          </w:tcPr>
          <w:p>
            <w:pPr>
              <w:spacing w:after="0"/>
              <w:rPr>
                <w:sz w:val="1"/>
                <w:szCs w:val="1"/>
                <w:color w:val="auto"/>
              </w:rPr>
            </w:pPr>
          </w:p>
        </w:tc>
      </w:tr>
      <w:tr>
        <w:trPr>
          <w:trHeight w:val="219"/>
        </w:trPr>
        <w:tc>
          <w:tcPr>
            <w:tcW w:w="8020" w:type="dxa"/>
            <w:vAlign w:val="bottom"/>
          </w:tcPr>
          <w:p>
            <w:pPr>
              <w:ind w:left="20"/>
              <w:spacing w:after="0"/>
              <w:rPr>
                <w:sz w:val="20"/>
                <w:szCs w:val="20"/>
                <w:color w:val="auto"/>
              </w:rPr>
            </w:pPr>
            <w:r>
              <w:rPr>
                <w:rFonts w:ascii="Arial" w:cs="Arial" w:eastAsia="Arial" w:hAnsi="Arial"/>
                <w:sz w:val="17"/>
                <w:szCs w:val="17"/>
                <w:color w:val="auto"/>
              </w:rPr>
              <w:t>Cremation rate</w:t>
            </w:r>
          </w:p>
        </w:tc>
        <w:tc>
          <w:tcPr>
            <w:tcW w:w="280" w:type="dxa"/>
            <w:vAlign w:val="bottom"/>
          </w:tcPr>
          <w:p>
            <w:pPr>
              <w:spacing w:after="0"/>
              <w:rPr>
                <w:sz w:val="19"/>
                <w:szCs w:val="19"/>
                <w:color w:val="auto"/>
              </w:rPr>
            </w:pPr>
          </w:p>
        </w:tc>
        <w:tc>
          <w:tcPr>
            <w:tcW w:w="1220" w:type="dxa"/>
            <w:vAlign w:val="bottom"/>
          </w:tcPr>
          <w:p>
            <w:pPr>
              <w:jc w:val="right"/>
              <w:ind w:right="35"/>
              <w:spacing w:after="0"/>
              <w:rPr>
                <w:sz w:val="20"/>
                <w:szCs w:val="20"/>
                <w:color w:val="auto"/>
              </w:rPr>
            </w:pPr>
            <w:r>
              <w:rPr>
                <w:rFonts w:ascii="Arial" w:cs="Arial" w:eastAsia="Arial" w:hAnsi="Arial"/>
                <w:sz w:val="17"/>
                <w:szCs w:val="17"/>
                <w:color w:val="auto"/>
              </w:rPr>
              <w:t>57.1%</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57.5%</w:t>
            </w:r>
          </w:p>
        </w:tc>
        <w:tc>
          <w:tcPr>
            <w:tcW w:w="0" w:type="dxa"/>
            <w:vAlign w:val="bottom"/>
          </w:tcPr>
          <w:p>
            <w:pPr>
              <w:spacing w:after="0"/>
              <w:rPr>
                <w:sz w:val="1"/>
                <w:szCs w:val="1"/>
                <w:color w:val="auto"/>
              </w:rPr>
            </w:pPr>
          </w:p>
        </w:tc>
      </w:tr>
      <w:tr>
        <w:trPr>
          <w:trHeight w:val="156"/>
        </w:trPr>
        <w:tc>
          <w:tcPr>
            <w:tcW w:w="80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020" w:type="dxa"/>
            <w:vAlign w:val="bottom"/>
          </w:tcPr>
          <w:p>
            <w:pPr>
              <w:ind w:left="20"/>
              <w:spacing w:after="0"/>
              <w:rPr>
                <w:sz w:val="20"/>
                <w:szCs w:val="20"/>
                <w:color w:val="auto"/>
              </w:rPr>
            </w:pPr>
            <w:r>
              <w:rPr>
                <w:rFonts w:ascii="Arial" w:cs="Arial" w:eastAsia="Arial" w:hAnsi="Arial"/>
                <w:sz w:val="17"/>
                <w:szCs w:val="17"/>
                <w:color w:val="auto"/>
              </w:rPr>
              <w:t>Acquired:</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Contract volume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1,619</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1,739</w:t>
            </w:r>
          </w:p>
        </w:tc>
        <w:tc>
          <w:tcPr>
            <w:tcW w:w="0" w:type="dxa"/>
            <w:vAlign w:val="bottom"/>
          </w:tcPr>
          <w:p>
            <w:pPr>
              <w:spacing w:after="0"/>
              <w:rPr>
                <w:sz w:val="1"/>
                <w:szCs w:val="1"/>
                <w:color w:val="auto"/>
              </w:rPr>
            </w:pPr>
          </w:p>
        </w:tc>
      </w:tr>
      <w:tr>
        <w:trPr>
          <w:trHeight w:val="219"/>
        </w:trPr>
        <w:tc>
          <w:tcPr>
            <w:tcW w:w="8020" w:type="dxa"/>
            <w:vAlign w:val="bottom"/>
          </w:tcPr>
          <w:p>
            <w:pPr>
              <w:ind w:left="20"/>
              <w:spacing w:after="0"/>
              <w:rPr>
                <w:sz w:val="20"/>
                <w:szCs w:val="20"/>
                <w:color w:val="auto"/>
              </w:rPr>
            </w:pPr>
            <w:r>
              <w:rPr>
                <w:rFonts w:ascii="Arial" w:cs="Arial" w:eastAsia="Arial" w:hAnsi="Arial"/>
                <w:sz w:val="17"/>
                <w:szCs w:val="17"/>
                <w:color w:val="auto"/>
              </w:rPr>
              <w:t>Average revenue per contract, excluding preneed funeral trust earnings</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5,068</w:t>
            </w:r>
          </w:p>
        </w:tc>
        <w:tc>
          <w:tcPr>
            <w:tcW w:w="220" w:type="dxa"/>
            <w:vAlign w:val="bottom"/>
          </w:tcPr>
          <w:p>
            <w:pPr>
              <w:spacing w:after="0"/>
              <w:rPr>
                <w:sz w:val="19"/>
                <w:szCs w:val="19"/>
                <w:color w:val="auto"/>
              </w:rPr>
            </w:pPr>
          </w:p>
        </w:tc>
        <w:tc>
          <w:tcPr>
            <w:tcW w:w="52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5,379</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Average revenue per contract, including preneed funeral trust earnings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5,142</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5,440</w:t>
            </w:r>
          </w:p>
        </w:tc>
        <w:tc>
          <w:tcPr>
            <w:tcW w:w="0" w:type="dxa"/>
            <w:vAlign w:val="bottom"/>
          </w:tcPr>
          <w:p>
            <w:pPr>
              <w:spacing w:after="0"/>
              <w:rPr>
                <w:sz w:val="1"/>
                <w:szCs w:val="1"/>
                <w:color w:val="auto"/>
              </w:rPr>
            </w:pPr>
          </w:p>
        </w:tc>
      </w:tr>
      <w:tr>
        <w:trPr>
          <w:trHeight w:val="219"/>
        </w:trPr>
        <w:tc>
          <w:tcPr>
            <w:tcW w:w="8020" w:type="dxa"/>
            <w:vAlign w:val="bottom"/>
          </w:tcPr>
          <w:p>
            <w:pPr>
              <w:ind w:left="20"/>
              <w:spacing w:after="0"/>
              <w:rPr>
                <w:sz w:val="20"/>
                <w:szCs w:val="20"/>
                <w:color w:val="auto"/>
              </w:rPr>
            </w:pPr>
            <w:r>
              <w:rPr>
                <w:rFonts w:ascii="Arial" w:cs="Arial" w:eastAsia="Arial" w:hAnsi="Arial"/>
                <w:sz w:val="17"/>
                <w:szCs w:val="17"/>
                <w:color w:val="auto"/>
              </w:rPr>
              <w:t>Burial rate</w:t>
            </w:r>
          </w:p>
        </w:tc>
        <w:tc>
          <w:tcPr>
            <w:tcW w:w="280" w:type="dxa"/>
            <w:vAlign w:val="bottom"/>
          </w:tcPr>
          <w:p>
            <w:pPr>
              <w:spacing w:after="0"/>
              <w:rPr>
                <w:sz w:val="19"/>
                <w:szCs w:val="19"/>
                <w:color w:val="auto"/>
              </w:rPr>
            </w:pPr>
          </w:p>
        </w:tc>
        <w:tc>
          <w:tcPr>
            <w:tcW w:w="1220" w:type="dxa"/>
            <w:vAlign w:val="bottom"/>
          </w:tcPr>
          <w:p>
            <w:pPr>
              <w:jc w:val="right"/>
              <w:ind w:right="35"/>
              <w:spacing w:after="0"/>
              <w:rPr>
                <w:sz w:val="20"/>
                <w:szCs w:val="20"/>
                <w:color w:val="auto"/>
              </w:rPr>
            </w:pPr>
            <w:r>
              <w:rPr>
                <w:rFonts w:ascii="Arial" w:cs="Arial" w:eastAsia="Arial" w:hAnsi="Arial"/>
                <w:sz w:val="17"/>
                <w:szCs w:val="17"/>
                <w:color w:val="auto"/>
              </w:rPr>
              <w:t>39.5%</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38.4%</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Cremation rate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55.7%</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54.1%</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color w:val="auto"/>
        </w:rPr>
        <w:t>Funeral home same store operating revenue for the three months ended September 30, 2021 increased $7.6 million compared to the same period in 2020. The increase in operating revenue is primarily due to a 12.9% increase in same store contract volume, as well as a 2.7% increase in the average revenue per contract excluding preneed interest. Approximately 60% of the increase in funeral volumes is attributable to deaths from the Delta COVID-19 variant. The additional volume increase is primarily a consequence of our ability to adapt to the continued changing environment with our new and innovative ways to serve families. The increase in the average revenue per contract is a further reflection of our ability to creatively serve our families, as the number of contracts for which we provide memorial services are returning to pre-COVID-19 levels.</w:t>
      </w:r>
    </w:p>
    <w:p>
      <w:pPr>
        <w:spacing w:after="0" w:line="81"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Funeral home same store operating profit for the three months ended September 30, 2021 increased $5.1 million when compared to the same period in 2020. The comparable operating profit margin increased 340 basis points to 45.0%. The increase in operating profit is primarily due to the increase in same store operating revenue along with disciplined expense and cost management by leaders at each business. Overall same store operating expenses as a percent of operating revenue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52" w:name="page53"/>
    <w:bookmarkEnd w:id="52"/>
    <w:p>
      <w:pPr>
        <w:jc w:val="both"/>
        <w:spacing w:after="0" w:line="280" w:lineRule="auto"/>
        <w:rPr>
          <w:sz w:val="20"/>
          <w:szCs w:val="20"/>
          <w:color w:val="auto"/>
        </w:rPr>
      </w:pPr>
      <w:r>
        <w:rPr>
          <w:rFonts w:ascii="Arial" w:cs="Arial" w:eastAsia="Arial" w:hAnsi="Arial"/>
          <w:sz w:val="17"/>
          <w:szCs w:val="17"/>
          <w:color w:val="auto"/>
        </w:rPr>
        <w:t>decreased 3.4% with the largest decrease in salaries and benefits expense of 2.1% as a percent of operating revenue, as we focused on optimizing the inherent operating leverage in each business by increasing revenue without adding extra personnel.</w:t>
      </w:r>
    </w:p>
    <w:p>
      <w:pPr>
        <w:spacing w:after="0" w:line="60"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Funeral home acquired operating revenue for the three months ended September 30, 2021 increased $1.1 million compared to the same period in 2020. The increase in operating revenue is primarily due to a 7.4% increase in acquired contract volume, as well as a 6.1% increase in the average revenue per contract excluding preneed interest. The average revenue per contract in the third quarter of 2021 reflects an increase in cremation contracts with services in the third quarter of 2021 compared to the third quarter of 2020, primarily due to our continued determination and focus to welcome and educate families on the many products and service options that are available with cremation.</w:t>
      </w:r>
    </w:p>
    <w:p>
      <w:pPr>
        <w:spacing w:after="0" w:line="77"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6"/>
          <w:szCs w:val="16"/>
          <w:color w:val="auto"/>
        </w:rPr>
        <w:t>Funeral home acquired operating profit for the three months ended September 30, 2021 increased $1.0 million when compared to the same period in 2020. The comparable operating profit margin increased 660 basis points to 42.5%. The increase in operating profit is primarily due to the increase in acquired operating revenue along with disciplined expense and costs management by leader at each business. Overall acquired operating expenses as a percent of operating revenue decreased 6.6% with the largest decrease in salaries and benefits expense of 5.9% as a percentage of operating revenue, as we focused on optimizing the inherent operating leverage in each business by increasing revenue without adding extra personnel.</w:t>
      </w:r>
    </w:p>
    <w:p>
      <w:pPr>
        <w:spacing w:after="0" w:line="63" w:lineRule="exact"/>
        <w:rPr>
          <w:sz w:val="20"/>
          <w:szCs w:val="20"/>
          <w:color w:val="auto"/>
        </w:rPr>
      </w:pPr>
    </w:p>
    <w:p>
      <w:pPr>
        <w:jc w:val="both"/>
        <w:ind w:firstLine="387"/>
        <w:spacing w:after="0" w:line="312" w:lineRule="auto"/>
        <w:rPr>
          <w:sz w:val="20"/>
          <w:szCs w:val="20"/>
          <w:color w:val="auto"/>
        </w:rPr>
      </w:pPr>
      <w:r>
        <w:rPr>
          <w:rFonts w:ascii="Arial" w:cs="Arial" w:eastAsia="Arial" w:hAnsi="Arial"/>
          <w:sz w:val="16"/>
          <w:szCs w:val="16"/>
          <w:color w:val="auto"/>
        </w:rPr>
        <w:t xml:space="preserve">Ancillary revenue, which is recorded in </w:t>
      </w:r>
      <w:r>
        <w:rPr>
          <w:rFonts w:ascii="Arial" w:cs="Arial" w:eastAsia="Arial" w:hAnsi="Arial"/>
          <w:sz w:val="16"/>
          <w:szCs w:val="16"/>
          <w:i w:val="1"/>
          <w:iCs w:val="1"/>
          <w:color w:val="auto"/>
        </w:rPr>
        <w:t>Other revenue</w:t>
      </w:r>
      <w:r>
        <w:rPr>
          <w:rFonts w:ascii="Arial" w:cs="Arial" w:eastAsia="Arial" w:hAnsi="Arial"/>
          <w:sz w:val="16"/>
          <w:szCs w:val="16"/>
          <w:color w:val="auto"/>
        </w:rPr>
        <w:t>, represents revenue from our flower shop, pet cremation and online cremation businesses, decreased $0.1 million, while Ancillary operating profit remained flat for the three months ended September 30, 2021 compared to the same period in 2020.</w:t>
      </w:r>
    </w:p>
    <w:p>
      <w:pPr>
        <w:spacing w:after="0" w:line="38"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 xml:space="preserve">Preneed funeral insurance commissions and preneed funeral trust and insurance revenue (recorded in </w:t>
      </w:r>
      <w:r>
        <w:rPr>
          <w:rFonts w:ascii="Arial" w:cs="Arial" w:eastAsia="Arial" w:hAnsi="Arial"/>
          <w:sz w:val="17"/>
          <w:szCs w:val="17"/>
          <w:i w:val="1"/>
          <w:iCs w:val="1"/>
          <w:color w:val="auto"/>
        </w:rPr>
        <w:t>Other revenue)</w:t>
      </w:r>
      <w:r>
        <w:rPr>
          <w:rFonts w:ascii="Arial" w:cs="Arial" w:eastAsia="Arial" w:hAnsi="Arial"/>
          <w:sz w:val="17"/>
          <w:szCs w:val="17"/>
          <w:color w:val="auto"/>
        </w:rPr>
        <w:t xml:space="preserve"> on a combined basis, decreased $0.1 million for the three months ended September 30, 2021 compared to the same period in 2020. The decrease is primarily related to a 6.2% decrease in preneed contracts maturing to atneed which triggers the recognition of trust earnings on matured contracts. Operating profit for preneed funeral insurance commissions and preneed trust and insurance, on a combined basis, decreased $0.2 million for the same comparative period, primarily due to the decrease in preneed funeral trust and insurance revenue.</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sets forth certain information regarding our Revenue and Operating profit from our funeral home operations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3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395"/>
              <w:spacing w:after="0"/>
              <w:rPr>
                <w:sz w:val="20"/>
                <w:szCs w:val="20"/>
                <w:color w:val="auto"/>
              </w:rPr>
            </w:pPr>
            <w:r>
              <w:rPr>
                <w:rFonts w:ascii="Arial" w:cs="Arial" w:eastAsia="Arial" w:hAnsi="Arial"/>
                <w:sz w:val="15"/>
                <w:szCs w:val="15"/>
                <w:b w:val="1"/>
                <w:bCs w:val="1"/>
                <w:color w:val="auto"/>
                <w:w w:val="98"/>
              </w:rPr>
              <w:t>Nine months ended September 30,</w:t>
            </w:r>
          </w:p>
        </w:tc>
        <w:tc>
          <w:tcPr>
            <w:tcW w:w="0" w:type="dxa"/>
            <w:vAlign w:val="bottom"/>
          </w:tcPr>
          <w:p>
            <w:pPr>
              <w:spacing w:after="0"/>
              <w:rPr>
                <w:sz w:val="1"/>
                <w:szCs w:val="1"/>
                <w:color w:val="auto"/>
              </w:rPr>
            </w:pPr>
          </w:p>
        </w:tc>
      </w:tr>
      <w:tr>
        <w:trPr>
          <w:trHeight w:val="200"/>
        </w:trPr>
        <w:tc>
          <w:tcPr>
            <w:tcW w:w="4300" w:type="dxa"/>
            <w:vAlign w:val="bottom"/>
            <w:tcBorders>
              <w:bottom w:val="single" w:sz="8" w:color="CCEEFF"/>
            </w:tcBorders>
          </w:tcPr>
          <w:p>
            <w:pPr>
              <w:spacing w:after="0"/>
              <w:rPr>
                <w:sz w:val="17"/>
                <w:szCs w:val="17"/>
                <w:color w:val="auto"/>
              </w:rPr>
            </w:pPr>
          </w:p>
        </w:tc>
        <w:tc>
          <w:tcPr>
            <w:tcW w:w="37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202"/>
        </w:trPr>
        <w:tc>
          <w:tcPr>
            <w:tcW w:w="4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300" w:type="dxa"/>
            <w:vAlign w:val="bottom"/>
          </w:tcPr>
          <w:p>
            <w:pPr>
              <w:ind w:left="220"/>
              <w:spacing w:after="0"/>
              <w:rPr>
                <w:sz w:val="20"/>
                <w:szCs w:val="20"/>
                <w:color w:val="auto"/>
              </w:rPr>
            </w:pPr>
            <w:r>
              <w:rPr>
                <w:rFonts w:ascii="Arial" w:cs="Arial" w:eastAsia="Arial" w:hAnsi="Arial"/>
                <w:sz w:val="17"/>
                <w:szCs w:val="17"/>
                <w:color w:val="auto"/>
              </w:rPr>
              <w:t>Same store operating revenue</w:t>
            </w:r>
          </w:p>
        </w:tc>
        <w:tc>
          <w:tcPr>
            <w:tcW w:w="4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139,126</w:t>
            </w:r>
          </w:p>
        </w:tc>
        <w:tc>
          <w:tcPr>
            <w:tcW w:w="220" w:type="dxa"/>
            <w:vAlign w:val="bottom"/>
          </w:tcPr>
          <w:p>
            <w:pPr>
              <w:spacing w:after="0"/>
              <w:rPr>
                <w:sz w:val="19"/>
                <w:szCs w:val="19"/>
                <w:color w:val="auto"/>
              </w:rPr>
            </w:pPr>
          </w:p>
        </w:tc>
        <w:tc>
          <w:tcPr>
            <w:tcW w:w="500" w:type="dxa"/>
            <w:vAlign w:val="bottom"/>
          </w:tcPr>
          <w:p>
            <w:pPr>
              <w:jc w:val="right"/>
              <w:ind w:right="294"/>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159,728</w:t>
            </w:r>
          </w:p>
        </w:tc>
        <w:tc>
          <w:tcPr>
            <w:tcW w:w="0" w:type="dxa"/>
            <w:vAlign w:val="bottom"/>
          </w:tcPr>
          <w:p>
            <w:pPr>
              <w:spacing w:after="0"/>
              <w:rPr>
                <w:sz w:val="1"/>
                <w:szCs w:val="1"/>
                <w:color w:val="auto"/>
              </w:rPr>
            </w:pPr>
          </w:p>
        </w:tc>
      </w:tr>
      <w:tr>
        <w:trPr>
          <w:trHeight w:val="220"/>
        </w:trPr>
        <w:tc>
          <w:tcPr>
            <w:tcW w:w="4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Acquired operating revenue</w:t>
            </w:r>
          </w:p>
        </w:tc>
        <w:tc>
          <w:tcPr>
            <w:tcW w:w="3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26,113</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28,050</w:t>
            </w:r>
          </w:p>
        </w:tc>
        <w:tc>
          <w:tcPr>
            <w:tcW w:w="0" w:type="dxa"/>
            <w:vAlign w:val="bottom"/>
          </w:tcPr>
          <w:p>
            <w:pPr>
              <w:spacing w:after="0"/>
              <w:rPr>
                <w:sz w:val="1"/>
                <w:szCs w:val="1"/>
                <w:color w:val="auto"/>
              </w:rPr>
            </w:pPr>
          </w:p>
        </w:tc>
      </w:tr>
      <w:tr>
        <w:trPr>
          <w:trHeight w:val="219"/>
        </w:trPr>
        <w:tc>
          <w:tcPr>
            <w:tcW w:w="4300" w:type="dxa"/>
            <w:vAlign w:val="bottom"/>
          </w:tcPr>
          <w:p>
            <w:pPr>
              <w:ind w:left="220"/>
              <w:spacing w:after="0"/>
              <w:rPr>
                <w:sz w:val="20"/>
                <w:szCs w:val="20"/>
                <w:color w:val="auto"/>
              </w:rPr>
            </w:pPr>
            <w:r>
              <w:rPr>
                <w:rFonts w:ascii="Arial" w:cs="Arial" w:eastAsia="Arial" w:hAnsi="Arial"/>
                <w:sz w:val="17"/>
                <w:szCs w:val="17"/>
                <w:color w:val="auto"/>
              </w:rPr>
              <w:t>Divested/planned divested revenue</w:t>
            </w:r>
          </w:p>
        </w:tc>
        <w:tc>
          <w:tcPr>
            <w:tcW w:w="3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6,822</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2,434</w:t>
            </w:r>
          </w:p>
        </w:tc>
        <w:tc>
          <w:tcPr>
            <w:tcW w:w="0" w:type="dxa"/>
            <w:vAlign w:val="bottom"/>
          </w:tcPr>
          <w:p>
            <w:pPr>
              <w:spacing w:after="0"/>
              <w:rPr>
                <w:sz w:val="1"/>
                <w:szCs w:val="1"/>
                <w:color w:val="auto"/>
              </w:rPr>
            </w:pPr>
          </w:p>
        </w:tc>
      </w:tr>
      <w:tr>
        <w:trPr>
          <w:trHeight w:val="220"/>
        </w:trPr>
        <w:tc>
          <w:tcPr>
            <w:tcW w:w="4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Ancillary revenue</w:t>
            </w:r>
          </w:p>
        </w:tc>
        <w:tc>
          <w:tcPr>
            <w:tcW w:w="3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3,464</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3,391</w:t>
            </w:r>
          </w:p>
        </w:tc>
        <w:tc>
          <w:tcPr>
            <w:tcW w:w="0" w:type="dxa"/>
            <w:vAlign w:val="bottom"/>
          </w:tcPr>
          <w:p>
            <w:pPr>
              <w:spacing w:after="0"/>
              <w:rPr>
                <w:sz w:val="1"/>
                <w:szCs w:val="1"/>
                <w:color w:val="auto"/>
              </w:rPr>
            </w:pPr>
          </w:p>
        </w:tc>
      </w:tr>
      <w:tr>
        <w:trPr>
          <w:trHeight w:val="219"/>
        </w:trPr>
        <w:tc>
          <w:tcPr>
            <w:tcW w:w="4300" w:type="dxa"/>
            <w:vAlign w:val="bottom"/>
          </w:tcPr>
          <w:p>
            <w:pPr>
              <w:ind w:left="220"/>
              <w:spacing w:after="0"/>
              <w:rPr>
                <w:sz w:val="20"/>
                <w:szCs w:val="20"/>
                <w:color w:val="auto"/>
              </w:rPr>
            </w:pPr>
            <w:r>
              <w:rPr>
                <w:rFonts w:ascii="Arial" w:cs="Arial" w:eastAsia="Arial" w:hAnsi="Arial"/>
                <w:sz w:val="17"/>
                <w:szCs w:val="17"/>
                <w:color w:val="auto"/>
              </w:rPr>
              <w:t>Preneed funeral insurance commissions</w:t>
            </w:r>
          </w:p>
        </w:tc>
        <w:tc>
          <w:tcPr>
            <w:tcW w:w="3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1,061</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968</w:t>
            </w:r>
          </w:p>
        </w:tc>
        <w:tc>
          <w:tcPr>
            <w:tcW w:w="0" w:type="dxa"/>
            <w:vAlign w:val="bottom"/>
          </w:tcPr>
          <w:p>
            <w:pPr>
              <w:spacing w:after="0"/>
              <w:rPr>
                <w:sz w:val="1"/>
                <w:szCs w:val="1"/>
                <w:color w:val="auto"/>
              </w:rPr>
            </w:pPr>
          </w:p>
        </w:tc>
      </w:tr>
      <w:tr>
        <w:trPr>
          <w:trHeight w:val="220"/>
        </w:trPr>
        <w:tc>
          <w:tcPr>
            <w:tcW w:w="4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Preneed funeral trust and insurance</w:t>
            </w:r>
          </w:p>
        </w:tc>
        <w:tc>
          <w:tcPr>
            <w:tcW w:w="37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5,711</w:t>
            </w:r>
          </w:p>
        </w:tc>
        <w:tc>
          <w:tcPr>
            <w:tcW w:w="2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5,932</w:t>
            </w:r>
          </w:p>
        </w:tc>
        <w:tc>
          <w:tcPr>
            <w:tcW w:w="0" w:type="dxa"/>
            <w:vAlign w:val="bottom"/>
          </w:tcPr>
          <w:p>
            <w:pPr>
              <w:spacing w:after="0"/>
              <w:rPr>
                <w:sz w:val="1"/>
                <w:szCs w:val="1"/>
                <w:color w:val="auto"/>
              </w:rPr>
            </w:pPr>
          </w:p>
        </w:tc>
      </w:tr>
      <w:tr>
        <w:trPr>
          <w:trHeight w:val="212"/>
        </w:trPr>
        <w:tc>
          <w:tcPr>
            <w:tcW w:w="4300" w:type="dxa"/>
            <w:vAlign w:val="bottom"/>
          </w:tcPr>
          <w:p>
            <w:pPr>
              <w:ind w:left="20"/>
              <w:spacing w:after="0"/>
              <w:rPr>
                <w:sz w:val="20"/>
                <w:szCs w:val="20"/>
                <w:color w:val="auto"/>
              </w:rPr>
            </w:pPr>
            <w:r>
              <w:rPr>
                <w:rFonts w:ascii="Arial" w:cs="Arial" w:eastAsia="Arial" w:hAnsi="Arial"/>
                <w:sz w:val="17"/>
                <w:szCs w:val="17"/>
                <w:color w:val="auto"/>
              </w:rPr>
              <w:t>Total</w:t>
            </w:r>
          </w:p>
        </w:tc>
        <w:tc>
          <w:tcPr>
            <w:tcW w:w="4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182,297</w:t>
            </w:r>
          </w:p>
        </w:tc>
        <w:tc>
          <w:tcPr>
            <w:tcW w:w="220" w:type="dxa"/>
            <w:vAlign w:val="bottom"/>
          </w:tcPr>
          <w:p>
            <w:pPr>
              <w:spacing w:after="0"/>
              <w:rPr>
                <w:sz w:val="18"/>
                <w:szCs w:val="18"/>
                <w:color w:val="auto"/>
              </w:rPr>
            </w:pPr>
          </w:p>
        </w:tc>
        <w:tc>
          <w:tcPr>
            <w:tcW w:w="500" w:type="dxa"/>
            <w:vAlign w:val="bottom"/>
          </w:tcPr>
          <w:p>
            <w:pPr>
              <w:jc w:val="right"/>
              <w:ind w:right="294"/>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200,503</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300" w:type="dxa"/>
            <w:vAlign w:val="bottom"/>
            <w:shd w:val="clear" w:color="auto" w:fill="CCEEFF"/>
          </w:tcPr>
          <w:p>
            <w:pPr>
              <w:spacing w:after="0"/>
              <w:rPr>
                <w:sz w:val="10"/>
                <w:szCs w:val="10"/>
                <w:color w:val="auto"/>
              </w:rPr>
            </w:pPr>
          </w:p>
        </w:tc>
        <w:tc>
          <w:tcPr>
            <w:tcW w:w="37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4300" w:type="dxa"/>
            <w:vAlign w:val="bottom"/>
          </w:tcPr>
          <w:p>
            <w:pPr>
              <w:ind w:left="20"/>
              <w:spacing w:after="0"/>
              <w:rPr>
                <w:sz w:val="20"/>
                <w:szCs w:val="20"/>
                <w:color w:val="auto"/>
              </w:rPr>
            </w:pPr>
            <w:r>
              <w:rPr>
                <w:rFonts w:ascii="Arial" w:cs="Arial" w:eastAsia="Arial" w:hAnsi="Arial"/>
                <w:sz w:val="17"/>
                <w:szCs w:val="17"/>
                <w:color w:val="auto"/>
              </w:rPr>
              <w:t>Operating profit:</w:t>
            </w:r>
          </w:p>
        </w:tc>
        <w:tc>
          <w:tcPr>
            <w:tcW w:w="3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Same store operating profit</w:t>
            </w:r>
          </w:p>
        </w:tc>
        <w:tc>
          <w:tcPr>
            <w:tcW w:w="40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56,687</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69,454</w:t>
            </w:r>
          </w:p>
        </w:tc>
        <w:tc>
          <w:tcPr>
            <w:tcW w:w="0" w:type="dxa"/>
            <w:vAlign w:val="bottom"/>
          </w:tcPr>
          <w:p>
            <w:pPr>
              <w:spacing w:after="0"/>
              <w:rPr>
                <w:sz w:val="1"/>
                <w:szCs w:val="1"/>
                <w:color w:val="auto"/>
              </w:rPr>
            </w:pPr>
          </w:p>
        </w:tc>
      </w:tr>
      <w:tr>
        <w:trPr>
          <w:trHeight w:val="219"/>
        </w:trPr>
        <w:tc>
          <w:tcPr>
            <w:tcW w:w="4300" w:type="dxa"/>
            <w:vAlign w:val="bottom"/>
          </w:tcPr>
          <w:p>
            <w:pPr>
              <w:ind w:left="220"/>
              <w:spacing w:after="0"/>
              <w:rPr>
                <w:sz w:val="20"/>
                <w:szCs w:val="20"/>
                <w:color w:val="auto"/>
              </w:rPr>
            </w:pPr>
            <w:r>
              <w:rPr>
                <w:rFonts w:ascii="Arial" w:cs="Arial" w:eastAsia="Arial" w:hAnsi="Arial"/>
                <w:sz w:val="17"/>
                <w:szCs w:val="17"/>
                <w:color w:val="auto"/>
              </w:rPr>
              <w:t>Acquired operating profit</w:t>
            </w:r>
          </w:p>
        </w:tc>
        <w:tc>
          <w:tcPr>
            <w:tcW w:w="3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9,944</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11,702</w:t>
            </w:r>
          </w:p>
        </w:tc>
        <w:tc>
          <w:tcPr>
            <w:tcW w:w="0" w:type="dxa"/>
            <w:vAlign w:val="bottom"/>
          </w:tcPr>
          <w:p>
            <w:pPr>
              <w:spacing w:after="0"/>
              <w:rPr>
                <w:sz w:val="1"/>
                <w:szCs w:val="1"/>
                <w:color w:val="auto"/>
              </w:rPr>
            </w:pPr>
          </w:p>
        </w:tc>
      </w:tr>
      <w:tr>
        <w:trPr>
          <w:trHeight w:val="220"/>
        </w:trPr>
        <w:tc>
          <w:tcPr>
            <w:tcW w:w="4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Divested/planned divested operating profit</w:t>
            </w:r>
          </w:p>
        </w:tc>
        <w:tc>
          <w:tcPr>
            <w:tcW w:w="3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1,829</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w:t>
            </w:r>
          </w:p>
        </w:tc>
        <w:tc>
          <w:tcPr>
            <w:tcW w:w="0" w:type="dxa"/>
            <w:vAlign w:val="bottom"/>
          </w:tcPr>
          <w:p>
            <w:pPr>
              <w:spacing w:after="0"/>
              <w:rPr>
                <w:sz w:val="1"/>
                <w:szCs w:val="1"/>
                <w:color w:val="auto"/>
              </w:rPr>
            </w:pPr>
          </w:p>
        </w:tc>
      </w:tr>
      <w:tr>
        <w:trPr>
          <w:trHeight w:val="219"/>
        </w:trPr>
        <w:tc>
          <w:tcPr>
            <w:tcW w:w="4300" w:type="dxa"/>
            <w:vAlign w:val="bottom"/>
          </w:tcPr>
          <w:p>
            <w:pPr>
              <w:ind w:left="220"/>
              <w:spacing w:after="0"/>
              <w:rPr>
                <w:sz w:val="20"/>
                <w:szCs w:val="20"/>
                <w:color w:val="auto"/>
              </w:rPr>
            </w:pPr>
            <w:r>
              <w:rPr>
                <w:rFonts w:ascii="Arial" w:cs="Arial" w:eastAsia="Arial" w:hAnsi="Arial"/>
                <w:sz w:val="17"/>
                <w:szCs w:val="17"/>
                <w:color w:val="auto"/>
              </w:rPr>
              <w:t>Ancillary operating profit</w:t>
            </w:r>
          </w:p>
        </w:tc>
        <w:tc>
          <w:tcPr>
            <w:tcW w:w="3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908</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790</w:t>
            </w:r>
          </w:p>
        </w:tc>
        <w:tc>
          <w:tcPr>
            <w:tcW w:w="0" w:type="dxa"/>
            <w:vAlign w:val="bottom"/>
          </w:tcPr>
          <w:p>
            <w:pPr>
              <w:spacing w:after="0"/>
              <w:rPr>
                <w:sz w:val="1"/>
                <w:szCs w:val="1"/>
                <w:color w:val="auto"/>
              </w:rPr>
            </w:pPr>
          </w:p>
        </w:tc>
      </w:tr>
      <w:tr>
        <w:trPr>
          <w:trHeight w:val="220"/>
        </w:trPr>
        <w:tc>
          <w:tcPr>
            <w:tcW w:w="4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Preneed funeral insurance commissions</w:t>
            </w:r>
          </w:p>
        </w:tc>
        <w:tc>
          <w:tcPr>
            <w:tcW w:w="3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477</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w:t>
            </w:r>
          </w:p>
        </w:tc>
        <w:tc>
          <w:tcPr>
            <w:tcW w:w="0" w:type="dxa"/>
            <w:vAlign w:val="bottom"/>
          </w:tcPr>
          <w:p>
            <w:pPr>
              <w:spacing w:after="0"/>
              <w:rPr>
                <w:sz w:val="1"/>
                <w:szCs w:val="1"/>
                <w:color w:val="auto"/>
              </w:rPr>
            </w:pPr>
          </w:p>
        </w:tc>
      </w:tr>
      <w:tr>
        <w:trPr>
          <w:trHeight w:val="219"/>
        </w:trPr>
        <w:tc>
          <w:tcPr>
            <w:tcW w:w="43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Preneed funeral trust and insurance</w:t>
            </w:r>
          </w:p>
        </w:tc>
        <w:tc>
          <w:tcPr>
            <w:tcW w:w="37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5,617</w:t>
            </w:r>
          </w:p>
        </w:tc>
        <w:tc>
          <w:tcPr>
            <w:tcW w:w="2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5,821</w:t>
            </w:r>
          </w:p>
        </w:tc>
        <w:tc>
          <w:tcPr>
            <w:tcW w:w="0" w:type="dxa"/>
            <w:vAlign w:val="bottom"/>
          </w:tcPr>
          <w:p>
            <w:pPr>
              <w:spacing w:after="0"/>
              <w:rPr>
                <w:sz w:val="1"/>
                <w:szCs w:val="1"/>
                <w:color w:val="auto"/>
              </w:rPr>
            </w:pPr>
          </w:p>
        </w:tc>
      </w:tr>
      <w:tr>
        <w:trPr>
          <w:trHeight w:val="232"/>
        </w:trPr>
        <w:tc>
          <w:tcPr>
            <w:tcW w:w="4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40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75,462</w:t>
            </w: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88,445</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bottom w:val="single" w:sz="8" w:color="CCEEFF"/>
            </w:tcBorders>
            <w:vMerge w:val="restart"/>
          </w:tcPr>
          <w:p>
            <w:pPr>
              <w:jc w:val="right"/>
              <w:ind w:right="2114"/>
              <w:spacing w:after="0"/>
              <w:rPr>
                <w:sz w:val="20"/>
                <w:szCs w:val="20"/>
                <w:color w:val="auto"/>
              </w:rPr>
            </w:pPr>
            <w:r>
              <w:rPr>
                <w:rFonts w:ascii="Arial" w:cs="Arial" w:eastAsia="Arial" w:hAnsi="Arial"/>
                <w:sz w:val="17"/>
                <w:szCs w:val="17"/>
                <w:color w:val="auto"/>
              </w:rPr>
              <w:t>- 53 -</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430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300" w:type="dxa"/>
            <w:vAlign w:val="bottom"/>
            <w:tcBorders>
              <w:bottom w:val="single" w:sz="8" w:color="9A9A9A"/>
            </w:tcBorders>
          </w:tcPr>
          <w:p>
            <w:pPr>
              <w:spacing w:after="0"/>
              <w:rPr>
                <w:sz w:val="9"/>
                <w:szCs w:val="9"/>
                <w:color w:val="auto"/>
              </w:rPr>
            </w:pPr>
          </w:p>
        </w:tc>
        <w:tc>
          <w:tcPr>
            <w:tcW w:w="37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53" w:name="page54"/>
    <w:bookmarkEnd w:id="53"/>
    <w:p>
      <w:pPr>
        <w:ind w:left="400"/>
        <w:spacing w:after="0"/>
        <w:rPr>
          <w:sz w:val="20"/>
          <w:szCs w:val="20"/>
          <w:color w:val="auto"/>
        </w:rPr>
      </w:pPr>
      <w:r>
        <w:rPr>
          <w:rFonts w:ascii="Arial" w:cs="Arial" w:eastAsia="Arial" w:hAnsi="Arial"/>
          <w:sz w:val="17"/>
          <w:szCs w:val="17"/>
          <w:color w:val="auto"/>
        </w:rPr>
        <w:t>The following measures reflect the significant metrics over this comparative period:</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395"/>
              <w:spacing w:after="0"/>
              <w:rPr>
                <w:sz w:val="20"/>
                <w:szCs w:val="20"/>
                <w:color w:val="auto"/>
              </w:rPr>
            </w:pPr>
            <w:r>
              <w:rPr>
                <w:rFonts w:ascii="Arial" w:cs="Arial" w:eastAsia="Arial" w:hAnsi="Arial"/>
                <w:sz w:val="15"/>
                <w:szCs w:val="15"/>
                <w:b w:val="1"/>
                <w:bCs w:val="1"/>
                <w:color w:val="auto"/>
                <w:w w:val="98"/>
              </w:rPr>
              <w:t>Nine months ended September 30,</w:t>
            </w:r>
          </w:p>
        </w:tc>
      </w:tr>
      <w:tr>
        <w:trPr>
          <w:trHeight w:val="200"/>
        </w:trPr>
        <w:tc>
          <w:tcPr>
            <w:tcW w:w="80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r>
      <w:tr>
        <w:trPr>
          <w:trHeight w:val="202"/>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Same store:</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9"/>
        </w:trPr>
        <w:tc>
          <w:tcPr>
            <w:tcW w:w="8020" w:type="dxa"/>
            <w:vAlign w:val="bottom"/>
          </w:tcPr>
          <w:p>
            <w:pPr>
              <w:ind w:left="20"/>
              <w:spacing w:after="0"/>
              <w:rPr>
                <w:sz w:val="20"/>
                <w:szCs w:val="20"/>
                <w:color w:val="auto"/>
              </w:rPr>
            </w:pPr>
            <w:r>
              <w:rPr>
                <w:rFonts w:ascii="Arial" w:cs="Arial" w:eastAsia="Arial" w:hAnsi="Arial"/>
                <w:sz w:val="17"/>
                <w:szCs w:val="17"/>
                <w:color w:val="auto"/>
              </w:rPr>
              <w:t>Contract volume</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27,603</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30,793</w:t>
            </w: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Average revenue per contract, excluding preneed funeral trust earnings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5,040</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5,187</w:t>
            </w:r>
          </w:p>
        </w:tc>
      </w:tr>
      <w:tr>
        <w:trPr>
          <w:trHeight w:val="219"/>
        </w:trPr>
        <w:tc>
          <w:tcPr>
            <w:tcW w:w="8020" w:type="dxa"/>
            <w:vAlign w:val="bottom"/>
          </w:tcPr>
          <w:p>
            <w:pPr>
              <w:ind w:left="20"/>
              <w:spacing w:after="0"/>
              <w:rPr>
                <w:sz w:val="20"/>
                <w:szCs w:val="20"/>
                <w:color w:val="auto"/>
              </w:rPr>
            </w:pPr>
            <w:r>
              <w:rPr>
                <w:rFonts w:ascii="Arial" w:cs="Arial" w:eastAsia="Arial" w:hAnsi="Arial"/>
                <w:sz w:val="17"/>
                <w:szCs w:val="17"/>
                <w:color w:val="auto"/>
              </w:rPr>
              <w:t>Average revenue per contract, including preneed funeral trust earnings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5,226</w:t>
            </w:r>
          </w:p>
        </w:tc>
        <w:tc>
          <w:tcPr>
            <w:tcW w:w="220" w:type="dxa"/>
            <w:vAlign w:val="bottom"/>
          </w:tcPr>
          <w:p>
            <w:pPr>
              <w:spacing w:after="0"/>
              <w:rPr>
                <w:sz w:val="19"/>
                <w:szCs w:val="19"/>
                <w:color w:val="auto"/>
              </w:rPr>
            </w:pPr>
          </w:p>
        </w:tc>
        <w:tc>
          <w:tcPr>
            <w:tcW w:w="52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5,359</w:t>
            </w: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Burial rate</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36.3%</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35.2%</w:t>
            </w:r>
          </w:p>
        </w:tc>
      </w:tr>
      <w:tr>
        <w:trPr>
          <w:trHeight w:val="219"/>
        </w:trPr>
        <w:tc>
          <w:tcPr>
            <w:tcW w:w="8020" w:type="dxa"/>
            <w:vAlign w:val="bottom"/>
          </w:tcPr>
          <w:p>
            <w:pPr>
              <w:ind w:left="20"/>
              <w:spacing w:after="0"/>
              <w:rPr>
                <w:sz w:val="20"/>
                <w:szCs w:val="20"/>
                <w:color w:val="auto"/>
              </w:rPr>
            </w:pPr>
            <w:r>
              <w:rPr>
                <w:rFonts w:ascii="Arial" w:cs="Arial" w:eastAsia="Arial" w:hAnsi="Arial"/>
                <w:sz w:val="17"/>
                <w:szCs w:val="17"/>
                <w:color w:val="auto"/>
              </w:rPr>
              <w:t>Cremation rate</w:t>
            </w:r>
          </w:p>
        </w:tc>
        <w:tc>
          <w:tcPr>
            <w:tcW w:w="300" w:type="dxa"/>
            <w:vAlign w:val="bottom"/>
          </w:tcPr>
          <w:p>
            <w:pPr>
              <w:spacing w:after="0"/>
              <w:rPr>
                <w:sz w:val="19"/>
                <w:szCs w:val="19"/>
                <w:color w:val="auto"/>
              </w:rPr>
            </w:pPr>
          </w:p>
        </w:tc>
        <w:tc>
          <w:tcPr>
            <w:tcW w:w="1200" w:type="dxa"/>
            <w:vAlign w:val="bottom"/>
          </w:tcPr>
          <w:p>
            <w:pPr>
              <w:jc w:val="right"/>
              <w:ind w:right="35"/>
              <w:spacing w:after="0"/>
              <w:rPr>
                <w:sz w:val="20"/>
                <w:szCs w:val="20"/>
                <w:color w:val="auto"/>
              </w:rPr>
            </w:pPr>
            <w:r>
              <w:rPr>
                <w:rFonts w:ascii="Arial" w:cs="Arial" w:eastAsia="Arial" w:hAnsi="Arial"/>
                <w:sz w:val="17"/>
                <w:szCs w:val="17"/>
                <w:color w:val="auto"/>
              </w:rPr>
              <w:t>56.5%</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57.1%</w:t>
            </w:r>
          </w:p>
        </w:tc>
      </w:tr>
      <w:tr>
        <w:trPr>
          <w:trHeight w:val="156"/>
        </w:trPr>
        <w:tc>
          <w:tcPr>
            <w:tcW w:w="80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219"/>
        </w:trPr>
        <w:tc>
          <w:tcPr>
            <w:tcW w:w="8020" w:type="dxa"/>
            <w:vAlign w:val="bottom"/>
          </w:tcPr>
          <w:p>
            <w:pPr>
              <w:ind w:left="20"/>
              <w:spacing w:after="0"/>
              <w:rPr>
                <w:sz w:val="20"/>
                <w:szCs w:val="20"/>
                <w:color w:val="auto"/>
              </w:rPr>
            </w:pPr>
            <w:r>
              <w:rPr>
                <w:rFonts w:ascii="Arial" w:cs="Arial" w:eastAsia="Arial" w:hAnsi="Arial"/>
                <w:sz w:val="17"/>
                <w:szCs w:val="17"/>
                <w:color w:val="auto"/>
              </w:rPr>
              <w:t>Acquired:</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Contract volume</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5,293</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5,366</w:t>
            </w:r>
          </w:p>
        </w:tc>
      </w:tr>
      <w:tr>
        <w:trPr>
          <w:trHeight w:val="219"/>
        </w:trPr>
        <w:tc>
          <w:tcPr>
            <w:tcW w:w="8020" w:type="dxa"/>
            <w:vAlign w:val="bottom"/>
          </w:tcPr>
          <w:p>
            <w:pPr>
              <w:ind w:left="20"/>
              <w:spacing w:after="0"/>
              <w:rPr>
                <w:sz w:val="20"/>
                <w:szCs w:val="20"/>
                <w:color w:val="auto"/>
              </w:rPr>
            </w:pPr>
            <w:r>
              <w:rPr>
                <w:rFonts w:ascii="Arial" w:cs="Arial" w:eastAsia="Arial" w:hAnsi="Arial"/>
                <w:sz w:val="17"/>
                <w:szCs w:val="17"/>
                <w:color w:val="auto"/>
              </w:rPr>
              <w:t>Average revenue per contract, excluding preneed funeral trust earnings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4,933</w:t>
            </w:r>
          </w:p>
        </w:tc>
        <w:tc>
          <w:tcPr>
            <w:tcW w:w="220" w:type="dxa"/>
            <w:vAlign w:val="bottom"/>
          </w:tcPr>
          <w:p>
            <w:pPr>
              <w:spacing w:after="0"/>
              <w:rPr>
                <w:sz w:val="19"/>
                <w:szCs w:val="19"/>
                <w:color w:val="auto"/>
              </w:rPr>
            </w:pPr>
          </w:p>
        </w:tc>
        <w:tc>
          <w:tcPr>
            <w:tcW w:w="52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5,227</w:t>
            </w: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Average revenue per contract, including preneed funeral trust earnings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4,997</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5,291</w:t>
            </w:r>
          </w:p>
        </w:tc>
      </w:tr>
      <w:tr>
        <w:trPr>
          <w:trHeight w:val="219"/>
        </w:trPr>
        <w:tc>
          <w:tcPr>
            <w:tcW w:w="8020" w:type="dxa"/>
            <w:vAlign w:val="bottom"/>
          </w:tcPr>
          <w:p>
            <w:pPr>
              <w:ind w:left="20"/>
              <w:spacing w:after="0"/>
              <w:rPr>
                <w:sz w:val="20"/>
                <w:szCs w:val="20"/>
                <w:color w:val="auto"/>
              </w:rPr>
            </w:pPr>
            <w:r>
              <w:rPr>
                <w:rFonts w:ascii="Arial" w:cs="Arial" w:eastAsia="Arial" w:hAnsi="Arial"/>
                <w:sz w:val="17"/>
                <w:szCs w:val="17"/>
                <w:color w:val="auto"/>
              </w:rPr>
              <w:t>Burial rate</w:t>
            </w:r>
          </w:p>
        </w:tc>
        <w:tc>
          <w:tcPr>
            <w:tcW w:w="300" w:type="dxa"/>
            <w:vAlign w:val="bottom"/>
          </w:tcPr>
          <w:p>
            <w:pPr>
              <w:spacing w:after="0"/>
              <w:rPr>
                <w:sz w:val="19"/>
                <w:szCs w:val="19"/>
                <w:color w:val="auto"/>
              </w:rPr>
            </w:pPr>
          </w:p>
        </w:tc>
        <w:tc>
          <w:tcPr>
            <w:tcW w:w="1200" w:type="dxa"/>
            <w:vAlign w:val="bottom"/>
          </w:tcPr>
          <w:p>
            <w:pPr>
              <w:jc w:val="right"/>
              <w:ind w:right="35"/>
              <w:spacing w:after="0"/>
              <w:rPr>
                <w:sz w:val="20"/>
                <w:szCs w:val="20"/>
                <w:color w:val="auto"/>
              </w:rPr>
            </w:pPr>
            <w:r>
              <w:rPr>
                <w:rFonts w:ascii="Arial" w:cs="Arial" w:eastAsia="Arial" w:hAnsi="Arial"/>
                <w:sz w:val="17"/>
                <w:szCs w:val="17"/>
                <w:color w:val="auto"/>
              </w:rPr>
              <w:t>41.0%</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40.0%</w:t>
            </w: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Cremation rate</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55.1%</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54.3%</w:t>
            </w:r>
          </w:p>
        </w:tc>
      </w:tr>
    </w:tbl>
    <w:p>
      <w:pPr>
        <w:spacing w:after="0" w:line="181"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color w:val="auto"/>
        </w:rPr>
        <w:t>Funeral home same store operating revenue for the nine months ended September 30, 2021 increased $20.6 million compared to the same period in 2020. The increase in operating revenue is primarily driven by an 11.6% increase in same store contract volume, as well as a 2.9% increase in the average revenue per contract excluding preneed interest. The increase in volume is not only due to COVID-19 deaths during the first and third quarters of 2021, but is also a consequence of our ability to adapt to the continued changing environment with our new and innovative ways to serve families. The increase in the average revenue per contract is a further reflection of our ability to creatively serve our families, as the number of contracts for which we provide memorial services are returning to pre-COVID-19 levels in the second and third quarters of 2021.</w:t>
      </w:r>
    </w:p>
    <w:p>
      <w:pPr>
        <w:spacing w:after="0" w:line="81"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6"/>
          <w:szCs w:val="16"/>
          <w:color w:val="auto"/>
        </w:rPr>
        <w:t>Funeral home same store operating profit for the nine months ended September 30, 2021 increased $12.8 million when compared to the same period in 2020. The comparable operating profit margin increased 280 basis points to 43.5%. The increase in operating profit is primarily due to the increase in same store operating revenue along with disciplined expense and cost management by leaders at each business. Overall same store operating expenses as a percent of operating revenue decreased 2.7% with the largest decrease in salaries and benefits expense of 1.6% as a percent of operating revenue, as we focused on optimizing the inherent operating leverage in each business by increasing revenue without adding extra personnel.</w:t>
      </w:r>
    </w:p>
    <w:p>
      <w:pPr>
        <w:spacing w:after="0" w:line="63" w:lineRule="exact"/>
        <w:rPr>
          <w:sz w:val="20"/>
          <w:szCs w:val="20"/>
          <w:color w:val="auto"/>
        </w:rPr>
      </w:pPr>
    </w:p>
    <w:p>
      <w:pPr>
        <w:jc w:val="both"/>
        <w:ind w:firstLine="387"/>
        <w:spacing w:after="0" w:line="283" w:lineRule="auto"/>
        <w:rPr>
          <w:sz w:val="20"/>
          <w:szCs w:val="20"/>
          <w:color w:val="auto"/>
        </w:rPr>
      </w:pPr>
      <w:r>
        <w:rPr>
          <w:rFonts w:ascii="Arial" w:cs="Arial" w:eastAsia="Arial" w:hAnsi="Arial"/>
          <w:sz w:val="16"/>
          <w:szCs w:val="16"/>
          <w:color w:val="auto"/>
        </w:rPr>
        <w:t>Funeral home acquired operating revenue for the nine months ended September 30, 2021 increased $1.9 million compared to the same period in 2020. The increase in operating revenue is primarily driven by a 6.0% increase in the average revenue per contract excluding preneed interest, as well as a 1.4% increase in acquired contract volume. The increase in the average revenue per contract is a further reflection of our ability to creatively serve our families, as the number of contracts for which we provide memorial services are returning to pre-COVID-19 levels in the second and third quarters of 2021.</w:t>
      </w:r>
    </w:p>
    <w:p>
      <w:pPr>
        <w:spacing w:after="0" w:line="61"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Acquired operating profit for the nine months ended September 30, 2021 increased $1.8 million when compared to the same period in 2020. The comparable operating profit margin increased 360 basis points to 41.7%. The increase in operating profit is primarily due to the increase in acquired operating revenue along with disciplined expense and cost management by leaders at each business. Overall acquired operating expenses as a percent of operating revenue decreased 3.6% with the largest decrease in salaries and benefits expense of 3.9% as a percent of operating revenue, as we focused on optimizing the inherent operating leverage in each business by increasing revenue without adding extra personnel.</w:t>
      </w:r>
    </w:p>
    <w:p>
      <w:pPr>
        <w:spacing w:after="0" w:line="77"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 xml:space="preserve">Ancillary revenue, which is recorded in </w:t>
      </w:r>
      <w:r>
        <w:rPr>
          <w:rFonts w:ascii="Arial" w:cs="Arial" w:eastAsia="Arial" w:hAnsi="Arial"/>
          <w:sz w:val="17"/>
          <w:szCs w:val="17"/>
          <w:i w:val="1"/>
          <w:iCs w:val="1"/>
          <w:color w:val="auto"/>
        </w:rPr>
        <w:t>Other revenue</w:t>
      </w:r>
      <w:r>
        <w:rPr>
          <w:rFonts w:ascii="Arial" w:cs="Arial" w:eastAsia="Arial" w:hAnsi="Arial"/>
          <w:sz w:val="17"/>
          <w:szCs w:val="17"/>
          <w:color w:val="auto"/>
        </w:rPr>
        <w:t>, represents revenue from our flower shop, pet cremation and online cremation businesses and Ancillary operating profit both decreased $0.1 million for the nine months ended September 30, 2021 compared to the same period in 2020.</w:t>
      </w:r>
    </w:p>
    <w:p>
      <w:pPr>
        <w:spacing w:after="0" w:line="60"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6"/>
          <w:szCs w:val="16"/>
          <w:color w:val="auto"/>
        </w:rPr>
        <w:t xml:space="preserve">Preneed funeral insurance commissions and preneed funeral trust and insurance (recorded in </w:t>
      </w:r>
      <w:r>
        <w:rPr>
          <w:rFonts w:ascii="Arial" w:cs="Arial" w:eastAsia="Arial" w:hAnsi="Arial"/>
          <w:sz w:val="16"/>
          <w:szCs w:val="16"/>
          <w:i w:val="1"/>
          <w:iCs w:val="1"/>
          <w:color w:val="auto"/>
        </w:rPr>
        <w:t>Other revenue)</w:t>
      </w:r>
      <w:r>
        <w:rPr>
          <w:rFonts w:ascii="Arial" w:cs="Arial" w:eastAsia="Arial" w:hAnsi="Arial"/>
          <w:sz w:val="16"/>
          <w:szCs w:val="16"/>
          <w:color w:val="auto"/>
        </w:rPr>
        <w:t xml:space="preserve"> on a combined basis, increased $0.1 million for the nine months ended September 30, 2021 compared to the same period in 2020. The increase is primarily from trust and insurance earnings on preneed contracts. Recognition of trust earnings is triggered at the time a preneed contract matures to at need. For the nine months ended September 30, 2021, the average trust earnings per matured preened contract increased slightly compared to the prior period. Operating profit for preneed funeral insurance commissions and preneed trust and insurance, on a combined basis, remained relatively flat for the same comparative period.</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i w:val="1"/>
          <w:iCs w:val="1"/>
          <w:color w:val="auto"/>
        </w:rPr>
        <w:t>Cemetery Segment</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sets forth certain information regarding our Revenue and Operating profit from our cemetery operations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5"/>
                <w:szCs w:val="15"/>
                <w:b w:val="1"/>
                <w:bCs w:val="1"/>
                <w:color w:val="auto"/>
                <w:w w:val="97"/>
              </w:rPr>
              <w:t>Three months ended September 30,</w:t>
            </w:r>
          </w:p>
        </w:tc>
        <w:tc>
          <w:tcPr>
            <w:tcW w:w="0" w:type="dxa"/>
            <w:vAlign w:val="bottom"/>
          </w:tcPr>
          <w:p>
            <w:pPr>
              <w:spacing w:after="0"/>
              <w:rPr>
                <w:sz w:val="1"/>
                <w:szCs w:val="1"/>
                <w:color w:val="auto"/>
              </w:rPr>
            </w:pPr>
          </w:p>
        </w:tc>
      </w:tr>
      <w:tr>
        <w:trPr>
          <w:trHeight w:val="200"/>
        </w:trPr>
        <w:tc>
          <w:tcPr>
            <w:tcW w:w="80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202"/>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020" w:type="dxa"/>
            <w:vAlign w:val="bottom"/>
          </w:tcPr>
          <w:p>
            <w:pPr>
              <w:ind w:left="220"/>
              <w:spacing w:after="0"/>
              <w:rPr>
                <w:sz w:val="20"/>
                <w:szCs w:val="20"/>
                <w:color w:val="auto"/>
              </w:rPr>
            </w:pPr>
            <w:r>
              <w:rPr>
                <w:rFonts w:ascii="Arial" w:cs="Arial" w:eastAsia="Arial" w:hAnsi="Arial"/>
                <w:sz w:val="17"/>
                <w:szCs w:val="17"/>
                <w:color w:val="auto"/>
              </w:rPr>
              <w:t>Same store operating revenue</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14,391</w:t>
            </w:r>
          </w:p>
        </w:tc>
        <w:tc>
          <w:tcPr>
            <w:tcW w:w="220" w:type="dxa"/>
            <w:vAlign w:val="bottom"/>
          </w:tcPr>
          <w:p>
            <w:pPr>
              <w:spacing w:after="0"/>
              <w:rPr>
                <w:sz w:val="19"/>
                <w:szCs w:val="19"/>
                <w:color w:val="auto"/>
              </w:rPr>
            </w:pPr>
          </w:p>
        </w:tc>
        <w:tc>
          <w:tcPr>
            <w:tcW w:w="540" w:type="dxa"/>
            <w:vAlign w:val="bottom"/>
          </w:tcPr>
          <w:p>
            <w:pPr>
              <w:jc w:val="right"/>
              <w:ind w:right="334"/>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16,342</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Acquired operating revenue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5,220</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6,362</w:t>
            </w:r>
          </w:p>
        </w:tc>
        <w:tc>
          <w:tcPr>
            <w:tcW w:w="0" w:type="dxa"/>
            <w:vAlign w:val="bottom"/>
          </w:tcPr>
          <w:p>
            <w:pPr>
              <w:spacing w:after="0"/>
              <w:rPr>
                <w:sz w:val="1"/>
                <w:szCs w:val="1"/>
                <w:color w:val="auto"/>
              </w:rPr>
            </w:pPr>
          </w:p>
        </w:tc>
      </w:tr>
      <w:tr>
        <w:trPr>
          <w:trHeight w:val="219"/>
        </w:trPr>
        <w:tc>
          <w:tcPr>
            <w:tcW w:w="8020" w:type="dxa"/>
            <w:vAlign w:val="bottom"/>
          </w:tcPr>
          <w:p>
            <w:pPr>
              <w:ind w:left="220"/>
              <w:spacing w:after="0"/>
              <w:rPr>
                <w:sz w:val="20"/>
                <w:szCs w:val="20"/>
                <w:color w:val="auto"/>
              </w:rPr>
            </w:pPr>
            <w:r>
              <w:rPr>
                <w:rFonts w:ascii="Arial" w:cs="Arial" w:eastAsia="Arial" w:hAnsi="Arial"/>
                <w:sz w:val="17"/>
                <w:szCs w:val="17"/>
                <w:color w:val="auto"/>
              </w:rPr>
              <w:t>Divested/planned divested revenue</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89</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Preneed cemetery trust revenue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3,045</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3,136</w:t>
            </w:r>
          </w:p>
        </w:tc>
        <w:tc>
          <w:tcPr>
            <w:tcW w:w="0" w:type="dxa"/>
            <w:vAlign w:val="bottom"/>
          </w:tcPr>
          <w:p>
            <w:pPr>
              <w:spacing w:after="0"/>
              <w:rPr>
                <w:sz w:val="1"/>
                <w:szCs w:val="1"/>
                <w:color w:val="auto"/>
              </w:rPr>
            </w:pPr>
          </w:p>
        </w:tc>
      </w:tr>
      <w:tr>
        <w:trPr>
          <w:trHeight w:val="219"/>
        </w:trPr>
        <w:tc>
          <w:tcPr>
            <w:tcW w:w="80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Preneed cemetery finance charges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w:t>
            </w:r>
          </w:p>
        </w:tc>
        <w:tc>
          <w:tcPr>
            <w:tcW w:w="2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w:t>
            </w:r>
          </w:p>
        </w:tc>
        <w:tc>
          <w:tcPr>
            <w:tcW w:w="0" w:type="dxa"/>
            <w:vAlign w:val="bottom"/>
          </w:tcPr>
          <w:p>
            <w:pPr>
              <w:spacing w:after="0"/>
              <w:rPr>
                <w:sz w:val="1"/>
                <w:szCs w:val="1"/>
                <w:color w:val="auto"/>
              </w:rPr>
            </w:pPr>
          </w:p>
        </w:tc>
      </w:tr>
      <w:tr>
        <w:trPr>
          <w:trHeight w:val="237"/>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22,959</w:t>
            </w:r>
          </w:p>
        </w:tc>
        <w:tc>
          <w:tcPr>
            <w:tcW w:w="2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26,144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0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profit: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020" w:type="dxa"/>
            <w:vAlign w:val="bottom"/>
          </w:tcPr>
          <w:p>
            <w:pPr>
              <w:ind w:left="220"/>
              <w:spacing w:after="0"/>
              <w:rPr>
                <w:sz w:val="20"/>
                <w:szCs w:val="20"/>
                <w:color w:val="auto"/>
              </w:rPr>
            </w:pPr>
            <w:r>
              <w:rPr>
                <w:rFonts w:ascii="Arial" w:cs="Arial" w:eastAsia="Arial" w:hAnsi="Arial"/>
                <w:sz w:val="17"/>
                <w:szCs w:val="17"/>
                <w:color w:val="auto"/>
              </w:rPr>
              <w:t>Same store operating profit</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6,161</w:t>
            </w:r>
          </w:p>
        </w:tc>
        <w:tc>
          <w:tcPr>
            <w:tcW w:w="220" w:type="dxa"/>
            <w:vAlign w:val="bottom"/>
          </w:tcPr>
          <w:p>
            <w:pPr>
              <w:spacing w:after="0"/>
              <w:rPr>
                <w:sz w:val="19"/>
                <w:szCs w:val="19"/>
                <w:color w:val="auto"/>
              </w:rPr>
            </w:pPr>
          </w:p>
        </w:tc>
        <w:tc>
          <w:tcPr>
            <w:tcW w:w="540" w:type="dxa"/>
            <w:vAlign w:val="bottom"/>
          </w:tcPr>
          <w:p>
            <w:pPr>
              <w:jc w:val="right"/>
              <w:ind w:right="334"/>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6,465</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Acquired operating profit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2,335</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3,547</w:t>
            </w:r>
          </w:p>
        </w:tc>
        <w:tc>
          <w:tcPr>
            <w:tcW w:w="0" w:type="dxa"/>
            <w:vAlign w:val="bottom"/>
          </w:tcPr>
          <w:p>
            <w:pPr>
              <w:spacing w:after="0"/>
              <w:rPr>
                <w:sz w:val="1"/>
                <w:szCs w:val="1"/>
                <w:color w:val="auto"/>
              </w:rPr>
            </w:pPr>
          </w:p>
        </w:tc>
      </w:tr>
      <w:tr>
        <w:trPr>
          <w:trHeight w:val="219"/>
        </w:trPr>
        <w:tc>
          <w:tcPr>
            <w:tcW w:w="8020" w:type="dxa"/>
            <w:vAlign w:val="bottom"/>
          </w:tcPr>
          <w:p>
            <w:pPr>
              <w:ind w:left="220"/>
              <w:spacing w:after="0"/>
              <w:rPr>
                <w:sz w:val="20"/>
                <w:szCs w:val="20"/>
                <w:color w:val="auto"/>
              </w:rPr>
            </w:pPr>
            <w:r>
              <w:rPr>
                <w:rFonts w:ascii="Arial" w:cs="Arial" w:eastAsia="Arial" w:hAnsi="Arial"/>
                <w:sz w:val="17"/>
                <w:szCs w:val="17"/>
                <w:color w:val="auto"/>
              </w:rPr>
              <w:t>Divested/planned divested operating profit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25</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Preneed cemetery trust operating profit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2,938</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3,013</w:t>
            </w:r>
          </w:p>
        </w:tc>
        <w:tc>
          <w:tcPr>
            <w:tcW w:w="0" w:type="dxa"/>
            <w:vAlign w:val="bottom"/>
          </w:tcPr>
          <w:p>
            <w:pPr>
              <w:spacing w:after="0"/>
              <w:rPr>
                <w:sz w:val="1"/>
                <w:szCs w:val="1"/>
                <w:color w:val="auto"/>
              </w:rPr>
            </w:pPr>
          </w:p>
        </w:tc>
      </w:tr>
      <w:tr>
        <w:trPr>
          <w:trHeight w:val="219"/>
        </w:trPr>
        <w:tc>
          <w:tcPr>
            <w:tcW w:w="80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Preneed cemetery finance charges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w:t>
            </w:r>
          </w:p>
        </w:tc>
        <w:tc>
          <w:tcPr>
            <w:tcW w:w="2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w:t>
            </w:r>
          </w:p>
        </w:tc>
        <w:tc>
          <w:tcPr>
            <w:tcW w:w="0" w:type="dxa"/>
            <w:vAlign w:val="bottom"/>
          </w:tcPr>
          <w:p>
            <w:pPr>
              <w:spacing w:after="0"/>
              <w:rPr>
                <w:sz w:val="1"/>
                <w:szCs w:val="1"/>
                <w:color w:val="auto"/>
              </w:rPr>
            </w:pPr>
          </w:p>
        </w:tc>
      </w:tr>
      <w:tr>
        <w:trPr>
          <w:trHeight w:val="237"/>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11,673</w:t>
            </w:r>
          </w:p>
        </w:tc>
        <w:tc>
          <w:tcPr>
            <w:tcW w:w="2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13,296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400"/>
              <w:spacing w:after="0"/>
              <w:rPr>
                <w:sz w:val="20"/>
                <w:szCs w:val="20"/>
                <w:color w:val="auto"/>
              </w:rPr>
            </w:pPr>
            <w:r>
              <w:rPr>
                <w:rFonts w:ascii="Arial" w:cs="Arial" w:eastAsia="Arial" w:hAnsi="Arial"/>
                <w:sz w:val="17"/>
                <w:szCs w:val="17"/>
                <w:color w:val="auto"/>
              </w:rPr>
              <w:t>The following measures reflect the significant metrics over this comparative period: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0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8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5"/>
                <w:szCs w:val="15"/>
                <w:b w:val="1"/>
                <w:bCs w:val="1"/>
                <w:color w:val="auto"/>
                <w:w w:val="97"/>
              </w:rPr>
              <w:t>Three months ended September 30,</w:t>
            </w:r>
          </w:p>
        </w:tc>
        <w:tc>
          <w:tcPr>
            <w:tcW w:w="0" w:type="dxa"/>
            <w:vAlign w:val="bottom"/>
          </w:tcPr>
          <w:p>
            <w:pPr>
              <w:spacing w:after="0"/>
              <w:rPr>
                <w:sz w:val="1"/>
                <w:szCs w:val="1"/>
                <w:color w:val="auto"/>
              </w:rPr>
            </w:pPr>
          </w:p>
        </w:tc>
      </w:tr>
      <w:tr>
        <w:trPr>
          <w:trHeight w:val="200"/>
        </w:trPr>
        <w:tc>
          <w:tcPr>
            <w:tcW w:w="80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202"/>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Same store:</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020" w:type="dxa"/>
            <w:vAlign w:val="bottom"/>
          </w:tcPr>
          <w:p>
            <w:pPr>
              <w:ind w:left="20"/>
              <w:spacing w:after="0"/>
              <w:rPr>
                <w:sz w:val="20"/>
                <w:szCs w:val="20"/>
                <w:color w:val="auto"/>
              </w:rPr>
            </w:pPr>
            <w:r>
              <w:rPr>
                <w:rFonts w:ascii="Arial" w:cs="Arial" w:eastAsia="Arial" w:hAnsi="Arial"/>
                <w:sz w:val="17"/>
                <w:szCs w:val="17"/>
                <w:color w:val="auto"/>
              </w:rPr>
              <w:t>Preneed revenue as a percentage of operating revenue</w:t>
            </w:r>
          </w:p>
        </w:tc>
        <w:tc>
          <w:tcPr>
            <w:tcW w:w="280" w:type="dxa"/>
            <w:vAlign w:val="bottom"/>
          </w:tcPr>
          <w:p>
            <w:pPr>
              <w:spacing w:after="0"/>
              <w:rPr>
                <w:sz w:val="19"/>
                <w:szCs w:val="19"/>
                <w:color w:val="auto"/>
              </w:rPr>
            </w:pPr>
          </w:p>
        </w:tc>
        <w:tc>
          <w:tcPr>
            <w:tcW w:w="1220" w:type="dxa"/>
            <w:vAlign w:val="bottom"/>
          </w:tcPr>
          <w:p>
            <w:pPr>
              <w:jc w:val="right"/>
              <w:ind w:right="35"/>
              <w:spacing w:after="0"/>
              <w:rPr>
                <w:sz w:val="20"/>
                <w:szCs w:val="20"/>
                <w:color w:val="auto"/>
              </w:rPr>
            </w:pPr>
            <w:r>
              <w:rPr>
                <w:rFonts w:ascii="Arial" w:cs="Arial" w:eastAsia="Arial" w:hAnsi="Arial"/>
                <w:sz w:val="17"/>
                <w:szCs w:val="17"/>
                <w:color w:val="auto"/>
              </w:rPr>
              <w:t>61%</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Preneed revenue (in thousands)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8,771</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9,909</w:t>
            </w:r>
          </w:p>
        </w:tc>
        <w:tc>
          <w:tcPr>
            <w:tcW w:w="0" w:type="dxa"/>
            <w:vAlign w:val="bottom"/>
          </w:tcPr>
          <w:p>
            <w:pPr>
              <w:spacing w:after="0"/>
              <w:rPr>
                <w:sz w:val="1"/>
                <w:szCs w:val="1"/>
                <w:color w:val="auto"/>
              </w:rPr>
            </w:pPr>
          </w:p>
        </w:tc>
      </w:tr>
      <w:tr>
        <w:trPr>
          <w:trHeight w:val="219"/>
        </w:trPr>
        <w:tc>
          <w:tcPr>
            <w:tcW w:w="8020" w:type="dxa"/>
            <w:vAlign w:val="bottom"/>
          </w:tcPr>
          <w:p>
            <w:pPr>
              <w:ind w:left="20"/>
              <w:spacing w:after="0"/>
              <w:rPr>
                <w:sz w:val="20"/>
                <w:szCs w:val="20"/>
                <w:color w:val="auto"/>
              </w:rPr>
            </w:pPr>
            <w:r>
              <w:rPr>
                <w:rFonts w:ascii="Arial" w:cs="Arial" w:eastAsia="Arial" w:hAnsi="Arial"/>
                <w:sz w:val="17"/>
                <w:szCs w:val="17"/>
                <w:color w:val="auto"/>
              </w:rPr>
              <w:t>Atneed revenue (in thousands)</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5,619</w:t>
            </w:r>
          </w:p>
        </w:tc>
        <w:tc>
          <w:tcPr>
            <w:tcW w:w="220" w:type="dxa"/>
            <w:vAlign w:val="bottom"/>
          </w:tcPr>
          <w:p>
            <w:pPr>
              <w:spacing w:after="0"/>
              <w:rPr>
                <w:sz w:val="19"/>
                <w:szCs w:val="19"/>
                <w:color w:val="auto"/>
              </w:rPr>
            </w:pPr>
          </w:p>
        </w:tc>
        <w:tc>
          <w:tcPr>
            <w:tcW w:w="540" w:type="dxa"/>
            <w:vAlign w:val="bottom"/>
          </w:tcPr>
          <w:p>
            <w:pPr>
              <w:jc w:val="right"/>
              <w:ind w:right="334"/>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6,432</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Number of preneed interment rights sold</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1,897</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2,223</w:t>
            </w:r>
          </w:p>
        </w:tc>
        <w:tc>
          <w:tcPr>
            <w:tcW w:w="0" w:type="dxa"/>
            <w:vAlign w:val="bottom"/>
          </w:tcPr>
          <w:p>
            <w:pPr>
              <w:spacing w:after="0"/>
              <w:rPr>
                <w:sz w:val="1"/>
                <w:szCs w:val="1"/>
                <w:color w:val="auto"/>
              </w:rPr>
            </w:pPr>
          </w:p>
        </w:tc>
      </w:tr>
      <w:tr>
        <w:trPr>
          <w:trHeight w:val="219"/>
        </w:trPr>
        <w:tc>
          <w:tcPr>
            <w:tcW w:w="8020" w:type="dxa"/>
            <w:vAlign w:val="bottom"/>
          </w:tcPr>
          <w:p>
            <w:pPr>
              <w:ind w:left="20"/>
              <w:spacing w:after="0"/>
              <w:rPr>
                <w:sz w:val="20"/>
                <w:szCs w:val="20"/>
                <w:color w:val="auto"/>
              </w:rPr>
            </w:pPr>
            <w:r>
              <w:rPr>
                <w:rFonts w:ascii="Arial" w:cs="Arial" w:eastAsia="Arial" w:hAnsi="Arial"/>
                <w:sz w:val="17"/>
                <w:szCs w:val="17"/>
                <w:color w:val="auto"/>
              </w:rPr>
              <w:t>Average price per interment right sold</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3,523</w:t>
            </w:r>
          </w:p>
        </w:tc>
        <w:tc>
          <w:tcPr>
            <w:tcW w:w="220" w:type="dxa"/>
            <w:vAlign w:val="bottom"/>
          </w:tcPr>
          <w:p>
            <w:pPr>
              <w:spacing w:after="0"/>
              <w:rPr>
                <w:sz w:val="19"/>
                <w:szCs w:val="19"/>
                <w:color w:val="auto"/>
              </w:rPr>
            </w:pPr>
          </w:p>
        </w:tc>
        <w:tc>
          <w:tcPr>
            <w:tcW w:w="540" w:type="dxa"/>
            <w:vAlign w:val="bottom"/>
          </w:tcPr>
          <w:p>
            <w:pPr>
              <w:jc w:val="right"/>
              <w:ind w:right="334"/>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4,130</w:t>
            </w:r>
          </w:p>
        </w:tc>
        <w:tc>
          <w:tcPr>
            <w:tcW w:w="0" w:type="dxa"/>
            <w:vAlign w:val="bottom"/>
          </w:tcPr>
          <w:p>
            <w:pPr>
              <w:spacing w:after="0"/>
              <w:rPr>
                <w:sz w:val="1"/>
                <w:szCs w:val="1"/>
                <w:color w:val="auto"/>
              </w:rPr>
            </w:pPr>
          </w:p>
        </w:tc>
      </w:tr>
      <w:tr>
        <w:trPr>
          <w:trHeight w:val="246"/>
        </w:trPr>
        <w:tc>
          <w:tcPr>
            <w:tcW w:w="8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8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Acquired:</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020" w:type="dxa"/>
            <w:vAlign w:val="bottom"/>
          </w:tcPr>
          <w:p>
            <w:pPr>
              <w:ind w:left="20"/>
              <w:spacing w:after="0"/>
              <w:rPr>
                <w:sz w:val="20"/>
                <w:szCs w:val="20"/>
                <w:color w:val="auto"/>
              </w:rPr>
            </w:pPr>
            <w:r>
              <w:rPr>
                <w:rFonts w:ascii="Arial" w:cs="Arial" w:eastAsia="Arial" w:hAnsi="Arial"/>
                <w:sz w:val="17"/>
                <w:szCs w:val="17"/>
                <w:color w:val="auto"/>
              </w:rPr>
              <w:t>Preneed revenue as a percentage of operating revenue</w:t>
            </w:r>
          </w:p>
        </w:tc>
        <w:tc>
          <w:tcPr>
            <w:tcW w:w="280" w:type="dxa"/>
            <w:vAlign w:val="bottom"/>
          </w:tcPr>
          <w:p>
            <w:pPr>
              <w:spacing w:after="0"/>
              <w:rPr>
                <w:sz w:val="19"/>
                <w:szCs w:val="19"/>
                <w:color w:val="auto"/>
              </w:rPr>
            </w:pPr>
          </w:p>
        </w:tc>
        <w:tc>
          <w:tcPr>
            <w:tcW w:w="1220" w:type="dxa"/>
            <w:vAlign w:val="bottom"/>
          </w:tcPr>
          <w:p>
            <w:pPr>
              <w:jc w:val="right"/>
              <w:ind w:right="35"/>
              <w:spacing w:after="0"/>
              <w:rPr>
                <w:sz w:val="20"/>
                <w:szCs w:val="20"/>
                <w:color w:val="auto"/>
              </w:rPr>
            </w:pPr>
            <w:r>
              <w:rPr>
                <w:rFonts w:ascii="Arial" w:cs="Arial" w:eastAsia="Arial" w:hAnsi="Arial"/>
                <w:sz w:val="17"/>
                <w:szCs w:val="17"/>
                <w:color w:val="auto"/>
              </w:rPr>
              <w:t>70%</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Preneed revenue (in thousands)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3,642</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4,195</w:t>
            </w:r>
          </w:p>
        </w:tc>
        <w:tc>
          <w:tcPr>
            <w:tcW w:w="0" w:type="dxa"/>
            <w:vAlign w:val="bottom"/>
          </w:tcPr>
          <w:p>
            <w:pPr>
              <w:spacing w:after="0"/>
              <w:rPr>
                <w:sz w:val="1"/>
                <w:szCs w:val="1"/>
                <w:color w:val="auto"/>
              </w:rPr>
            </w:pPr>
          </w:p>
        </w:tc>
      </w:tr>
      <w:tr>
        <w:trPr>
          <w:trHeight w:val="219"/>
        </w:trPr>
        <w:tc>
          <w:tcPr>
            <w:tcW w:w="8020" w:type="dxa"/>
            <w:vAlign w:val="bottom"/>
          </w:tcPr>
          <w:p>
            <w:pPr>
              <w:ind w:left="20"/>
              <w:spacing w:after="0"/>
              <w:rPr>
                <w:sz w:val="20"/>
                <w:szCs w:val="20"/>
                <w:color w:val="auto"/>
              </w:rPr>
            </w:pPr>
            <w:r>
              <w:rPr>
                <w:rFonts w:ascii="Arial" w:cs="Arial" w:eastAsia="Arial" w:hAnsi="Arial"/>
                <w:sz w:val="17"/>
                <w:szCs w:val="17"/>
                <w:color w:val="auto"/>
              </w:rPr>
              <w:t>Atneed revenue (in thousands)</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1,578</w:t>
            </w:r>
          </w:p>
        </w:tc>
        <w:tc>
          <w:tcPr>
            <w:tcW w:w="220" w:type="dxa"/>
            <w:vAlign w:val="bottom"/>
          </w:tcPr>
          <w:p>
            <w:pPr>
              <w:spacing w:after="0"/>
              <w:rPr>
                <w:sz w:val="19"/>
                <w:szCs w:val="19"/>
                <w:color w:val="auto"/>
              </w:rPr>
            </w:pPr>
          </w:p>
        </w:tc>
        <w:tc>
          <w:tcPr>
            <w:tcW w:w="540" w:type="dxa"/>
            <w:vAlign w:val="bottom"/>
          </w:tcPr>
          <w:p>
            <w:pPr>
              <w:jc w:val="right"/>
              <w:ind w:right="334"/>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2,168</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Number of preneed interment rights sold</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748</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606</w:t>
            </w:r>
          </w:p>
        </w:tc>
        <w:tc>
          <w:tcPr>
            <w:tcW w:w="0" w:type="dxa"/>
            <w:vAlign w:val="bottom"/>
          </w:tcPr>
          <w:p>
            <w:pPr>
              <w:spacing w:after="0"/>
              <w:rPr>
                <w:sz w:val="1"/>
                <w:szCs w:val="1"/>
                <w:color w:val="auto"/>
              </w:rPr>
            </w:pP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Average price per interment right sold</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4,051</w:t>
            </w:r>
          </w:p>
        </w:tc>
        <w:tc>
          <w:tcPr>
            <w:tcW w:w="220" w:type="dxa"/>
            <w:vAlign w:val="bottom"/>
          </w:tcPr>
          <w:p>
            <w:pPr>
              <w:spacing w:after="0"/>
              <w:rPr>
                <w:sz w:val="18"/>
                <w:szCs w:val="18"/>
                <w:color w:val="auto"/>
              </w:rPr>
            </w:pPr>
          </w:p>
        </w:tc>
        <w:tc>
          <w:tcPr>
            <w:tcW w:w="540" w:type="dxa"/>
            <w:vAlign w:val="bottom"/>
          </w:tcPr>
          <w:p>
            <w:pPr>
              <w:jc w:val="right"/>
              <w:ind w:right="334"/>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7,159</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firstLine="387"/>
        <w:spacing w:after="0" w:line="292" w:lineRule="auto"/>
        <w:rPr>
          <w:sz w:val="20"/>
          <w:szCs w:val="20"/>
          <w:color w:val="auto"/>
        </w:rPr>
      </w:pPr>
      <w:r>
        <w:rPr>
          <w:rFonts w:ascii="Arial" w:cs="Arial" w:eastAsia="Arial" w:hAnsi="Arial"/>
          <w:sz w:val="15"/>
          <w:szCs w:val="15"/>
          <w:color w:val="auto"/>
        </w:rPr>
        <w:t>Cemetery same store preneed revenue increased $1.1 million for the three months ended September 30, 2021 compared to the same period in 2020, as we experienced a 17.2% increase in the number of interments rights sold, as well as a 17.2% increase in the average price per interment right sold. The increase is primarily due to (1) our sales personnel being less impacted by social distancing restrictions that were in place in the third quarter of 2020 due to COVID-19; and</w:t>
      </w:r>
    </w:p>
    <w:p>
      <w:pPr>
        <w:spacing w:after="0" w:line="1" w:lineRule="exact"/>
        <w:rPr>
          <w:sz w:val="20"/>
          <w:szCs w:val="20"/>
          <w:color w:val="auto"/>
        </w:rPr>
      </w:pPr>
    </w:p>
    <w:p>
      <w:pPr>
        <w:jc w:val="both"/>
        <w:ind w:firstLine="3"/>
        <w:spacing w:after="0" w:line="279" w:lineRule="auto"/>
        <w:tabs>
          <w:tab w:leader="none" w:pos="273"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continuous execution of our innovative cemetery sales strategy of building high performance sales teams and standardized sales systems across our portfolio of cemeteries. Cemetery same store atneed revenue, which represents 39% of our same store operating revenue, increased $0.8 million as we experienced a 9.1% increase in same store atneed contracts and a 5.0% increase in the average sale per contract for the three months ended September 30, 2021 compared to the same period in 2020. These increases are primarily due to the increased number of deaths in 2021 related to COVID-19.</w:t>
      </w:r>
    </w:p>
    <w:p>
      <w:pPr>
        <w:spacing w:after="0" w:line="63"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Cemetery same store operating profit for the three months ended September 30, 2021 increased $0.3 million from the same period in 2020, primarily due to the increase in operating revenue. The comparable operating profit margin decreased 320 basis points to 39.6%. Operating expenses as a percent of operating revenue increased 3.0% with the largest increases in the following areas: (1) promotional expenses increased 2.5% due to our recent deployment of a performance-based compensation</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55" w:name="page56"/>
    <w:bookmarkEnd w:id="55"/>
    <w:p>
      <w:pPr>
        <w:jc w:val="both"/>
        <w:spacing w:after="0" w:line="280" w:lineRule="auto"/>
        <w:rPr>
          <w:sz w:val="20"/>
          <w:szCs w:val="20"/>
          <w:color w:val="auto"/>
        </w:rPr>
      </w:pPr>
      <w:r>
        <w:rPr>
          <w:rFonts w:ascii="Arial" w:cs="Arial" w:eastAsia="Arial" w:hAnsi="Arial"/>
          <w:sz w:val="17"/>
          <w:szCs w:val="17"/>
          <w:color w:val="auto"/>
        </w:rPr>
        <w:t>plan with escalating commissions for higher sales target achievement; and (2) allowance for credit losses increased 1.1% primarily due to one business who experienced unusually low credit loss expense in the prior year.</w:t>
      </w:r>
    </w:p>
    <w:p>
      <w:pPr>
        <w:spacing w:after="0" w:line="60"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There are three businesses in our acquired cemetery portfolio, two of which were acquired in the fourth quarter of 2019 and one acquired in the first quarter of 2020. In the first quarter of 2020, we hired new sales leadership at two of the newly acquired cemeteries and continue to build their respective sales teams as we execute our innovative cemetery sales strategy of building high performance sales teams and standardized sales systems across our portfolio of cemeteries. As a result, our acquired cemetery portfolio experienced a $0.6 million increase in preneed revenue and a $0.6 million increase in atneed revenue for the three months ended September 30, 2021 compared to the same period in 2020.</w:t>
      </w:r>
    </w:p>
    <w:p>
      <w:pPr>
        <w:spacing w:after="0" w:line="77" w:lineRule="exact"/>
        <w:rPr>
          <w:sz w:val="20"/>
          <w:szCs w:val="20"/>
          <w:color w:val="auto"/>
        </w:rPr>
      </w:pPr>
    </w:p>
    <w:p>
      <w:pPr>
        <w:jc w:val="both"/>
        <w:ind w:firstLine="387"/>
        <w:spacing w:after="0" w:line="292" w:lineRule="auto"/>
        <w:rPr>
          <w:sz w:val="20"/>
          <w:szCs w:val="20"/>
          <w:color w:val="auto"/>
        </w:rPr>
      </w:pPr>
      <w:r>
        <w:rPr>
          <w:rFonts w:ascii="Arial" w:cs="Arial" w:eastAsia="Arial" w:hAnsi="Arial"/>
          <w:sz w:val="15"/>
          <w:szCs w:val="15"/>
          <w:color w:val="auto"/>
        </w:rPr>
        <w:t>Cemetery acquired operating profit increased $1.2 million for the three months ended September 30, 2021 from the same period in 2020. The comparable operating profit margin increased 1,110 basis points to 55.8% primarily as a result of the increase in operating revenue, along with disciplined expense and cost management by leaders at each business. Operating expenses as a percent of operating revenue decreased 11.0% with the largest decreases in the following areas:</w:t>
      </w:r>
    </w:p>
    <w:p>
      <w:pPr>
        <w:spacing w:after="0" w:line="1" w:lineRule="exact"/>
        <w:rPr>
          <w:sz w:val="20"/>
          <w:szCs w:val="20"/>
          <w:color w:val="auto"/>
        </w:rPr>
      </w:pPr>
    </w:p>
    <w:p>
      <w:pPr>
        <w:ind w:firstLine="3"/>
        <w:spacing w:after="0" w:line="267" w:lineRule="auto"/>
        <w:tabs>
          <w:tab w:leader="none" w:pos="258"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promotional expenses and salaries and benefits both decreased 3.8% as a percent of operating revenue as we benefited from an increase in revenue without incurring additional expenses; and (2) merchandise and services costs decreased 2.1%.</w:t>
      </w:r>
    </w:p>
    <w:p>
      <w:pPr>
        <w:spacing w:after="0" w:line="71" w:lineRule="exact"/>
        <w:rPr>
          <w:sz w:val="20"/>
          <w:szCs w:val="20"/>
          <w:color w:val="auto"/>
        </w:rPr>
      </w:pPr>
    </w:p>
    <w:p>
      <w:pPr>
        <w:jc w:val="both"/>
        <w:ind w:firstLine="387"/>
        <w:spacing w:after="0" w:line="308" w:lineRule="auto"/>
        <w:rPr>
          <w:sz w:val="20"/>
          <w:szCs w:val="20"/>
          <w:color w:val="auto"/>
        </w:rPr>
      </w:pPr>
      <w:r>
        <w:rPr>
          <w:rFonts w:ascii="Arial" w:cs="Arial" w:eastAsia="Arial" w:hAnsi="Arial"/>
          <w:sz w:val="15"/>
          <w:szCs w:val="15"/>
          <w:color w:val="auto"/>
        </w:rPr>
        <w:t xml:space="preserve">Preneed cemetery trust revenue and preneed cemetery finance charges (recorded in </w:t>
      </w:r>
      <w:r>
        <w:rPr>
          <w:rFonts w:ascii="Arial" w:cs="Arial" w:eastAsia="Arial" w:hAnsi="Arial"/>
          <w:sz w:val="15"/>
          <w:szCs w:val="15"/>
          <w:i w:val="1"/>
          <w:iCs w:val="1"/>
          <w:color w:val="auto"/>
        </w:rPr>
        <w:t>Other revenu</w:t>
      </w:r>
      <w:r>
        <w:rPr>
          <w:rFonts w:ascii="Arial" w:cs="Arial" w:eastAsia="Arial" w:hAnsi="Arial"/>
          <w:sz w:val="15"/>
          <w:szCs w:val="15"/>
          <w:color w:val="auto"/>
        </w:rPr>
        <w:t xml:space="preserve">e) on a combined basis increased $0.1 million for the three months ended September 30, 2021 compared to the same period in 2020. The increase in trust revenue is due to a decrease in realized losses on delivered merchandise and services contracts and an increase in finance charge revenue. Operating profit for the two categories of </w:t>
      </w:r>
      <w:r>
        <w:rPr>
          <w:rFonts w:ascii="Arial" w:cs="Arial" w:eastAsia="Arial" w:hAnsi="Arial"/>
          <w:sz w:val="15"/>
          <w:szCs w:val="15"/>
          <w:i w:val="1"/>
          <w:iCs w:val="1"/>
          <w:color w:val="auto"/>
        </w:rPr>
        <w:t>Other revenue</w:t>
      </w:r>
      <w:r>
        <w:rPr>
          <w:rFonts w:ascii="Arial" w:cs="Arial" w:eastAsia="Arial" w:hAnsi="Arial"/>
          <w:sz w:val="15"/>
          <w:szCs w:val="15"/>
          <w:color w:val="auto"/>
        </w:rPr>
        <w:t>, on a combined basis, increased $0.1 million for the three months ended September 30, 2021 compared to the same period in 2020 primarily due to the increase in revenue.</w:t>
      </w:r>
    </w:p>
    <w:p>
      <w:pPr>
        <w:spacing w:after="0" w:line="4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sets forth certain information regarding our Revenue and Operating profit from our cemetery operations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3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395"/>
              <w:spacing w:after="0"/>
              <w:rPr>
                <w:sz w:val="20"/>
                <w:szCs w:val="20"/>
                <w:color w:val="auto"/>
              </w:rPr>
            </w:pPr>
            <w:r>
              <w:rPr>
                <w:rFonts w:ascii="Arial" w:cs="Arial" w:eastAsia="Arial" w:hAnsi="Arial"/>
                <w:sz w:val="15"/>
                <w:szCs w:val="15"/>
                <w:b w:val="1"/>
                <w:bCs w:val="1"/>
                <w:color w:val="auto"/>
                <w:w w:val="98"/>
              </w:rPr>
              <w:t>Nine months ended September 30,</w:t>
            </w:r>
          </w:p>
        </w:tc>
        <w:tc>
          <w:tcPr>
            <w:tcW w:w="0" w:type="dxa"/>
            <w:vAlign w:val="bottom"/>
          </w:tcPr>
          <w:p>
            <w:pPr>
              <w:spacing w:after="0"/>
              <w:rPr>
                <w:sz w:val="1"/>
                <w:szCs w:val="1"/>
                <w:color w:val="auto"/>
              </w:rPr>
            </w:pPr>
          </w:p>
        </w:tc>
      </w:tr>
      <w:tr>
        <w:trPr>
          <w:trHeight w:val="200"/>
        </w:trPr>
        <w:tc>
          <w:tcPr>
            <w:tcW w:w="4300" w:type="dxa"/>
            <w:vAlign w:val="bottom"/>
            <w:tcBorders>
              <w:bottom w:val="single" w:sz="8" w:color="CCEEFF"/>
            </w:tcBorders>
          </w:tcPr>
          <w:p>
            <w:pPr>
              <w:spacing w:after="0"/>
              <w:rPr>
                <w:sz w:val="17"/>
                <w:szCs w:val="17"/>
                <w:color w:val="auto"/>
              </w:rPr>
            </w:pPr>
          </w:p>
        </w:tc>
        <w:tc>
          <w:tcPr>
            <w:tcW w:w="37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202"/>
        </w:trPr>
        <w:tc>
          <w:tcPr>
            <w:tcW w:w="4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300" w:type="dxa"/>
            <w:vAlign w:val="bottom"/>
          </w:tcPr>
          <w:p>
            <w:pPr>
              <w:ind w:left="220"/>
              <w:spacing w:after="0"/>
              <w:rPr>
                <w:sz w:val="20"/>
                <w:szCs w:val="20"/>
                <w:color w:val="auto"/>
              </w:rPr>
            </w:pPr>
            <w:r>
              <w:rPr>
                <w:rFonts w:ascii="Arial" w:cs="Arial" w:eastAsia="Arial" w:hAnsi="Arial"/>
                <w:sz w:val="17"/>
                <w:szCs w:val="17"/>
                <w:color w:val="auto"/>
              </w:rPr>
              <w:t>Same store operating revenue</w:t>
            </w:r>
          </w:p>
        </w:tc>
        <w:tc>
          <w:tcPr>
            <w:tcW w:w="4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36,952</w:t>
            </w:r>
          </w:p>
        </w:tc>
        <w:tc>
          <w:tcPr>
            <w:tcW w:w="220" w:type="dxa"/>
            <w:vAlign w:val="bottom"/>
          </w:tcPr>
          <w:p>
            <w:pPr>
              <w:spacing w:after="0"/>
              <w:rPr>
                <w:sz w:val="19"/>
                <w:szCs w:val="19"/>
                <w:color w:val="auto"/>
              </w:rPr>
            </w:pPr>
          </w:p>
        </w:tc>
        <w:tc>
          <w:tcPr>
            <w:tcW w:w="540" w:type="dxa"/>
            <w:vAlign w:val="bottom"/>
          </w:tcPr>
          <w:p>
            <w:pPr>
              <w:jc w:val="right"/>
              <w:ind w:right="334"/>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47,883</w:t>
            </w:r>
          </w:p>
        </w:tc>
        <w:tc>
          <w:tcPr>
            <w:tcW w:w="0" w:type="dxa"/>
            <w:vAlign w:val="bottom"/>
          </w:tcPr>
          <w:p>
            <w:pPr>
              <w:spacing w:after="0"/>
              <w:rPr>
                <w:sz w:val="1"/>
                <w:szCs w:val="1"/>
                <w:color w:val="auto"/>
              </w:rPr>
            </w:pPr>
          </w:p>
        </w:tc>
      </w:tr>
      <w:tr>
        <w:trPr>
          <w:trHeight w:val="220"/>
        </w:trPr>
        <w:tc>
          <w:tcPr>
            <w:tcW w:w="4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Acquired operating revenue</w:t>
            </w:r>
          </w:p>
        </w:tc>
        <w:tc>
          <w:tcPr>
            <w:tcW w:w="3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12,075</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21,517</w:t>
            </w:r>
          </w:p>
        </w:tc>
        <w:tc>
          <w:tcPr>
            <w:tcW w:w="0" w:type="dxa"/>
            <w:vAlign w:val="bottom"/>
          </w:tcPr>
          <w:p>
            <w:pPr>
              <w:spacing w:after="0"/>
              <w:rPr>
                <w:sz w:val="1"/>
                <w:szCs w:val="1"/>
                <w:color w:val="auto"/>
              </w:rPr>
            </w:pPr>
          </w:p>
        </w:tc>
      </w:tr>
      <w:tr>
        <w:trPr>
          <w:trHeight w:val="219"/>
        </w:trPr>
        <w:tc>
          <w:tcPr>
            <w:tcW w:w="4300" w:type="dxa"/>
            <w:vAlign w:val="bottom"/>
          </w:tcPr>
          <w:p>
            <w:pPr>
              <w:ind w:left="220"/>
              <w:spacing w:after="0"/>
              <w:rPr>
                <w:sz w:val="20"/>
                <w:szCs w:val="20"/>
                <w:color w:val="auto"/>
              </w:rPr>
            </w:pPr>
            <w:r>
              <w:rPr>
                <w:rFonts w:ascii="Arial" w:cs="Arial" w:eastAsia="Arial" w:hAnsi="Arial"/>
                <w:sz w:val="17"/>
                <w:szCs w:val="17"/>
                <w:color w:val="auto"/>
              </w:rPr>
              <w:t>Divested/planned divested revenue</w:t>
            </w:r>
          </w:p>
        </w:tc>
        <w:tc>
          <w:tcPr>
            <w:tcW w:w="3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182</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202</w:t>
            </w:r>
          </w:p>
        </w:tc>
        <w:tc>
          <w:tcPr>
            <w:tcW w:w="0" w:type="dxa"/>
            <w:vAlign w:val="bottom"/>
          </w:tcPr>
          <w:p>
            <w:pPr>
              <w:spacing w:after="0"/>
              <w:rPr>
                <w:sz w:val="1"/>
                <w:szCs w:val="1"/>
                <w:color w:val="auto"/>
              </w:rPr>
            </w:pPr>
          </w:p>
        </w:tc>
      </w:tr>
      <w:tr>
        <w:trPr>
          <w:trHeight w:val="220"/>
        </w:trPr>
        <w:tc>
          <w:tcPr>
            <w:tcW w:w="4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Preneed cemetery trust revenue</w:t>
            </w:r>
          </w:p>
        </w:tc>
        <w:tc>
          <w:tcPr>
            <w:tcW w:w="3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7,158</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9,079</w:t>
            </w:r>
          </w:p>
        </w:tc>
        <w:tc>
          <w:tcPr>
            <w:tcW w:w="0" w:type="dxa"/>
            <w:vAlign w:val="bottom"/>
          </w:tcPr>
          <w:p>
            <w:pPr>
              <w:spacing w:after="0"/>
              <w:rPr>
                <w:sz w:val="1"/>
                <w:szCs w:val="1"/>
                <w:color w:val="auto"/>
              </w:rPr>
            </w:pPr>
          </w:p>
        </w:tc>
      </w:tr>
      <w:tr>
        <w:trPr>
          <w:trHeight w:val="219"/>
        </w:trPr>
        <w:tc>
          <w:tcPr>
            <w:tcW w:w="43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Preneed cemetery finance charges</w:t>
            </w:r>
          </w:p>
        </w:tc>
        <w:tc>
          <w:tcPr>
            <w:tcW w:w="37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696</w:t>
            </w:r>
          </w:p>
        </w:tc>
        <w:tc>
          <w:tcPr>
            <w:tcW w:w="2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771</w:t>
            </w:r>
          </w:p>
        </w:tc>
        <w:tc>
          <w:tcPr>
            <w:tcW w:w="0" w:type="dxa"/>
            <w:vAlign w:val="bottom"/>
          </w:tcPr>
          <w:p>
            <w:pPr>
              <w:spacing w:after="0"/>
              <w:rPr>
                <w:sz w:val="1"/>
                <w:szCs w:val="1"/>
                <w:color w:val="auto"/>
              </w:rPr>
            </w:pPr>
          </w:p>
        </w:tc>
      </w:tr>
      <w:tr>
        <w:trPr>
          <w:trHeight w:val="232"/>
        </w:trPr>
        <w:tc>
          <w:tcPr>
            <w:tcW w:w="4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40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57,063</w:t>
            </w: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79,452</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300" w:type="dxa"/>
            <w:vAlign w:val="bottom"/>
          </w:tcPr>
          <w:p>
            <w:pPr>
              <w:spacing w:after="0"/>
              <w:rPr>
                <w:sz w:val="8"/>
                <w:szCs w:val="8"/>
                <w:color w:val="auto"/>
              </w:rPr>
            </w:pPr>
          </w:p>
        </w:tc>
        <w:tc>
          <w:tcPr>
            <w:tcW w:w="3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profit:</w:t>
            </w:r>
          </w:p>
        </w:tc>
        <w:tc>
          <w:tcPr>
            <w:tcW w:w="3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00" w:type="dxa"/>
            <w:vAlign w:val="bottom"/>
          </w:tcPr>
          <w:p>
            <w:pPr>
              <w:ind w:left="220"/>
              <w:spacing w:after="0"/>
              <w:rPr>
                <w:sz w:val="20"/>
                <w:szCs w:val="20"/>
                <w:color w:val="auto"/>
              </w:rPr>
            </w:pPr>
            <w:r>
              <w:rPr>
                <w:rFonts w:ascii="Arial" w:cs="Arial" w:eastAsia="Arial" w:hAnsi="Arial"/>
                <w:sz w:val="17"/>
                <w:szCs w:val="17"/>
                <w:color w:val="auto"/>
              </w:rPr>
              <w:t>Same store operating profit</w:t>
            </w:r>
          </w:p>
        </w:tc>
        <w:tc>
          <w:tcPr>
            <w:tcW w:w="4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13,002</w:t>
            </w:r>
          </w:p>
        </w:tc>
        <w:tc>
          <w:tcPr>
            <w:tcW w:w="220" w:type="dxa"/>
            <w:vAlign w:val="bottom"/>
          </w:tcPr>
          <w:p>
            <w:pPr>
              <w:spacing w:after="0"/>
              <w:rPr>
                <w:sz w:val="19"/>
                <w:szCs w:val="19"/>
                <w:color w:val="auto"/>
              </w:rPr>
            </w:pPr>
          </w:p>
        </w:tc>
        <w:tc>
          <w:tcPr>
            <w:tcW w:w="540" w:type="dxa"/>
            <w:vAlign w:val="bottom"/>
          </w:tcPr>
          <w:p>
            <w:pPr>
              <w:jc w:val="right"/>
              <w:ind w:right="334"/>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20,076</w:t>
            </w:r>
          </w:p>
        </w:tc>
        <w:tc>
          <w:tcPr>
            <w:tcW w:w="0" w:type="dxa"/>
            <w:vAlign w:val="bottom"/>
          </w:tcPr>
          <w:p>
            <w:pPr>
              <w:spacing w:after="0"/>
              <w:rPr>
                <w:sz w:val="1"/>
                <w:szCs w:val="1"/>
                <w:color w:val="auto"/>
              </w:rPr>
            </w:pPr>
          </w:p>
        </w:tc>
      </w:tr>
      <w:tr>
        <w:trPr>
          <w:trHeight w:val="220"/>
        </w:trPr>
        <w:tc>
          <w:tcPr>
            <w:tcW w:w="4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Acquired operating profit</w:t>
            </w:r>
          </w:p>
        </w:tc>
        <w:tc>
          <w:tcPr>
            <w:tcW w:w="3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4,597</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12,386</w:t>
            </w:r>
          </w:p>
        </w:tc>
        <w:tc>
          <w:tcPr>
            <w:tcW w:w="0" w:type="dxa"/>
            <w:vAlign w:val="bottom"/>
          </w:tcPr>
          <w:p>
            <w:pPr>
              <w:spacing w:after="0"/>
              <w:rPr>
                <w:sz w:val="1"/>
                <w:szCs w:val="1"/>
                <w:color w:val="auto"/>
              </w:rPr>
            </w:pPr>
          </w:p>
        </w:tc>
      </w:tr>
      <w:tr>
        <w:trPr>
          <w:trHeight w:val="219"/>
        </w:trPr>
        <w:tc>
          <w:tcPr>
            <w:tcW w:w="4300" w:type="dxa"/>
            <w:vAlign w:val="bottom"/>
          </w:tcPr>
          <w:p>
            <w:pPr>
              <w:ind w:left="220"/>
              <w:spacing w:after="0"/>
              <w:rPr>
                <w:sz w:val="20"/>
                <w:szCs w:val="20"/>
                <w:color w:val="auto"/>
              </w:rPr>
            </w:pPr>
            <w:r>
              <w:rPr>
                <w:rFonts w:ascii="Arial" w:cs="Arial" w:eastAsia="Arial" w:hAnsi="Arial"/>
                <w:sz w:val="17"/>
                <w:szCs w:val="17"/>
                <w:color w:val="auto"/>
              </w:rPr>
              <w:t>Divested/planned divested operating profit</w:t>
            </w:r>
          </w:p>
        </w:tc>
        <w:tc>
          <w:tcPr>
            <w:tcW w:w="3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23</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20"/>
        </w:trPr>
        <w:tc>
          <w:tcPr>
            <w:tcW w:w="4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Preneed cemetery trust operating profit</w:t>
            </w:r>
          </w:p>
        </w:tc>
        <w:tc>
          <w:tcPr>
            <w:tcW w:w="3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6,844</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8,708</w:t>
            </w:r>
          </w:p>
        </w:tc>
        <w:tc>
          <w:tcPr>
            <w:tcW w:w="0" w:type="dxa"/>
            <w:vAlign w:val="bottom"/>
          </w:tcPr>
          <w:p>
            <w:pPr>
              <w:spacing w:after="0"/>
              <w:rPr>
                <w:sz w:val="1"/>
                <w:szCs w:val="1"/>
                <w:color w:val="auto"/>
              </w:rPr>
            </w:pPr>
          </w:p>
        </w:tc>
      </w:tr>
      <w:tr>
        <w:trPr>
          <w:trHeight w:val="219"/>
        </w:trPr>
        <w:tc>
          <w:tcPr>
            <w:tcW w:w="43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Preneed cemetery finance charges</w:t>
            </w:r>
          </w:p>
        </w:tc>
        <w:tc>
          <w:tcPr>
            <w:tcW w:w="37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696</w:t>
            </w:r>
          </w:p>
        </w:tc>
        <w:tc>
          <w:tcPr>
            <w:tcW w:w="2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771</w:t>
            </w:r>
          </w:p>
        </w:tc>
        <w:tc>
          <w:tcPr>
            <w:tcW w:w="0" w:type="dxa"/>
            <w:vAlign w:val="bottom"/>
          </w:tcPr>
          <w:p>
            <w:pPr>
              <w:spacing w:after="0"/>
              <w:rPr>
                <w:sz w:val="1"/>
                <w:szCs w:val="1"/>
                <w:color w:val="auto"/>
              </w:rPr>
            </w:pPr>
          </w:p>
        </w:tc>
      </w:tr>
      <w:tr>
        <w:trPr>
          <w:trHeight w:val="232"/>
        </w:trPr>
        <w:tc>
          <w:tcPr>
            <w:tcW w:w="4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40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25,162</w:t>
            </w: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42,007</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bottom w:val="single" w:sz="8" w:color="CCEEFF"/>
            </w:tcBorders>
            <w:vMerge w:val="restart"/>
          </w:tcPr>
          <w:p>
            <w:pPr>
              <w:jc w:val="right"/>
              <w:ind w:right="2114"/>
              <w:spacing w:after="0"/>
              <w:rPr>
                <w:sz w:val="20"/>
                <w:szCs w:val="20"/>
                <w:color w:val="auto"/>
              </w:rPr>
            </w:pPr>
            <w:r>
              <w:rPr>
                <w:rFonts w:ascii="Arial" w:cs="Arial" w:eastAsia="Arial" w:hAnsi="Arial"/>
                <w:sz w:val="17"/>
                <w:szCs w:val="17"/>
                <w:color w:val="auto"/>
              </w:rPr>
              <w:t>- 56 -</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430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300" w:type="dxa"/>
            <w:vAlign w:val="bottom"/>
            <w:tcBorders>
              <w:bottom w:val="single" w:sz="8" w:color="9A9A9A"/>
            </w:tcBorders>
          </w:tcPr>
          <w:p>
            <w:pPr>
              <w:spacing w:after="0"/>
              <w:rPr>
                <w:sz w:val="9"/>
                <w:szCs w:val="9"/>
                <w:color w:val="auto"/>
              </w:rPr>
            </w:pPr>
          </w:p>
        </w:tc>
        <w:tc>
          <w:tcPr>
            <w:tcW w:w="37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56" w:name="page57"/>
    <w:bookmarkEnd w:id="56"/>
    <w:p>
      <w:pPr>
        <w:ind w:left="400"/>
        <w:spacing w:after="0"/>
        <w:rPr>
          <w:sz w:val="20"/>
          <w:szCs w:val="20"/>
          <w:color w:val="auto"/>
        </w:rPr>
      </w:pPr>
      <w:r>
        <w:rPr>
          <w:rFonts w:ascii="Arial" w:cs="Arial" w:eastAsia="Arial" w:hAnsi="Arial"/>
          <w:sz w:val="17"/>
          <w:szCs w:val="17"/>
          <w:color w:val="auto"/>
        </w:rPr>
        <w:t>The following measures reflect the significant metrics over this comparative period:</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395"/>
              <w:spacing w:after="0"/>
              <w:rPr>
                <w:sz w:val="20"/>
                <w:szCs w:val="20"/>
                <w:color w:val="auto"/>
              </w:rPr>
            </w:pPr>
            <w:r>
              <w:rPr>
                <w:rFonts w:ascii="Arial" w:cs="Arial" w:eastAsia="Arial" w:hAnsi="Arial"/>
                <w:sz w:val="15"/>
                <w:szCs w:val="15"/>
                <w:b w:val="1"/>
                <w:bCs w:val="1"/>
                <w:color w:val="auto"/>
                <w:w w:val="98"/>
              </w:rPr>
              <w:t>Nine months ended September 30,</w:t>
            </w:r>
          </w:p>
        </w:tc>
      </w:tr>
      <w:tr>
        <w:trPr>
          <w:trHeight w:val="200"/>
        </w:trPr>
        <w:tc>
          <w:tcPr>
            <w:tcW w:w="80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r>
      <w:tr>
        <w:trPr>
          <w:trHeight w:val="202"/>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Same store:</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9"/>
        </w:trPr>
        <w:tc>
          <w:tcPr>
            <w:tcW w:w="8020" w:type="dxa"/>
            <w:vAlign w:val="bottom"/>
          </w:tcPr>
          <w:p>
            <w:pPr>
              <w:ind w:left="20"/>
              <w:spacing w:after="0"/>
              <w:rPr>
                <w:sz w:val="20"/>
                <w:szCs w:val="20"/>
                <w:color w:val="auto"/>
              </w:rPr>
            </w:pPr>
            <w:r>
              <w:rPr>
                <w:rFonts w:ascii="Arial" w:cs="Arial" w:eastAsia="Arial" w:hAnsi="Arial"/>
                <w:sz w:val="17"/>
                <w:szCs w:val="17"/>
                <w:color w:val="auto"/>
              </w:rPr>
              <w:t>Preneed revenue as a percentage of operating revenue</w:t>
            </w:r>
          </w:p>
        </w:tc>
        <w:tc>
          <w:tcPr>
            <w:tcW w:w="300" w:type="dxa"/>
            <w:vAlign w:val="bottom"/>
          </w:tcPr>
          <w:p>
            <w:pPr>
              <w:spacing w:after="0"/>
              <w:rPr>
                <w:sz w:val="19"/>
                <w:szCs w:val="19"/>
                <w:color w:val="auto"/>
              </w:rPr>
            </w:pPr>
          </w:p>
        </w:tc>
        <w:tc>
          <w:tcPr>
            <w:tcW w:w="1200" w:type="dxa"/>
            <w:vAlign w:val="bottom"/>
          </w:tcPr>
          <w:p>
            <w:pPr>
              <w:jc w:val="right"/>
              <w:ind w:right="35"/>
              <w:spacing w:after="0"/>
              <w:rPr>
                <w:sz w:val="20"/>
                <w:szCs w:val="20"/>
                <w:color w:val="auto"/>
              </w:rPr>
            </w:pPr>
            <w:r>
              <w:rPr>
                <w:rFonts w:ascii="Arial" w:cs="Arial" w:eastAsia="Arial" w:hAnsi="Arial"/>
                <w:sz w:val="17"/>
                <w:szCs w:val="17"/>
                <w:color w:val="auto"/>
              </w:rPr>
              <w:t>60%</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61%</w:t>
            </w: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Preneed revenue (in thousands)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22,144</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29,046</w:t>
            </w:r>
          </w:p>
        </w:tc>
      </w:tr>
      <w:tr>
        <w:trPr>
          <w:trHeight w:val="219"/>
        </w:trPr>
        <w:tc>
          <w:tcPr>
            <w:tcW w:w="8020" w:type="dxa"/>
            <w:vAlign w:val="bottom"/>
          </w:tcPr>
          <w:p>
            <w:pPr>
              <w:ind w:left="20"/>
              <w:spacing w:after="0"/>
              <w:rPr>
                <w:sz w:val="20"/>
                <w:szCs w:val="20"/>
                <w:color w:val="auto"/>
              </w:rPr>
            </w:pPr>
            <w:r>
              <w:rPr>
                <w:rFonts w:ascii="Arial" w:cs="Arial" w:eastAsia="Arial" w:hAnsi="Arial"/>
                <w:sz w:val="17"/>
                <w:szCs w:val="17"/>
                <w:color w:val="auto"/>
              </w:rPr>
              <w:t>Atneed revenue (in thousands)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14,810</w:t>
            </w:r>
          </w:p>
        </w:tc>
        <w:tc>
          <w:tcPr>
            <w:tcW w:w="220" w:type="dxa"/>
            <w:vAlign w:val="bottom"/>
          </w:tcPr>
          <w:p>
            <w:pPr>
              <w:spacing w:after="0"/>
              <w:rPr>
                <w:sz w:val="19"/>
                <w:szCs w:val="19"/>
                <w:color w:val="auto"/>
              </w:rPr>
            </w:pPr>
          </w:p>
        </w:tc>
        <w:tc>
          <w:tcPr>
            <w:tcW w:w="540" w:type="dxa"/>
            <w:vAlign w:val="bottom"/>
          </w:tcPr>
          <w:p>
            <w:pPr>
              <w:jc w:val="right"/>
              <w:ind w:right="334"/>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18,840</w:t>
            </w: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Number of preneed interment rights sold</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5,233</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6,375</w:t>
            </w:r>
          </w:p>
        </w:tc>
      </w:tr>
      <w:tr>
        <w:trPr>
          <w:trHeight w:val="219"/>
        </w:trPr>
        <w:tc>
          <w:tcPr>
            <w:tcW w:w="8020" w:type="dxa"/>
            <w:vAlign w:val="bottom"/>
          </w:tcPr>
          <w:p>
            <w:pPr>
              <w:ind w:left="20"/>
              <w:spacing w:after="0"/>
              <w:rPr>
                <w:sz w:val="20"/>
                <w:szCs w:val="20"/>
                <w:color w:val="auto"/>
              </w:rPr>
            </w:pPr>
            <w:r>
              <w:rPr>
                <w:rFonts w:ascii="Arial" w:cs="Arial" w:eastAsia="Arial" w:hAnsi="Arial"/>
                <w:sz w:val="17"/>
                <w:szCs w:val="17"/>
                <w:color w:val="auto"/>
              </w:rPr>
              <w:t>Average price per interment right sold</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3,686</w:t>
            </w:r>
          </w:p>
        </w:tc>
        <w:tc>
          <w:tcPr>
            <w:tcW w:w="220" w:type="dxa"/>
            <w:vAlign w:val="bottom"/>
          </w:tcPr>
          <w:p>
            <w:pPr>
              <w:spacing w:after="0"/>
              <w:rPr>
                <w:sz w:val="19"/>
                <w:szCs w:val="19"/>
                <w:color w:val="auto"/>
              </w:rPr>
            </w:pPr>
          </w:p>
        </w:tc>
        <w:tc>
          <w:tcPr>
            <w:tcW w:w="540" w:type="dxa"/>
            <w:vAlign w:val="bottom"/>
          </w:tcPr>
          <w:p>
            <w:pPr>
              <w:jc w:val="right"/>
              <w:ind w:right="334"/>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4,106</w:t>
            </w:r>
          </w:p>
        </w:tc>
      </w:tr>
      <w:tr>
        <w:trPr>
          <w:trHeight w:val="246"/>
        </w:trPr>
        <w:tc>
          <w:tcPr>
            <w:tcW w:w="80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5"/>
        </w:trPr>
        <w:tc>
          <w:tcPr>
            <w:tcW w:w="8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Acquired:</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9"/>
        </w:trPr>
        <w:tc>
          <w:tcPr>
            <w:tcW w:w="8020" w:type="dxa"/>
            <w:vAlign w:val="bottom"/>
          </w:tcPr>
          <w:p>
            <w:pPr>
              <w:ind w:left="20"/>
              <w:spacing w:after="0"/>
              <w:rPr>
                <w:sz w:val="20"/>
                <w:szCs w:val="20"/>
                <w:color w:val="auto"/>
              </w:rPr>
            </w:pPr>
            <w:r>
              <w:rPr>
                <w:rFonts w:ascii="Arial" w:cs="Arial" w:eastAsia="Arial" w:hAnsi="Arial"/>
                <w:sz w:val="17"/>
                <w:szCs w:val="17"/>
                <w:color w:val="auto"/>
              </w:rPr>
              <w:t>Preneed revenue as a percentage of operating revenue</w:t>
            </w:r>
          </w:p>
        </w:tc>
        <w:tc>
          <w:tcPr>
            <w:tcW w:w="300" w:type="dxa"/>
            <w:vAlign w:val="bottom"/>
          </w:tcPr>
          <w:p>
            <w:pPr>
              <w:spacing w:after="0"/>
              <w:rPr>
                <w:sz w:val="19"/>
                <w:szCs w:val="19"/>
                <w:color w:val="auto"/>
              </w:rPr>
            </w:pPr>
          </w:p>
        </w:tc>
        <w:tc>
          <w:tcPr>
            <w:tcW w:w="1200" w:type="dxa"/>
            <w:vAlign w:val="bottom"/>
          </w:tcPr>
          <w:p>
            <w:pPr>
              <w:jc w:val="right"/>
              <w:ind w:right="35"/>
              <w:spacing w:after="0"/>
              <w:rPr>
                <w:sz w:val="20"/>
                <w:szCs w:val="20"/>
                <w:color w:val="auto"/>
              </w:rPr>
            </w:pPr>
            <w:r>
              <w:rPr>
                <w:rFonts w:ascii="Arial" w:cs="Arial" w:eastAsia="Arial" w:hAnsi="Arial"/>
                <w:sz w:val="17"/>
                <w:szCs w:val="17"/>
                <w:color w:val="auto"/>
              </w:rPr>
              <w:t>65%</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68%</w:t>
            </w: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Preneed revenue (in thousands)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7,899</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14,692</w:t>
            </w:r>
          </w:p>
        </w:tc>
      </w:tr>
      <w:tr>
        <w:trPr>
          <w:trHeight w:val="219"/>
        </w:trPr>
        <w:tc>
          <w:tcPr>
            <w:tcW w:w="8020" w:type="dxa"/>
            <w:vAlign w:val="bottom"/>
          </w:tcPr>
          <w:p>
            <w:pPr>
              <w:ind w:left="20"/>
              <w:spacing w:after="0"/>
              <w:rPr>
                <w:sz w:val="20"/>
                <w:szCs w:val="20"/>
                <w:color w:val="auto"/>
              </w:rPr>
            </w:pPr>
            <w:r>
              <w:rPr>
                <w:rFonts w:ascii="Arial" w:cs="Arial" w:eastAsia="Arial" w:hAnsi="Arial"/>
                <w:sz w:val="17"/>
                <w:szCs w:val="17"/>
                <w:color w:val="auto"/>
              </w:rPr>
              <w:t>Atneed revenue (in thousands)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4,175</w:t>
            </w:r>
          </w:p>
        </w:tc>
        <w:tc>
          <w:tcPr>
            <w:tcW w:w="220" w:type="dxa"/>
            <w:vAlign w:val="bottom"/>
          </w:tcPr>
          <w:p>
            <w:pPr>
              <w:spacing w:after="0"/>
              <w:rPr>
                <w:sz w:val="19"/>
                <w:szCs w:val="19"/>
                <w:color w:val="auto"/>
              </w:rPr>
            </w:pPr>
          </w:p>
        </w:tc>
        <w:tc>
          <w:tcPr>
            <w:tcW w:w="540" w:type="dxa"/>
            <w:vAlign w:val="bottom"/>
          </w:tcPr>
          <w:p>
            <w:pPr>
              <w:jc w:val="right"/>
              <w:ind w:right="334"/>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6,825</w:t>
            </w:r>
          </w:p>
        </w:tc>
      </w:tr>
      <w:tr>
        <w:trPr>
          <w:trHeight w:val="220"/>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Number of preneed interment rights sold</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1,600</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2,369</w:t>
            </w:r>
          </w:p>
        </w:tc>
      </w:tr>
      <w:tr>
        <w:trPr>
          <w:trHeight w:val="218"/>
        </w:trPr>
        <w:tc>
          <w:tcPr>
            <w:tcW w:w="8020" w:type="dxa"/>
            <w:vAlign w:val="bottom"/>
          </w:tcPr>
          <w:p>
            <w:pPr>
              <w:ind w:left="20"/>
              <w:spacing w:after="0"/>
              <w:rPr>
                <w:sz w:val="20"/>
                <w:szCs w:val="20"/>
                <w:color w:val="auto"/>
              </w:rPr>
            </w:pPr>
            <w:r>
              <w:rPr>
                <w:rFonts w:ascii="Arial" w:cs="Arial" w:eastAsia="Arial" w:hAnsi="Arial"/>
                <w:sz w:val="17"/>
                <w:szCs w:val="17"/>
                <w:color w:val="auto"/>
              </w:rPr>
              <w:t>Average price per interment right sold</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4,248</w:t>
            </w:r>
          </w:p>
        </w:tc>
        <w:tc>
          <w:tcPr>
            <w:tcW w:w="220" w:type="dxa"/>
            <w:vAlign w:val="bottom"/>
          </w:tcPr>
          <w:p>
            <w:pPr>
              <w:spacing w:after="0"/>
              <w:rPr>
                <w:sz w:val="18"/>
                <w:szCs w:val="18"/>
                <w:color w:val="auto"/>
              </w:rPr>
            </w:pPr>
          </w:p>
        </w:tc>
        <w:tc>
          <w:tcPr>
            <w:tcW w:w="540" w:type="dxa"/>
            <w:vAlign w:val="bottom"/>
          </w:tcPr>
          <w:p>
            <w:pPr>
              <w:jc w:val="right"/>
              <w:ind w:right="334"/>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6,107</w:t>
            </w:r>
          </w:p>
        </w:tc>
      </w:tr>
    </w:tbl>
    <w:p>
      <w:pPr>
        <w:spacing w:after="0" w:line="183" w:lineRule="exact"/>
        <w:rPr>
          <w:sz w:val="20"/>
          <w:szCs w:val="20"/>
          <w:color w:val="auto"/>
        </w:rPr>
      </w:pPr>
    </w:p>
    <w:p>
      <w:pPr>
        <w:jc w:val="both"/>
        <w:ind w:firstLine="387"/>
        <w:spacing w:after="0" w:line="276" w:lineRule="auto"/>
        <w:rPr>
          <w:sz w:val="20"/>
          <w:szCs w:val="20"/>
          <w:color w:val="auto"/>
        </w:rPr>
      </w:pPr>
      <w:r>
        <w:rPr>
          <w:rFonts w:ascii="Arial" w:cs="Arial" w:eastAsia="Arial" w:hAnsi="Arial"/>
          <w:sz w:val="16"/>
          <w:szCs w:val="16"/>
          <w:color w:val="auto"/>
        </w:rPr>
        <w:t>Cemetery same store preneed revenue increased $6.9 million for the nine months ended September 30, 2021 compared to the same period in 2020, as we experienced a 21.8% increase in the number of interments rights sold, as well as an 11.4% increase in the average price per interment right sold. The increase is primarily due to (1) our sales personnel being less impacted by social distancing restrictions that were in place in 2020 due to COVID-19; and (2) the continuous execution of our innovative cemetery sales strategy of building high performance sales teams and standardized sales systems across our portfolio of cemeteries. Cemetery same store atneed revenue, which represents 39% of our same store operating revenue, increased $4.0 million for the nine months ended September 30, 2021 compared to the same period in 2020. The increase was a result of a 16.2% increase in same store atneed contracts and a 9.4% increase in the average sale per contract, primarily due to the increased deaths in 2021 related to COVID-19.</w:t>
      </w:r>
    </w:p>
    <w:p>
      <w:pPr>
        <w:spacing w:after="0" w:line="68"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Cemetery same store operating profit increased $7.1 million for the nine months ended September 30, 2021 compared to the same period in 2020. The comparable operating profit margin increased 670 basis points to 41.9% primarily as a result of the increase in operating revenue, along with disciplined expense and cost management by leaders at each business. Operating expenses as a percent of operating revenue decreased 6.7% with the largest decreases in the following areas: (1) salaries and benefits expense decreased 2.9%, as we increased revenue without adding extra personnel; (2) facilities and grounds expenses decreased 1.3%; and (3) allowance for credit losses decreased 0.6%.</w:t>
      </w:r>
    </w:p>
    <w:p>
      <w:pPr>
        <w:spacing w:after="0" w:line="77"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There are three businesses in our acquired cemetery portfolio, two of which were acquired in the fourth quarter of 2019 and one acquired in the first quarter of 2020. In the first quarter of 2020, we hired new sales leadership at two of the newly acquired cemeteries and continue to build their respective sales teams as we execute our innovative cemetery sales strategy of building high performance sales teams and standardized sales systems across our portfolio of cemeteries. As a result, our acquired cemetery portfolio experienced a $6.8 million increase in preneed revenue and a $2.7 million increase in atneed revenue for the nine months ended September 30, 2021 compared to the same period in 2020.</w:t>
      </w:r>
    </w:p>
    <w:p>
      <w:pPr>
        <w:spacing w:after="0" w:line="77"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6"/>
          <w:szCs w:val="16"/>
          <w:color w:val="auto"/>
        </w:rPr>
        <w:t>Cemetery acquired operating profit increased $7.8 million for the nine months ended September 30, 2021 compared to the same period in 2020. The comparable operating profit margin increased 1,950 basis points to 57.6% primarily as a result of the increase in operating revenue, along with disciplined expense and cost management by leaders at each business. Operating expenses as a percent of operating revenue decreased 19.5% with the largest decreases in the following areas: (1) salaries and benefits expense decreased 9.3%, as we increased revenue without adding extra personnel; (2) promotional expenses decreased 4.3%; (3) merchandise and services costs decreased 2.5%; and (4) facilities and grounds expenses decreased 1.5%.</w:t>
      </w:r>
    </w:p>
    <w:p>
      <w:pPr>
        <w:spacing w:after="0" w:line="63" w:lineRule="exact"/>
        <w:rPr>
          <w:sz w:val="20"/>
          <w:szCs w:val="20"/>
          <w:color w:val="auto"/>
        </w:rPr>
      </w:pPr>
    </w:p>
    <w:p>
      <w:pPr>
        <w:jc w:val="both"/>
        <w:ind w:firstLine="387"/>
        <w:spacing w:after="0" w:line="276" w:lineRule="auto"/>
        <w:rPr>
          <w:sz w:val="20"/>
          <w:szCs w:val="20"/>
          <w:color w:val="auto"/>
        </w:rPr>
      </w:pPr>
      <w:r>
        <w:rPr>
          <w:rFonts w:ascii="Arial" w:cs="Arial" w:eastAsia="Arial" w:hAnsi="Arial"/>
          <w:sz w:val="16"/>
          <w:szCs w:val="16"/>
          <w:color w:val="auto"/>
        </w:rPr>
        <w:t xml:space="preserve">Preneed cemetery trust revenue and preneed cemetery finance charges (recorded in </w:t>
      </w:r>
      <w:r>
        <w:rPr>
          <w:rFonts w:ascii="Arial" w:cs="Arial" w:eastAsia="Arial" w:hAnsi="Arial"/>
          <w:sz w:val="16"/>
          <w:szCs w:val="16"/>
          <w:i w:val="1"/>
          <w:iCs w:val="1"/>
          <w:color w:val="auto"/>
        </w:rPr>
        <w:t>Other revenue</w:t>
      </w:r>
      <w:r>
        <w:rPr>
          <w:rFonts w:ascii="Arial" w:cs="Arial" w:eastAsia="Arial" w:hAnsi="Arial"/>
          <w:sz w:val="16"/>
          <w:szCs w:val="16"/>
          <w:color w:val="auto"/>
        </w:rPr>
        <w:t xml:space="preserve">) on a combined basis increased $2.0 million for the nine months ended September 30, 2021 compared to the same period in 2020. The increase in our trust fund income is primarily due to our execution of a major repositioning strategy beginning at the height of the COVID-19 market crisis in March 2020, substantially increasing our preneed cemetery trust revenue and operating profit. We experienced a $1.4 million increase in income and a $0.3 million increase in realized capital gains within our perpetual care trusts for the nine months ended September 30, 2021 compared to the same period of 2020. Additionally, income from delivered merchandise and service contracts increased $0.2 million. Operating profit for the two categories of </w:t>
      </w:r>
      <w:r>
        <w:rPr>
          <w:rFonts w:ascii="Arial" w:cs="Arial" w:eastAsia="Arial" w:hAnsi="Arial"/>
          <w:sz w:val="16"/>
          <w:szCs w:val="16"/>
          <w:i w:val="1"/>
          <w:iCs w:val="1"/>
          <w:color w:val="auto"/>
        </w:rPr>
        <w:t>Other revenue</w:t>
      </w:r>
      <w:r>
        <w:rPr>
          <w:rFonts w:ascii="Arial" w:cs="Arial" w:eastAsia="Arial" w:hAnsi="Arial"/>
          <w:sz w:val="16"/>
          <w:szCs w:val="16"/>
          <w:color w:val="auto"/>
        </w:rPr>
        <w:t>, on a combined basis, increased $1.9 million for the nine months ended September 30, 2021 compared to the same period in 2020 primarily due to the increase in revenue.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57" w:name="page58"/>
    <w:bookmarkEnd w:id="57"/>
    <w:p>
      <w:pPr>
        <w:jc w:val="both"/>
        <w:ind w:firstLine="387"/>
        <w:spacing w:after="0" w:line="266" w:lineRule="auto"/>
        <w:rPr>
          <w:sz w:val="20"/>
          <w:szCs w:val="20"/>
          <w:color w:val="auto"/>
        </w:rPr>
      </w:pPr>
      <w:r>
        <w:rPr>
          <w:rFonts w:ascii="Arial" w:cs="Arial" w:eastAsia="Arial" w:hAnsi="Arial"/>
          <w:sz w:val="17"/>
          <w:szCs w:val="17"/>
          <w:i w:val="1"/>
          <w:iCs w:val="1"/>
          <w:color w:val="auto"/>
        </w:rPr>
        <w:t>Cemetery property amortization</w:t>
      </w:r>
      <w:r>
        <w:rPr>
          <w:rFonts w:ascii="Arial" w:cs="Arial" w:eastAsia="Arial" w:hAnsi="Arial"/>
          <w:sz w:val="17"/>
          <w:szCs w:val="17"/>
          <w:color w:val="auto"/>
        </w:rPr>
        <w:t>. Cemetery property amortization totaled $1.5 million and $5.2 million for the three and nine months ended September 30,</w:t>
      </w:r>
      <w:r>
        <w:rPr>
          <w:rFonts w:ascii="Arial" w:cs="Arial" w:eastAsia="Arial" w:hAnsi="Arial"/>
          <w:sz w:val="17"/>
          <w:szCs w:val="17"/>
          <w:i w:val="1"/>
          <w:iCs w:val="1"/>
          <w:color w:val="auto"/>
        </w:rPr>
        <w:t xml:space="preserve"> </w:t>
      </w:r>
      <w:r>
        <w:rPr>
          <w:rFonts w:ascii="Arial" w:cs="Arial" w:eastAsia="Arial" w:hAnsi="Arial"/>
          <w:sz w:val="17"/>
          <w:szCs w:val="17"/>
          <w:color w:val="auto"/>
        </w:rPr>
        <w:t>2021, respectively, increases of $0.1 million and $1.8 million, respectively, compared to the same periods in prior year primarily due to the increase in property sold across our cemetery portfolio.</w:t>
      </w:r>
    </w:p>
    <w:p>
      <w:pPr>
        <w:spacing w:after="0" w:line="73" w:lineRule="exact"/>
        <w:rPr>
          <w:sz w:val="20"/>
          <w:szCs w:val="20"/>
          <w:color w:val="auto"/>
        </w:rPr>
      </w:pPr>
    </w:p>
    <w:p>
      <w:pPr>
        <w:jc w:val="both"/>
        <w:ind w:firstLine="387"/>
        <w:spacing w:after="0" w:line="291" w:lineRule="auto"/>
        <w:rPr>
          <w:sz w:val="20"/>
          <w:szCs w:val="20"/>
          <w:color w:val="auto"/>
        </w:rPr>
      </w:pPr>
      <w:r>
        <w:rPr>
          <w:rFonts w:ascii="Arial" w:cs="Arial" w:eastAsia="Arial" w:hAnsi="Arial"/>
          <w:sz w:val="16"/>
          <w:szCs w:val="16"/>
          <w:i w:val="1"/>
          <w:iCs w:val="1"/>
          <w:color w:val="auto"/>
        </w:rPr>
        <w:t xml:space="preserve">Field depreciation. </w:t>
      </w:r>
      <w:r>
        <w:rPr>
          <w:rFonts w:ascii="Arial" w:cs="Arial" w:eastAsia="Arial" w:hAnsi="Arial"/>
          <w:sz w:val="16"/>
          <w:szCs w:val="16"/>
          <w:color w:val="auto"/>
        </w:rPr>
        <w:t>Depreciation expense for our field businesses totaled $3.2 million and $9.4 million for the three and nine months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2021, respectively, decreases of $0.1 million and $0.3 million, respectively, compared to the same periods in prior year primarily due to building structures and older vehicles becoming fully depreciated without any newly acquired building structures and vehicles to offset the decreases.</w:t>
      </w:r>
    </w:p>
    <w:p>
      <w:pPr>
        <w:spacing w:after="0" w:line="54" w:lineRule="exact"/>
        <w:rPr>
          <w:sz w:val="20"/>
          <w:szCs w:val="20"/>
          <w:color w:val="auto"/>
        </w:rPr>
      </w:pPr>
    </w:p>
    <w:p>
      <w:pPr>
        <w:jc w:val="both"/>
        <w:ind w:firstLine="387"/>
        <w:spacing w:after="0" w:line="276" w:lineRule="auto"/>
        <w:rPr>
          <w:sz w:val="20"/>
          <w:szCs w:val="20"/>
          <w:color w:val="auto"/>
        </w:rPr>
      </w:pPr>
      <w:r>
        <w:rPr>
          <w:rFonts w:ascii="Arial" w:cs="Arial" w:eastAsia="Arial" w:hAnsi="Arial"/>
          <w:sz w:val="16"/>
          <w:szCs w:val="16"/>
          <w:i w:val="1"/>
          <w:iCs w:val="1"/>
          <w:color w:val="auto"/>
        </w:rPr>
        <w:t xml:space="preserve">Regional and unallocated funeral and cemetery costs. </w:t>
      </w:r>
      <w:r>
        <w:rPr>
          <w:rFonts w:ascii="Arial" w:cs="Arial" w:eastAsia="Arial" w:hAnsi="Arial"/>
          <w:sz w:val="16"/>
          <w:szCs w:val="16"/>
          <w:color w:val="auto"/>
        </w:rPr>
        <w:t>Regional and unallocated funeral and cemetery costs consist of salaries and benefits for regional</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field incentive compensation and other related costs for field infrastructure. Regional and unallocated funeral and cemetery costs totaled $6.8 million for the three months ended September 30, 2021, an increase of $2.1 million compared to the same period in the prior year primarily due to the following: (1) a $0.9 million increase in cash incentives and equity compensation, as a result of our improved performance, which reinforces our strategy of aligning incentives with long-term value creation; (2) a $0.4 million increase in other general administrative costs, which includes higher travel costs; (3) a $0.4 million increase in natural disaster costs due to Hurricane Ida impacting several Louisiana businesses; (4) a $0.3 million increase in salary and benefits expenses, which includes additional cemetery sales employees; and (5) a $0.1 million increase in separation expenses.</w:t>
      </w:r>
    </w:p>
    <w:p>
      <w:pPr>
        <w:spacing w:after="0" w:line="68"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color w:val="auto"/>
        </w:rPr>
        <w:t>Regional and unallocated funeral and cemetery costs totaled $18.7 million for the nine months ended September 30, 2021, an increase of $7.5 million compared to the same period in the prior year primarily due to the following: (1) a $5.1 million increase in cash incentives and equity compensation, as a result of our improved performance, which reinforces our strategy of aligning incentives with long-term value creation; (2) $1.0 million increase in salary and benefits expenses, which includes our Chief Operating Officer hired in June 2020 and six additional cemetery sales employees; (3) a $0.7 million increase in other general administrative costs, which includes higher travel and advertising costs; (4) a $0.5 million increase in health and safety expenses related to the COVID-19 pandemic; and (5) a $0.5 million increase in natural disaster costs due to Hurricane Ida impacting several Louisiana businesses; offset by (6) a $0.3 million decrease in state audit assessments.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Financial Statement Items</w:t>
      </w:r>
    </w:p>
    <w:p>
      <w:pPr>
        <w:spacing w:after="0" w:line="114"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i w:val="1"/>
          <w:iCs w:val="1"/>
          <w:color w:val="auto"/>
        </w:rPr>
        <w:t xml:space="preserve">General, administrative and other. </w:t>
      </w:r>
      <w:r>
        <w:rPr>
          <w:rFonts w:ascii="Arial" w:cs="Arial" w:eastAsia="Arial" w:hAnsi="Arial"/>
          <w:sz w:val="17"/>
          <w:szCs w:val="17"/>
          <w:color w:val="auto"/>
        </w:rPr>
        <w:t>General, administrative and other expenses totaled $8.8 million for the three months ended September 30, 2021,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$2.6 million compared to the same period in the prior year primarily due to the following: (1) a $1.2 million increase in insurance claims expense, which includes a one-time $1.0 million payment for residual insurance claims; (2) a $0.7 million increase in cash incentives and equity compensation, as a result of our improved performance, which reinforces our strategy of aligning incentives with long-term value creation; (3) a $0.4 million increase in other general administrative costs, which includes higher online marketing and advertising costs and software license fees for new technology; and (4) a $0.3 million increase in salary and benefits expenses.</w:t>
      </w:r>
    </w:p>
    <w:p>
      <w:pPr>
        <w:spacing w:after="0" w:line="81" w:lineRule="exact"/>
        <w:rPr>
          <w:sz w:val="20"/>
          <w:szCs w:val="20"/>
          <w:color w:val="auto"/>
        </w:rPr>
      </w:pPr>
    </w:p>
    <w:p>
      <w:pPr>
        <w:jc w:val="both"/>
        <w:ind w:firstLine="387"/>
        <w:spacing w:after="0" w:line="299" w:lineRule="auto"/>
        <w:rPr>
          <w:sz w:val="20"/>
          <w:szCs w:val="20"/>
          <w:color w:val="auto"/>
        </w:rPr>
      </w:pPr>
      <w:r>
        <w:rPr>
          <w:rFonts w:ascii="Arial" w:cs="Arial" w:eastAsia="Arial" w:hAnsi="Arial"/>
          <w:sz w:val="15"/>
          <w:szCs w:val="15"/>
          <w:color w:val="auto"/>
        </w:rPr>
        <w:t>General, administrative and other expenses totaled $24.5 million for the nine months ended September 30, 2021, an increase of $5.9 million compared to the same period in the prior year primarily due to the following: (1) a $2.5 million increase in cash incentives and equity compensation, as a result of our improved performance, which reinforces our strategy of aligning incentives with long-term value creation; (2) a $1.2 million increase in separation expenses related to the resignation of two members of senior leadership; (3) a $1.2 million increase in insurance claims expense, which includes a one-time $1.0 million payment for residual insurance claims; (4) a $1.0 million increase in other general administrative costs, which includes higher online marketing and advertising costs and software license fees for new technology; and (5) a $0.3 million increase in salary and benefits expenses; offset by (6) a $0.3 million decrease in litigation reserve.</w:t>
      </w:r>
    </w:p>
    <w:p>
      <w:pPr>
        <w:spacing w:after="0" w:line="53"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i w:val="1"/>
          <w:iCs w:val="1"/>
          <w:color w:val="auto"/>
        </w:rPr>
        <w:t xml:space="preserve">Home office depreciation and amortization. </w:t>
      </w:r>
      <w:r>
        <w:rPr>
          <w:rFonts w:ascii="Arial" w:cs="Arial" w:eastAsia="Arial" w:hAnsi="Arial"/>
          <w:sz w:val="17"/>
          <w:szCs w:val="17"/>
          <w:color w:val="auto"/>
        </w:rPr>
        <w:t>Home office depreciation and amortization expense totaled $0.3 million and $0.8 million for the three and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2021, respectively, decreases of $0.1 million and $0.3 million, respectively, compared to the same periods in prior year primarily due to equipment and software at the home office becoming fully depreciated in the latter half of the prior year without any newly acquired assets to offset the decreases.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58" w:name="page59"/>
    <w:bookmarkEnd w:id="58"/>
    <w:p>
      <w:pPr>
        <w:jc w:val="both"/>
        <w:ind w:firstLine="387"/>
        <w:spacing w:after="0" w:line="276" w:lineRule="auto"/>
        <w:rPr>
          <w:sz w:val="20"/>
          <w:szCs w:val="20"/>
          <w:color w:val="auto"/>
        </w:rPr>
      </w:pPr>
      <w:r>
        <w:rPr>
          <w:rFonts w:ascii="Arial" w:cs="Arial" w:eastAsia="Arial" w:hAnsi="Arial"/>
          <w:sz w:val="17"/>
          <w:szCs w:val="17"/>
          <w:i w:val="1"/>
          <w:iCs w:val="1"/>
          <w:color w:val="auto"/>
        </w:rPr>
        <w:t xml:space="preserve">Net loss on divestitures, disposals and impairments charges. </w:t>
      </w:r>
      <w:r>
        <w:rPr>
          <w:rFonts w:ascii="Arial" w:cs="Arial" w:eastAsia="Arial" w:hAnsi="Arial"/>
          <w:sz w:val="17"/>
          <w:szCs w:val="17"/>
          <w:color w:val="auto"/>
        </w:rPr>
        <w:t>The components of Net loss on divestitures, disposals and impairment charges are as follows (in</w:t>
      </w:r>
      <w:r>
        <w:rPr>
          <w:rFonts w:ascii="Arial" w:cs="Arial" w:eastAsia="Arial" w:hAnsi="Arial"/>
          <w:sz w:val="17"/>
          <w:szCs w:val="17"/>
          <w:i w:val="1"/>
          <w:iCs w:val="1"/>
          <w:color w:val="auto"/>
        </w:rPr>
        <w:t xml:space="preserve"> </w:t>
      </w:r>
      <w:r>
        <w:rPr>
          <w:rFonts w:ascii="Arial" w:cs="Arial" w:eastAsia="Arial" w:hAnsi="Arial"/>
          <w:sz w:val="17"/>
          <w:szCs w:val="17"/>
          <w:color w:val="auto"/>
        </w:rPr>
        <w:t>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w w:val="97"/>
              </w:rPr>
              <w:t>Three months ended September 30,</w:t>
            </w:r>
          </w:p>
        </w:tc>
        <w:tc>
          <w:tcPr>
            <w:tcW w:w="3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w w:val="98"/>
              </w:rPr>
              <w:t>Nine months ended September 30,</w:t>
            </w:r>
          </w:p>
        </w:tc>
        <w:tc>
          <w:tcPr>
            <w:tcW w:w="460" w:type="dxa"/>
            <w:vAlign w:val="bottom"/>
            <w:tcBorders>
              <w:bottom w:val="single" w:sz="8" w:color="auto"/>
            </w:tcBorders>
          </w:tcPr>
          <w:p>
            <w:pPr>
              <w:spacing w:after="0"/>
              <w:rPr>
                <w:sz w:val="17"/>
                <w:szCs w:val="17"/>
                <w:color w:val="auto"/>
              </w:rPr>
            </w:pPr>
          </w:p>
        </w:tc>
      </w:tr>
      <w:tr>
        <w:trPr>
          <w:trHeight w:val="200"/>
        </w:trPr>
        <w:tc>
          <w:tcPr>
            <w:tcW w:w="45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r>
      <w:tr>
        <w:trPr>
          <w:trHeight w:val="215"/>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 impairment</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914"/>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13,632</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34"/>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4560" w:type="dxa"/>
            <w:vAlign w:val="bottom"/>
          </w:tcPr>
          <w:p>
            <w:pPr>
              <w:ind w:left="20"/>
              <w:spacing w:after="0"/>
              <w:rPr>
                <w:sz w:val="20"/>
                <w:szCs w:val="20"/>
                <w:color w:val="auto"/>
              </w:rPr>
            </w:pPr>
            <w:r>
              <w:rPr>
                <w:rFonts w:ascii="Arial" w:cs="Arial" w:eastAsia="Arial" w:hAnsi="Arial"/>
                <w:sz w:val="17"/>
                <w:szCs w:val="17"/>
                <w:color w:val="auto"/>
              </w:rPr>
              <w:t>Tradename impairment</w:t>
            </w:r>
          </w:p>
        </w:tc>
        <w:tc>
          <w:tcPr>
            <w:tcW w:w="280" w:type="dxa"/>
            <w:vAlign w:val="bottom"/>
          </w:tcPr>
          <w:p>
            <w:pPr>
              <w:spacing w:after="0"/>
              <w:rPr>
                <w:sz w:val="19"/>
                <w:szCs w:val="19"/>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120" w:type="dxa"/>
            <w:vAlign w:val="bottom"/>
          </w:tcPr>
          <w:p>
            <w:pPr>
              <w:spacing w:after="0"/>
              <w:rPr>
                <w:sz w:val="19"/>
                <w:szCs w:val="19"/>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1,061</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Assets held for sale impairment</w:t>
            </w:r>
          </w:p>
        </w:tc>
        <w:tc>
          <w:tcPr>
            <w:tcW w:w="2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r>
      <w:tr>
        <w:trPr>
          <w:trHeight w:val="219"/>
        </w:trPr>
        <w:tc>
          <w:tcPr>
            <w:tcW w:w="4560" w:type="dxa"/>
            <w:vAlign w:val="bottom"/>
          </w:tcPr>
          <w:p>
            <w:pPr>
              <w:ind w:left="20"/>
              <w:spacing w:after="0"/>
              <w:rPr>
                <w:sz w:val="20"/>
                <w:szCs w:val="20"/>
                <w:color w:val="auto"/>
              </w:rPr>
            </w:pPr>
            <w:r>
              <w:rPr>
                <w:rFonts w:ascii="Arial" w:cs="Arial" w:eastAsia="Arial" w:hAnsi="Arial"/>
                <w:sz w:val="17"/>
                <w:szCs w:val="17"/>
                <w:color w:val="auto"/>
              </w:rPr>
              <w:t>Net loss on divestitures and real property</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4,917</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282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4,917</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179</w:t>
            </w:r>
          </w:p>
        </w:tc>
      </w:tr>
      <w:tr>
        <w:trPr>
          <w:trHeight w:val="219"/>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on disposals of fixed assets</w:t>
            </w:r>
          </w:p>
        </w:tc>
        <w:tc>
          <w:tcPr>
            <w:tcW w:w="2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w:t>
            </w:r>
          </w:p>
        </w:tc>
      </w:tr>
      <w:tr>
        <w:trPr>
          <w:trHeight w:val="213"/>
        </w:trPr>
        <w:tc>
          <w:tcPr>
            <w:tcW w:w="4560" w:type="dxa"/>
            <w:vAlign w:val="bottom"/>
          </w:tcPr>
          <w:p>
            <w:pPr>
              <w:ind w:left="20"/>
              <w:spacing w:after="0"/>
              <w:rPr>
                <w:sz w:val="20"/>
                <w:szCs w:val="20"/>
                <w:color w:val="auto"/>
              </w:rPr>
            </w:pPr>
            <w:r>
              <w:rPr>
                <w:rFonts w:ascii="Arial" w:cs="Arial" w:eastAsia="Arial" w:hAnsi="Arial"/>
                <w:sz w:val="17"/>
                <w:szCs w:val="17"/>
                <w:color w:val="auto"/>
              </w:rPr>
              <w:t>Total</w:t>
            </w: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4,917</w:t>
            </w:r>
          </w:p>
        </w:tc>
        <w:tc>
          <w:tcPr>
            <w:tcW w:w="2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914"/>
              <w:spacing w:after="0"/>
              <w:rPr>
                <w:sz w:val="20"/>
                <w:szCs w:val="20"/>
                <w:color w:val="auto"/>
              </w:rPr>
            </w:pPr>
            <w:r>
              <w:rPr>
                <w:rFonts w:ascii="Arial" w:cs="Arial" w:eastAsia="Arial" w:hAnsi="Arial"/>
                <w:sz w:val="17"/>
                <w:szCs w:val="17"/>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858</w:t>
            </w:r>
          </w:p>
        </w:tc>
        <w:tc>
          <w:tcPr>
            <w:tcW w:w="2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19,610</w:t>
            </w:r>
          </w:p>
        </w:tc>
        <w:tc>
          <w:tcPr>
            <w:tcW w:w="2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834"/>
              <w:spacing w:after="0"/>
              <w:rPr>
                <w:sz w:val="20"/>
                <w:szCs w:val="20"/>
                <w:color w:val="auto"/>
              </w:rPr>
            </w:pPr>
            <w:r>
              <w:rPr>
                <w:rFonts w:ascii="Arial" w:cs="Arial" w:eastAsia="Arial" w:hAnsi="Arial"/>
                <w:sz w:val="17"/>
                <w:szCs w:val="17"/>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1,377</w:t>
            </w:r>
          </w:p>
        </w:tc>
      </w:tr>
      <w:tr>
        <w:trPr>
          <w:trHeight w:val="20"/>
        </w:trPr>
        <w:tc>
          <w:tcPr>
            <w:tcW w:w="4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During the nine months ended September 30, 2021, we divested three funeral homes and sold real property for a total net loss of $0.2 million and disposed of fixed assets for a net loss of $0.7 million. In addition, we recognized an impairment loss of $0.5 million for property, plant and equipment assets held for sale at September 30, 2021.</w:t>
      </w:r>
    </w:p>
    <w:p>
      <w:pPr>
        <w:spacing w:after="0" w:line="73" w:lineRule="exact"/>
        <w:rPr>
          <w:sz w:val="20"/>
          <w:szCs w:val="20"/>
          <w:color w:val="auto"/>
        </w:rPr>
      </w:pPr>
    </w:p>
    <w:p>
      <w:pPr>
        <w:jc w:val="both"/>
        <w:ind w:firstLine="387"/>
        <w:spacing w:after="0" w:line="291" w:lineRule="auto"/>
        <w:rPr>
          <w:sz w:val="20"/>
          <w:szCs w:val="20"/>
          <w:color w:val="auto"/>
        </w:rPr>
      </w:pPr>
      <w:r>
        <w:rPr>
          <w:rFonts w:ascii="Arial" w:cs="Arial" w:eastAsia="Arial" w:hAnsi="Arial"/>
          <w:sz w:val="16"/>
          <w:szCs w:val="16"/>
          <w:color w:val="auto"/>
        </w:rPr>
        <w:t>During the nine months ended September 30, 2020, we recorded an impairment for goodwill of $13.6 million as the carrying amount of our funeral homes in the Eastern Region Reporting Unit exceeded the fair value and we recorded an impairment for certain of our tradenames of $1.1 million as the carrying amount of these tradenames exceeded the fair value. We also recognized a net loss of $4.9 million on the sale of six funeral homes.</w:t>
      </w:r>
    </w:p>
    <w:p>
      <w:pPr>
        <w:spacing w:after="0" w:line="54"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Interest expense totaled $5.1 million and $20.1 million for the three and nine months ended September 30, 2021, respectively, decreases of</w:t>
      </w:r>
      <w:r>
        <w:rPr>
          <w:rFonts w:ascii="Arial" w:cs="Arial" w:eastAsia="Arial" w:hAnsi="Arial"/>
          <w:sz w:val="17"/>
          <w:szCs w:val="17"/>
          <w:i w:val="1"/>
          <w:iCs w:val="1"/>
          <w:color w:val="auto"/>
        </w:rPr>
        <w:t xml:space="preserve"> </w:t>
      </w:r>
      <w:r>
        <w:rPr>
          <w:rFonts w:ascii="Arial" w:cs="Arial" w:eastAsia="Arial" w:hAnsi="Arial"/>
          <w:sz w:val="17"/>
          <w:szCs w:val="17"/>
          <w:color w:val="auto"/>
        </w:rPr>
        <w:t>$2.9 million and $4.6 million, respectively, compared to the same periods in prior year, primarily due to decreased borrowings and lower interest rates on our Credit Facility, as well as lower interest on our New Senior Notes.</w:t>
      </w:r>
    </w:p>
    <w:p>
      <w:pPr>
        <w:spacing w:after="0" w:line="73"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Income tax expense totaled $5.1 million and $6.6 million for the three and nine months ended September 30, 2021 respectively, increases of</w:t>
      </w:r>
      <w:r>
        <w:rPr>
          <w:rFonts w:ascii="Arial" w:cs="Arial" w:eastAsia="Arial" w:hAnsi="Arial"/>
          <w:sz w:val="17"/>
          <w:szCs w:val="17"/>
          <w:i w:val="1"/>
          <w:iCs w:val="1"/>
          <w:color w:val="auto"/>
        </w:rPr>
        <w:t xml:space="preserve"> </w:t>
      </w:r>
      <w:r>
        <w:rPr>
          <w:rFonts w:ascii="Arial" w:cs="Arial" w:eastAsia="Arial" w:hAnsi="Arial"/>
          <w:sz w:val="17"/>
          <w:szCs w:val="17"/>
          <w:color w:val="auto"/>
        </w:rPr>
        <w:t>$2.3 million and $2.4 million, respectively. Our operating tax rate before discrete items was 28.2% and 34.0% for the three months ended September 30, 2021 and 2020, respectively and 28.3% and 33.8% for the nine months ended September 30, 2021 and 2020, respectively.</w:t>
      </w:r>
    </w:p>
    <w:p>
      <w:pPr>
        <w:spacing w:after="0" w:line="73" w:lineRule="exact"/>
        <w:rPr>
          <w:sz w:val="20"/>
          <w:szCs w:val="20"/>
          <w:color w:val="auto"/>
        </w:rPr>
      </w:pPr>
    </w:p>
    <w:p>
      <w:pPr>
        <w:jc w:val="both"/>
        <w:ind w:firstLine="387"/>
        <w:spacing w:after="0" w:line="275" w:lineRule="auto"/>
        <w:rPr>
          <w:sz w:val="20"/>
          <w:szCs w:val="20"/>
          <w:color w:val="auto"/>
        </w:rPr>
      </w:pPr>
      <w:r>
        <w:rPr>
          <w:rFonts w:ascii="Arial" w:cs="Arial" w:eastAsia="Arial" w:hAnsi="Arial"/>
          <w:sz w:val="16"/>
          <w:szCs w:val="16"/>
          <w:color w:val="auto"/>
        </w:rPr>
        <w:t>We filed carryback refund claims for the 2018 and 2019 tax years as allowed by the legislative changes included in the CARES Act. As a result of requesting a tax refund in excess of $5 million, we must receive Joint Committee approval and undergo an audit for the tax year ending December 31, 2018. This audit is currently in progress. In 2020, the 2018 tax return was amended to take full advantage of the CARES Act legislative benefits resulting in additional losses that increase the amount of our carryback refund claim. The majority of the net operating losses generated in 2018 are the result of filing non-automatic accounting method changes relating to the recognition of revenue from our cemetery property and merchandise and services sales. As of September 30, 2021, we received an adverse ruling related to the change to our method of recognition of revenue from our constructed cemetery property, however, we are currently in further discussions with the IRS regarding this ruling. Due to the uncertainty that exists, a reserve has been recorded against the benefit derived from this carrying back that the net operating losses generated. At September 30, 2021, the reserve for uncertain tax positions was $3.7 million.</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 OF CRITICAL ACCOUNTING POLICIES AND ESTIMATES</w:t>
      </w:r>
    </w:p>
    <w:p>
      <w:pPr>
        <w:spacing w:after="0" w:line="120" w:lineRule="exact"/>
        <w:rPr>
          <w:sz w:val="20"/>
          <w:szCs w:val="20"/>
          <w:color w:val="auto"/>
        </w:rPr>
      </w:pPr>
    </w:p>
    <w:p>
      <w:pPr>
        <w:jc w:val="both"/>
        <w:ind w:firstLine="387"/>
        <w:spacing w:after="0" w:line="278" w:lineRule="auto"/>
        <w:rPr>
          <w:sz w:val="20"/>
          <w:szCs w:val="20"/>
          <w:color w:val="auto"/>
        </w:rPr>
      </w:pPr>
      <w:r>
        <w:rPr>
          <w:rFonts w:ascii="Arial" w:cs="Arial" w:eastAsia="Arial" w:hAnsi="Arial"/>
          <w:sz w:val="16"/>
          <w:szCs w:val="16"/>
          <w:color w:val="auto"/>
        </w:rPr>
        <w:t>The preparation of the Consolidated Financial Statements requires us to make estimates and judgments that affect the amounts reported in the unaudited consolidated financial statements and accompanying notes. We base our estimates on historical experience, third-party data and assumptions that we believe to be reasonable under the circumstances. The results of these considerations form the basis for making judgments about the amount and timing of revenue and expenses, the carrying value of assets and the recorded amounts of liabilities. Actual results may differ from these estimates and such estimates may change if the underlying conditions or assumptions change. Historical performance should not be viewed as indicative of future performance because there can be no assurance that our margins, operating income and net income, as a percentage of revenue, will be consistent from year to year.</w:t>
      </w:r>
    </w:p>
    <w:p>
      <w:pPr>
        <w:spacing w:after="0" w:line="64"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Management’s discussion and analysis of financial condition and results of operations (“MD&amp;A”) is based upon our Consolidated Financial Statements presented herewith, which have been prepared in accordance with GAAP. Our critical accounting policies are discussed in MD&amp;A in our Annual Report on Form 10-K for the year ended December 31, 2020.</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color w:val="auto"/>
        </w:rPr>
        <w:t>SEASONALITY</w:t>
      </w:r>
    </w:p>
    <w:p>
      <w:pPr>
        <w:spacing w:after="0" w:line="120" w:lineRule="exact"/>
        <w:rPr>
          <w:sz w:val="20"/>
          <w:szCs w:val="20"/>
          <w:color w:val="auto"/>
        </w:rPr>
      </w:pPr>
    </w:p>
    <w:p>
      <w:pPr>
        <w:jc w:val="both"/>
        <w:ind w:firstLine="387"/>
        <w:spacing w:after="0" w:line="280" w:lineRule="auto"/>
        <w:rPr>
          <w:sz w:val="20"/>
          <w:szCs w:val="20"/>
          <w:color w:val="auto"/>
        </w:rPr>
      </w:pPr>
      <w:r>
        <w:rPr>
          <w:rFonts w:ascii="Arial" w:cs="Arial" w:eastAsia="Arial" w:hAnsi="Arial"/>
          <w:sz w:val="17"/>
          <w:szCs w:val="17"/>
          <w:color w:val="auto"/>
        </w:rPr>
        <w:t>Our business can be affected by seasonal fluctuations in the death rate. Generally, the death rate is higher during the winter months because the incidences of death from influenza and pneumonia are higher during this period than other periods of the year.</w:t>
      </w:r>
    </w:p>
    <w:p>
      <w:pPr>
        <w:spacing w:after="0" w:line="209"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120"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In the ordinary course of business, we are typically exposed to a variety of market risks. Currently, these are primarily related to interest rate risk and changes in the values of securities associated with the preneed and perpetual care trusts. Management is actively involved in monitoring exposure to market risk and developing and utilizing appropriate risk management techniques when appropriate and when available for a reasonable price. We are not exposed to any other significant market risks other than those related to COVID-19 which are described in more detail in Part 1, Item 1A “Risk Factors” in our Annual Report on Form 10-K for the year ended December 31, 2020.</w:t>
      </w:r>
    </w:p>
    <w:p>
      <w:pPr>
        <w:spacing w:after="0" w:line="77"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The following quantitative and qualitative information is provided about financial instruments to which we are a party at September 30, 2021 and from which we may incur future gains or losses from changes in market conditions. We do not enter into derivative or other financial instruments for speculative or trading purposes.</w:t>
      </w:r>
    </w:p>
    <w:p>
      <w:pPr>
        <w:spacing w:after="0" w:line="73" w:lineRule="exact"/>
        <w:rPr>
          <w:sz w:val="20"/>
          <w:szCs w:val="20"/>
          <w:color w:val="auto"/>
        </w:rPr>
      </w:pPr>
    </w:p>
    <w:p>
      <w:pPr>
        <w:jc w:val="both"/>
        <w:ind w:firstLine="387"/>
        <w:spacing w:after="0" w:line="262" w:lineRule="auto"/>
        <w:rPr>
          <w:sz w:val="20"/>
          <w:szCs w:val="20"/>
          <w:color w:val="auto"/>
        </w:rPr>
      </w:pPr>
      <w:r>
        <w:rPr>
          <w:rFonts w:ascii="Arial" w:cs="Arial" w:eastAsia="Arial" w:hAnsi="Arial"/>
          <w:sz w:val="17"/>
          <w:szCs w:val="17"/>
          <w:color w:val="auto"/>
        </w:rPr>
        <w:t>Hypothetical changes in interest rates and the values of securities associated with the preneed and perpetual care trusts chosen for the following estimated sensitivity analysis are considered to be reasonable near-term changes generally based on consideration of past fluctuations for each risk category. However, since it is not possible to accurately predict future changes in interest rates, these hypothetical changes may not necessarily be an indicator of probable future fluctuations.</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information about our market-sensitive financial instruments constitutes a “forward-looking statement.”</w:t>
      </w:r>
    </w:p>
    <w:p>
      <w:pPr>
        <w:spacing w:after="0" w:line="114"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In connection with our preneed funeral operations and preneed cemetery merchandise and service sales, the related funeral and cemetery trust funds own investments in equity and debt securities and mutual funds, which are sensitive to current market prices. Cost and market values of such investments at September 30, 2021 are presented in Item 1, “Condensed Notes to Consolidated Financial Statements,” Note 6 to our Consolidated Financial Statements in this Quarterly Report on Form 10-Q. The sensitivity of the fixed income securities is such that a 0.25% change in interest rates causes an approximate 1.26% change in the value of the fixed income securities.</w:t>
      </w:r>
    </w:p>
    <w:p>
      <w:pPr>
        <w:spacing w:after="0" w:line="77"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color w:val="auto"/>
        </w:rPr>
        <w:t>We monitor current and forecasted interest rate risk in the ordinary course of business and seek to maintain optimal financial flexibility, quality and solvency. At September 30, 2021, we had outstanding borrowings under the New Credit Facility of $86.9 million. Any further borrowings or voluntary prepayments against the New Credit Facility or any change in the floating rate would cause a change in interest expense. We have the option to pay interest under the New Credit Facility at either prime rate or the LIBOR rate plus a margin. At September 30, 2021, the prime rate margin was equivalent to 0.75% and the LIBOR rate margin was 1.75%. Assuming the outstanding balance remains unchanged, a change of 100 basis points in our borrowing rate would result in a change in income before taxes of $0.9 million. We have not entered into interest rate hedging arrangements in the past. Management continually evaluates the cost and potential benefits of interest rate hedging arrangements.</w:t>
      </w:r>
    </w:p>
    <w:p>
      <w:pPr>
        <w:spacing w:after="0" w:line="78" w:lineRule="exact"/>
        <w:rPr>
          <w:sz w:val="20"/>
          <w:szCs w:val="20"/>
          <w:color w:val="auto"/>
        </w:rPr>
      </w:pPr>
    </w:p>
    <w:p>
      <w:pPr>
        <w:jc w:val="both"/>
        <w:ind w:firstLine="387"/>
        <w:spacing w:after="0" w:line="258" w:lineRule="auto"/>
        <w:rPr>
          <w:sz w:val="20"/>
          <w:szCs w:val="20"/>
          <w:color w:val="auto"/>
        </w:rPr>
      </w:pPr>
      <w:r>
        <w:rPr>
          <w:rFonts w:ascii="Arial" w:cs="Arial" w:eastAsia="Arial" w:hAnsi="Arial"/>
          <w:sz w:val="17"/>
          <w:szCs w:val="17"/>
          <w:color w:val="auto"/>
        </w:rPr>
        <w:t>Our New Senior Notes bear interest at the fixed annual rate of 4.25%. We may redeem the New Senior Notes, in whole or in part, at the redemption price of 102.13% on or after May 15, 2024, 101.06% on or after May 15, 2025 and 100% on or after May 15, 2026, plus accrued and unpaid interest, if any, to, but excluding, the redemption date. At any time before May 15, 2024, we may also redeem all or part of the New Senior Notes at the redemption prices described in the Indenture, plus accrued and unpaid interest, if any, to (but excluding) the date of redemption. At September 30, 2021, the carrying value of the New Senior Notes on our Consolidated Balance Sheet was $394.5 million and the fair value of the New Senior Notes was $403.2 million based on the last traded or broker quoted price, reported by the Financial Industry Regulatory Authority, Inc. Increases in market interest rates may cause the value of the New Senior Notes to decrease, but such changes will not affect our interest costs.</w:t>
      </w:r>
    </w:p>
    <w:p>
      <w:pPr>
        <w:spacing w:after="0" w:line="78" w:lineRule="exact"/>
        <w:rPr>
          <w:sz w:val="20"/>
          <w:szCs w:val="20"/>
          <w:color w:val="auto"/>
        </w:rPr>
      </w:pPr>
    </w:p>
    <w:p>
      <w:pPr>
        <w:jc w:val="both"/>
        <w:ind w:firstLine="387"/>
        <w:spacing w:after="0" w:line="349" w:lineRule="auto"/>
        <w:rPr>
          <w:sz w:val="20"/>
          <w:szCs w:val="20"/>
          <w:color w:val="auto"/>
        </w:rPr>
      </w:pPr>
      <w:r>
        <w:rPr>
          <w:rFonts w:ascii="Arial" w:cs="Arial" w:eastAsia="Arial" w:hAnsi="Arial"/>
          <w:sz w:val="15"/>
          <w:szCs w:val="15"/>
          <w:color w:val="auto"/>
        </w:rPr>
        <w:t>The remainder of our long-term debt and leases consist of non-interest bearing notes and fixed rate instruments that do not trade in a market and do not have a quoted market value. Any increase in market interest rates causes the fair value of those liabilities to decrease, but such changes will not affect our interest costs.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15" w:right="339" w:bottom="1440" w:gutter="0" w:footer="0" w:header="0"/>
        </w:sectPr>
      </w:pPr>
    </w:p>
    <w:bookmarkStart w:id="60" w:name="page61"/>
    <w:bookmarkEnd w:id="60"/>
    <w:p>
      <w:pPr>
        <w:spacing w:after="0"/>
        <w:tabs>
          <w:tab w:leader="none" w:pos="92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Management’s Evaluation of Disclosure Controls and Procedures</w:t>
      </w:r>
    </w:p>
    <w:p>
      <w:pPr>
        <w:spacing w:after="0" w:line="114" w:lineRule="exact"/>
        <w:rPr>
          <w:sz w:val="20"/>
          <w:szCs w:val="20"/>
          <w:color w:val="auto"/>
        </w:rPr>
      </w:pPr>
    </w:p>
    <w:p>
      <w:pPr>
        <w:jc w:val="both"/>
        <w:ind w:firstLine="387"/>
        <w:spacing w:after="0" w:line="296" w:lineRule="auto"/>
        <w:rPr>
          <w:sz w:val="20"/>
          <w:szCs w:val="20"/>
          <w:color w:val="auto"/>
        </w:rPr>
      </w:pPr>
      <w:r>
        <w:rPr>
          <w:rFonts w:ascii="Arial" w:cs="Arial" w:eastAsia="Arial" w:hAnsi="Arial"/>
          <w:sz w:val="15"/>
          <w:szCs w:val="15"/>
          <w:color w:val="auto"/>
        </w:rPr>
        <w:t>Our management, including our principal executive and principal financial officers, have evaluated the effectiveness of the design and operation of our disclosure controls and procedures (as defined in Rules 13a-15(e) and 15d-15(e) of the Exchange Act as of the end of the period covered by this Quarterly Report on Form 10-Q. Our disclosure controls and procedures are designed to ensure that the information required to be disclosed by us in reports that we file or submit under the Exchange Act is recorded, processed, summarized and reported within the time periods specified in the SEC rules and forms, and to ensure that such information is accumulated and communicated to management, including our principal executive and principal financial officers, as appropriate, to allow timely decisions regarding required disclosure. Based on such evaluation, our principal executive and principal financial officers concluded that our disclosure controls and procedures are effective at September 30, 2021 and that the unaudited condensed consolidated financial statements included in this Quarterly Report on Form 10-Q fairly present, in all material respects, our financial condition, results of operations, and cash flows for the periods presented in conformity with US GAAP.</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114"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There was no change in our system of internal control over financial reporting (defined in Rules 13a-15(f) or 15d-15(f) under the Exchange Act) during the fiscal quarter covered by this Quarterly Report on Form 10-Q that has materially affected, or is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15"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7"/>
          <w:szCs w:val="17"/>
          <w:b w:val="1"/>
          <w:bCs w:val="1"/>
          <w:color w:val="auto"/>
        </w:rPr>
        <w:t>PART II – OTHER INFORMATION</w:t>
      </w:r>
    </w:p>
    <w:p>
      <w:pPr>
        <w:spacing w:after="0" w:line="218"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0" w:lineRule="exact"/>
        <w:rPr>
          <w:sz w:val="20"/>
          <w:szCs w:val="20"/>
          <w:color w:val="auto"/>
        </w:rPr>
      </w:pPr>
    </w:p>
    <w:p>
      <w:pPr>
        <w:jc w:val="both"/>
        <w:ind w:firstLine="387"/>
        <w:spacing w:after="0" w:line="349" w:lineRule="auto"/>
        <w:rPr>
          <w:sz w:val="20"/>
          <w:szCs w:val="20"/>
          <w:color w:val="auto"/>
        </w:rPr>
      </w:pPr>
      <w:r>
        <w:rPr>
          <w:rFonts w:ascii="Arial" w:cs="Arial" w:eastAsia="Arial" w:hAnsi="Arial"/>
          <w:sz w:val="15"/>
          <w:szCs w:val="15"/>
          <w:color w:val="auto"/>
        </w:rPr>
        <w:t>We and our subsidiaries are parties to a number of legal proceedings that arise from time to time in the ordinary course of our business. While the outcome of these proceedings cannot be predicted with certainty, we do not expect these matters to have a material adverse effect on our financial statements.</w:t>
      </w:r>
    </w:p>
    <w:p>
      <w:pPr>
        <w:spacing w:after="0" w:line="15" w:lineRule="exact"/>
        <w:rPr>
          <w:sz w:val="20"/>
          <w:szCs w:val="20"/>
          <w:color w:val="auto"/>
        </w:rPr>
      </w:pPr>
    </w:p>
    <w:p>
      <w:pPr>
        <w:jc w:val="both"/>
        <w:ind w:firstLine="387"/>
        <w:spacing w:after="0" w:line="260" w:lineRule="auto"/>
        <w:rPr>
          <w:sz w:val="20"/>
          <w:szCs w:val="20"/>
          <w:color w:val="auto"/>
        </w:rPr>
      </w:pPr>
      <w:r>
        <w:rPr>
          <w:rFonts w:ascii="Arial" w:cs="Arial" w:eastAsia="Arial" w:hAnsi="Arial"/>
          <w:sz w:val="17"/>
          <w:szCs w:val="17"/>
          <w:color w:val="auto"/>
        </w:rPr>
        <w:t>We self-insure against certain risks and carry insurance with coverage and coverage limits for risk in excess of the coverage amounts consistent with our assessment of risks in our business and of an acceptable level of financial exposure. Although there can be no assurance that self-insurance reserves and insurance will be sufficient to mitigate all damages, claims, or contingencies, we believe that the reserves and our insurance provides reasonable coverage for known asserted and unasserted claims. In the event we sustain a loss from a claim and the insurance carrier disputes coverage or coverage limits, we may record a charge in a different period than the recovery, if any, from the insurance carrier.</w:t>
      </w:r>
    </w:p>
    <w:p>
      <w:pPr>
        <w:spacing w:after="0" w:line="174"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Risk Factor Update</w:t>
      </w:r>
    </w:p>
    <w:p>
      <w:pPr>
        <w:spacing w:after="0" w:line="114"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We are supplementing the risk factors as previously disclosed in Part I, Item 1A “Risk Factors” in our Annual Report on Form 10-K for the year ended December 31, 2020 (the “2020 Form 10-K”), with the updated risk factors set out below. The risk factors below should be read in conjunction with the risk factors set out in our 2020 Form 10-K:</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Key Employees and Compensation</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“Good To Great II” incentive program could result in the issuance of a significant number of shares of common stock to certain critical employees.</w:t>
      </w:r>
    </w:p>
    <w:p>
      <w:pPr>
        <w:spacing w:after="0" w:line="143" w:lineRule="exact"/>
        <w:rPr>
          <w:sz w:val="20"/>
          <w:szCs w:val="20"/>
          <w:color w:val="auto"/>
        </w:rPr>
      </w:pPr>
    </w:p>
    <w:p>
      <w:pPr>
        <w:jc w:val="both"/>
        <w:ind w:firstLine="387"/>
        <w:spacing w:after="0" w:line="276" w:lineRule="auto"/>
        <w:rPr>
          <w:sz w:val="20"/>
          <w:szCs w:val="20"/>
          <w:color w:val="auto"/>
        </w:rPr>
      </w:pPr>
      <w:r>
        <w:rPr>
          <w:rFonts w:ascii="Arial" w:cs="Arial" w:eastAsia="Arial" w:hAnsi="Arial"/>
          <w:sz w:val="16"/>
          <w:szCs w:val="16"/>
          <w:color w:val="auto"/>
        </w:rPr>
        <w:t>Our Good To Great II incentive program rewards certain employees who are not Managing Partners in alignment with the incentive programs for our Managing Partners. Specifically, the Good To Great II incentive program is tied to the future performance of the Company and requires the Company’s share price to reach one of five predetermined Common Stock Price Averages (as defined by the program) through a performance period ending December 31, 2024 in order for the award to be earned by the participants of the program. While the program aligns our incentives with long-term value creation, there is a potential risk of dilution to our shareholders if we achieve the highest performance tier under the Good To Great II incentive program, which equals a Common Stock Price Average (as defined by the program) of $77.34 per share. At September 30, 2021, under such a scenario, a total of 1,081,287 shares of common stock would be awarded to participants under the program. We believe this incentive program will result in improved overall financial performance.</w:t>
      </w:r>
    </w:p>
    <w:p>
      <w:pPr>
        <w:spacing w:after="0" w:line="68" w:lineRule="exact"/>
        <w:rPr>
          <w:sz w:val="20"/>
          <w:szCs w:val="20"/>
          <w:color w:val="auto"/>
        </w:rPr>
      </w:pPr>
    </w:p>
    <w:p>
      <w:pPr>
        <w:jc w:val="both"/>
        <w:ind w:firstLine="387"/>
        <w:spacing w:after="0" w:line="291" w:lineRule="auto"/>
        <w:rPr>
          <w:sz w:val="20"/>
          <w:szCs w:val="20"/>
          <w:color w:val="auto"/>
        </w:rPr>
      </w:pPr>
      <w:r>
        <w:rPr>
          <w:rFonts w:ascii="Arial" w:cs="Arial" w:eastAsia="Arial" w:hAnsi="Arial"/>
          <w:sz w:val="16"/>
          <w:szCs w:val="16"/>
          <w:color w:val="auto"/>
        </w:rPr>
        <w:t>Please also refer to the complete set of Risk Factors discussed in Part I, Item 1A “Risk Factors” in our 2020 Form 10-K, which could materially affect our business, financial condition or future results. The risks described in our 2020 Form 10-K are not the only risks we face. Additional risks and uncertainties not currently known to us or that we currently deem to be immaterial also may materially adversely affect our business, financial condition or future results.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62" w:name="page63"/>
    <w:bookmarkEnd w:id="62"/>
    <w:p>
      <w:pPr>
        <w:spacing w:after="0"/>
        <w:tabs>
          <w:tab w:leader="none" w:pos="96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r>
        <w:rPr>
          <w:rFonts w:ascii="Arial" w:cs="Arial" w:eastAsia="Arial" w:hAnsi="Arial"/>
          <w:sz w:val="15"/>
          <w:szCs w:val="15"/>
          <w:color w:val="auto"/>
        </w:rPr>
        <w:t>.</w:t>
      </w:r>
    </w:p>
    <w:p>
      <w:pPr>
        <w:spacing w:after="0" w:line="12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sets forth certain information with respect to repurchases of our common stock during the quarter ended September 30, 2021:</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5"/>
              </w:rPr>
              <w:t>Total Number of</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5"/>
                <w:szCs w:val="15"/>
                <w:b w:val="1"/>
                <w:bCs w:val="1"/>
                <w:color w:val="auto"/>
                <w:w w:val="95"/>
              </w:rPr>
              <w:t>Total Number of</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137"/>
              <w:spacing w:after="0"/>
              <w:rPr>
                <w:sz w:val="20"/>
                <w:szCs w:val="20"/>
                <w:color w:val="auto"/>
              </w:rPr>
            </w:pPr>
            <w:r>
              <w:rPr>
                <w:rFonts w:ascii="Arial" w:cs="Arial" w:eastAsia="Arial" w:hAnsi="Arial"/>
                <w:sz w:val="15"/>
                <w:szCs w:val="15"/>
                <w:b w:val="1"/>
                <w:bCs w:val="1"/>
                <w:color w:val="auto"/>
              </w:rPr>
              <w:t>Dollar Value of</w:t>
            </w:r>
          </w:p>
        </w:tc>
        <w:tc>
          <w:tcPr>
            <w:tcW w:w="0" w:type="dxa"/>
            <w:vAlign w:val="bottom"/>
          </w:tcPr>
          <w:p>
            <w:pPr>
              <w:spacing w:after="0"/>
              <w:rPr>
                <w:sz w:val="1"/>
                <w:szCs w:val="1"/>
                <w:color w:val="auto"/>
              </w:rPr>
            </w:pPr>
          </w:p>
        </w:tc>
      </w:tr>
      <w:tr>
        <w:trPr>
          <w:trHeight w:val="155"/>
        </w:trPr>
        <w:tc>
          <w:tcPr>
            <w:tcW w:w="5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5"/>
                <w:szCs w:val="15"/>
                <w:b w:val="1"/>
                <w:bCs w:val="1"/>
                <w:color w:val="auto"/>
                <w:w w:val="91"/>
              </w:rPr>
              <w:t>Average Price</w:t>
            </w:r>
          </w:p>
        </w:tc>
        <w:tc>
          <w:tcPr>
            <w:tcW w:w="1460" w:type="dxa"/>
            <w:vAlign w:val="bottom"/>
          </w:tcPr>
          <w:p>
            <w:pPr>
              <w:jc w:val="center"/>
              <w:spacing w:after="0" w:line="155" w:lineRule="exact"/>
              <w:rPr>
                <w:sz w:val="20"/>
                <w:szCs w:val="20"/>
                <w:color w:val="auto"/>
              </w:rPr>
            </w:pPr>
            <w:r>
              <w:rPr>
                <w:rFonts w:ascii="Arial" w:cs="Arial" w:eastAsia="Arial" w:hAnsi="Arial"/>
                <w:sz w:val="15"/>
                <w:szCs w:val="15"/>
                <w:b w:val="1"/>
                <w:bCs w:val="1"/>
                <w:color w:val="auto"/>
                <w:w w:val="89"/>
              </w:rPr>
              <w:t>Shares Purchased as</w:t>
            </w:r>
          </w:p>
        </w:tc>
        <w:tc>
          <w:tcPr>
            <w:tcW w:w="140" w:type="dxa"/>
            <w:vAlign w:val="bottom"/>
          </w:tcPr>
          <w:p>
            <w:pPr>
              <w:spacing w:after="0"/>
              <w:rPr>
                <w:sz w:val="13"/>
                <w:szCs w:val="13"/>
                <w:color w:val="auto"/>
              </w:rPr>
            </w:pPr>
          </w:p>
        </w:tc>
        <w:tc>
          <w:tcPr>
            <w:tcW w:w="1460" w:type="dxa"/>
            <w:vAlign w:val="bottom"/>
            <w:gridSpan w:val="2"/>
          </w:tcPr>
          <w:p>
            <w:pPr>
              <w:ind w:left="40"/>
              <w:spacing w:after="0" w:line="155" w:lineRule="exact"/>
              <w:rPr>
                <w:sz w:val="20"/>
                <w:szCs w:val="20"/>
                <w:color w:val="auto"/>
              </w:rPr>
            </w:pPr>
            <w:r>
              <w:rPr>
                <w:rFonts w:ascii="Arial" w:cs="Arial" w:eastAsia="Arial" w:hAnsi="Arial"/>
                <w:sz w:val="15"/>
                <w:szCs w:val="15"/>
                <w:b w:val="1"/>
                <w:bCs w:val="1"/>
                <w:color w:val="auto"/>
                <w:w w:val="95"/>
              </w:rPr>
              <w:t>Shares That May Yet</w:t>
            </w:r>
          </w:p>
        </w:tc>
        <w:tc>
          <w:tcPr>
            <w:tcW w:w="0" w:type="dxa"/>
            <w:vAlign w:val="bottom"/>
          </w:tcPr>
          <w:p>
            <w:pPr>
              <w:spacing w:after="0"/>
              <w:rPr>
                <w:sz w:val="1"/>
                <w:szCs w:val="1"/>
                <w:color w:val="auto"/>
              </w:rPr>
            </w:pPr>
          </w:p>
        </w:tc>
      </w:tr>
      <w:tr>
        <w:trPr>
          <w:trHeight w:val="155"/>
        </w:trPr>
        <w:tc>
          <w:tcPr>
            <w:tcW w:w="536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Period</w:t>
            </w:r>
          </w:p>
        </w:tc>
        <w:tc>
          <w:tcPr>
            <w:tcW w:w="1300" w:type="dxa"/>
            <w:vAlign w:val="bottom"/>
          </w:tcPr>
          <w:p>
            <w:pPr>
              <w:jc w:val="center"/>
              <w:spacing w:after="0" w:line="155" w:lineRule="exact"/>
              <w:rPr>
                <w:sz w:val="20"/>
                <w:szCs w:val="20"/>
                <w:color w:val="auto"/>
              </w:rPr>
            </w:pPr>
            <w:r>
              <w:rPr>
                <w:rFonts w:ascii="Arial" w:cs="Arial" w:eastAsia="Arial" w:hAnsi="Arial"/>
                <w:sz w:val="15"/>
                <w:szCs w:val="15"/>
                <w:b w:val="1"/>
                <w:bCs w:val="1"/>
                <w:color w:val="auto"/>
                <w:w w:val="91"/>
              </w:rPr>
              <w:t>Shares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460" w:type="dxa"/>
            <w:vAlign w:val="bottom"/>
          </w:tcPr>
          <w:p>
            <w:pPr>
              <w:jc w:val="center"/>
              <w:spacing w:after="0" w:line="155" w:lineRule="exact"/>
              <w:rPr>
                <w:sz w:val="20"/>
                <w:szCs w:val="20"/>
                <w:color w:val="auto"/>
              </w:rPr>
            </w:pPr>
            <w:r>
              <w:rPr>
                <w:rFonts w:ascii="Arial" w:cs="Arial" w:eastAsia="Arial" w:hAnsi="Arial"/>
                <w:sz w:val="15"/>
                <w:szCs w:val="15"/>
                <w:b w:val="1"/>
                <w:bCs w:val="1"/>
                <w:color w:val="auto"/>
                <w:w w:val="95"/>
              </w:rPr>
              <w:t>Part of Publicly</w:t>
            </w:r>
          </w:p>
        </w:tc>
        <w:tc>
          <w:tcPr>
            <w:tcW w:w="140" w:type="dxa"/>
            <w:vAlign w:val="bottom"/>
          </w:tcPr>
          <w:p>
            <w:pPr>
              <w:spacing w:after="0"/>
              <w:rPr>
                <w:sz w:val="13"/>
                <w:szCs w:val="13"/>
                <w:color w:val="auto"/>
              </w:rPr>
            </w:pPr>
          </w:p>
        </w:tc>
        <w:tc>
          <w:tcPr>
            <w:tcW w:w="1460" w:type="dxa"/>
            <w:vAlign w:val="bottom"/>
            <w:gridSpan w:val="2"/>
          </w:tcPr>
          <w:p>
            <w:pPr>
              <w:ind w:left="60"/>
              <w:spacing w:after="0" w:line="155" w:lineRule="exact"/>
              <w:rPr>
                <w:sz w:val="20"/>
                <w:szCs w:val="20"/>
                <w:color w:val="auto"/>
              </w:rPr>
            </w:pPr>
            <w:r>
              <w:rPr>
                <w:rFonts w:ascii="Arial" w:cs="Arial" w:eastAsia="Arial" w:hAnsi="Arial"/>
                <w:sz w:val="15"/>
                <w:szCs w:val="15"/>
                <w:b w:val="1"/>
                <w:bCs w:val="1"/>
                <w:color w:val="auto"/>
                <w:w w:val="93"/>
              </w:rPr>
              <w:t>Be Purchased Under</w:t>
            </w:r>
          </w:p>
        </w:tc>
        <w:tc>
          <w:tcPr>
            <w:tcW w:w="0" w:type="dxa"/>
            <w:vAlign w:val="bottom"/>
          </w:tcPr>
          <w:p>
            <w:pPr>
              <w:spacing w:after="0"/>
              <w:rPr>
                <w:sz w:val="1"/>
                <w:szCs w:val="1"/>
                <w:color w:val="auto"/>
              </w:rPr>
            </w:pPr>
          </w:p>
        </w:tc>
      </w:tr>
      <w:tr>
        <w:trPr>
          <w:trHeight w:val="207"/>
        </w:trPr>
        <w:tc>
          <w:tcPr>
            <w:tcW w:w="5360" w:type="dxa"/>
            <w:vAlign w:val="bottom"/>
            <w:gridSpan w:val="2"/>
            <w:vMerge w:val="continue"/>
          </w:tcPr>
          <w:p>
            <w:pPr>
              <w:spacing w:after="0"/>
              <w:rPr>
                <w:sz w:val="17"/>
                <w:szCs w:val="17"/>
                <w:color w:val="auto"/>
              </w:rPr>
            </w:pPr>
          </w:p>
        </w:tc>
        <w:tc>
          <w:tcPr>
            <w:tcW w:w="1300" w:type="dxa"/>
            <w:vAlign w:val="bottom"/>
          </w:tcPr>
          <w:p>
            <w:pPr>
              <w:jc w:val="center"/>
              <w:spacing w:after="0" w:line="207" w:lineRule="exact"/>
              <w:rPr>
                <w:sz w:val="20"/>
                <w:szCs w:val="20"/>
                <w:color w:val="auto"/>
              </w:rPr>
            </w:pPr>
            <w:r>
              <w:rPr>
                <w:rFonts w:ascii="Arial" w:cs="Arial" w:eastAsia="Arial" w:hAnsi="Arial"/>
                <w:sz w:val="15"/>
                <w:szCs w:val="15"/>
                <w:b w:val="1"/>
                <w:bCs w:val="1"/>
                <w:color w:val="auto"/>
                <w:w w:val="88"/>
              </w:rPr>
              <w:t>Purchased</w:t>
            </w:r>
            <w:r>
              <w:rPr>
                <w:rFonts w:ascii="Arial" w:cs="Arial" w:eastAsia="Arial" w:hAnsi="Arial"/>
                <w:sz w:val="20"/>
                <w:szCs w:val="20"/>
                <w:b w:val="1"/>
                <w:bCs w:val="1"/>
                <w:color w:val="auto"/>
                <w:w w:val="88"/>
                <w:vertAlign w:val="superscript"/>
              </w:rPr>
              <w:t>(1)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4"/>
              </w:rPr>
              <w:t>Paid Per Share</w:t>
            </w:r>
          </w:p>
        </w:tc>
        <w:tc>
          <w:tcPr>
            <w:tcW w:w="1460" w:type="dxa"/>
            <w:vAlign w:val="bottom"/>
          </w:tcPr>
          <w:p>
            <w:pPr>
              <w:jc w:val="center"/>
              <w:spacing w:after="0"/>
              <w:rPr>
                <w:sz w:val="20"/>
                <w:szCs w:val="20"/>
                <w:color w:val="auto"/>
              </w:rPr>
            </w:pPr>
            <w:r>
              <w:rPr>
                <w:rFonts w:ascii="Arial" w:cs="Arial" w:eastAsia="Arial" w:hAnsi="Arial"/>
                <w:sz w:val="15"/>
                <w:szCs w:val="15"/>
                <w:b w:val="1"/>
                <w:bCs w:val="1"/>
                <w:color w:val="auto"/>
                <w:w w:val="94"/>
              </w:rPr>
              <w:t>Announced Program</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97"/>
              <w:spacing w:after="0" w:line="207" w:lineRule="exact"/>
              <w:rPr>
                <w:sz w:val="20"/>
                <w:szCs w:val="20"/>
                <w:color w:val="auto"/>
              </w:rPr>
            </w:pPr>
            <w:r>
              <w:rPr>
                <w:rFonts w:ascii="Arial" w:cs="Arial" w:eastAsia="Arial" w:hAnsi="Arial"/>
                <w:sz w:val="15"/>
                <w:szCs w:val="15"/>
                <w:b w:val="1"/>
                <w:bCs w:val="1"/>
                <w:color w:val="auto"/>
                <w:w w:val="90"/>
              </w:rPr>
              <w:t>the Program</w:t>
            </w:r>
            <w:r>
              <w:rPr>
                <w:rFonts w:ascii="Arial" w:cs="Arial" w:eastAsia="Arial" w:hAnsi="Arial"/>
                <w:sz w:val="20"/>
                <w:szCs w:val="20"/>
                <w:b w:val="1"/>
                <w:bCs w:val="1"/>
                <w:color w:val="auto"/>
                <w:w w:val="90"/>
                <w:vertAlign w:val="superscript"/>
              </w:rPr>
              <w:t>(2)(3)</w:t>
            </w:r>
          </w:p>
        </w:tc>
        <w:tc>
          <w:tcPr>
            <w:tcW w:w="0" w:type="dxa"/>
            <w:vAlign w:val="bottom"/>
          </w:tcPr>
          <w:p>
            <w:pPr>
              <w:spacing w:after="0"/>
              <w:rPr>
                <w:sz w:val="1"/>
                <w:szCs w:val="1"/>
                <w:color w:val="auto"/>
              </w:rPr>
            </w:pPr>
          </w:p>
        </w:tc>
      </w:tr>
      <w:tr>
        <w:trPr>
          <w:trHeight w:val="83"/>
        </w:trPr>
        <w:tc>
          <w:tcPr>
            <w:tcW w:w="522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3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12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46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3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July 1, 2021 - July 31, 2021</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63,300,533</w:t>
            </w:r>
          </w:p>
        </w:tc>
        <w:tc>
          <w:tcPr>
            <w:tcW w:w="0" w:type="dxa"/>
            <w:vAlign w:val="bottom"/>
          </w:tcPr>
          <w:p>
            <w:pPr>
              <w:spacing w:after="0"/>
              <w:rPr>
                <w:sz w:val="1"/>
                <w:szCs w:val="1"/>
                <w:color w:val="auto"/>
              </w:rPr>
            </w:pPr>
          </w:p>
        </w:tc>
      </w:tr>
      <w:tr>
        <w:trPr>
          <w:trHeight w:val="219"/>
        </w:trPr>
        <w:tc>
          <w:tcPr>
            <w:tcW w:w="5360" w:type="dxa"/>
            <w:vAlign w:val="bottom"/>
            <w:gridSpan w:val="2"/>
          </w:tcPr>
          <w:p>
            <w:pPr>
              <w:ind w:left="20"/>
              <w:spacing w:after="0"/>
              <w:rPr>
                <w:sz w:val="20"/>
                <w:szCs w:val="20"/>
                <w:color w:val="auto"/>
              </w:rPr>
            </w:pPr>
            <w:r>
              <w:rPr>
                <w:rFonts w:ascii="Arial" w:cs="Arial" w:eastAsia="Arial" w:hAnsi="Arial"/>
                <w:sz w:val="17"/>
                <w:szCs w:val="17"/>
                <w:color w:val="auto"/>
              </w:rPr>
              <w:t>August 1, 2021 - August 31, 2021</w:t>
            </w:r>
          </w:p>
        </w:tc>
        <w:tc>
          <w:tcPr>
            <w:tcW w:w="1300" w:type="dxa"/>
            <w:vAlign w:val="bottom"/>
          </w:tcPr>
          <w:p>
            <w:pPr>
              <w:jc w:val="right"/>
              <w:spacing w:after="0"/>
              <w:rPr>
                <w:sz w:val="20"/>
                <w:szCs w:val="20"/>
                <w:color w:val="auto"/>
              </w:rPr>
            </w:pPr>
            <w:r>
              <w:rPr>
                <w:rFonts w:ascii="Arial" w:cs="Arial" w:eastAsia="Arial" w:hAnsi="Arial"/>
                <w:sz w:val="17"/>
                <w:szCs w:val="17"/>
                <w:color w:val="auto"/>
              </w:rPr>
              <w:t>711</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38.87</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402,600</w:t>
            </w:r>
          </w:p>
        </w:tc>
        <w:tc>
          <w:tcPr>
            <w:tcW w:w="30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46,656,948</w:t>
            </w:r>
          </w:p>
        </w:tc>
        <w:tc>
          <w:tcPr>
            <w:tcW w:w="0" w:type="dxa"/>
            <w:vAlign w:val="bottom"/>
          </w:tcPr>
          <w:p>
            <w:pPr>
              <w:spacing w:after="0"/>
              <w:rPr>
                <w:sz w:val="1"/>
                <w:szCs w:val="1"/>
                <w:color w:val="auto"/>
              </w:rPr>
            </w:pPr>
          </w:p>
        </w:tc>
      </w:tr>
      <w:tr>
        <w:trPr>
          <w:trHeight w:val="219"/>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September 1, 2021 - September 30, 2021</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800,893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10,061,552</w:t>
            </w:r>
          </w:p>
        </w:tc>
        <w:tc>
          <w:tcPr>
            <w:tcW w:w="0" w:type="dxa"/>
            <w:vAlign w:val="bottom"/>
          </w:tcPr>
          <w:p>
            <w:pPr>
              <w:spacing w:after="0"/>
              <w:rPr>
                <w:sz w:val="1"/>
                <w:szCs w:val="1"/>
                <w:color w:val="auto"/>
              </w:rPr>
            </w:pPr>
          </w:p>
        </w:tc>
      </w:tr>
      <w:tr>
        <w:trPr>
          <w:trHeight w:val="213"/>
        </w:trPr>
        <w:tc>
          <w:tcPr>
            <w:tcW w:w="5360" w:type="dxa"/>
            <w:vAlign w:val="bottom"/>
            <w:gridSpan w:val="2"/>
          </w:tcPr>
          <w:p>
            <w:pPr>
              <w:ind w:left="20"/>
              <w:spacing w:after="0"/>
              <w:rPr>
                <w:sz w:val="20"/>
                <w:szCs w:val="20"/>
                <w:color w:val="auto"/>
              </w:rPr>
            </w:pPr>
            <w:r>
              <w:rPr>
                <w:rFonts w:ascii="Arial" w:cs="Arial" w:eastAsia="Arial" w:hAnsi="Arial"/>
                <w:sz w:val="17"/>
                <w:szCs w:val="17"/>
                <w:color w:val="auto"/>
              </w:rPr>
              <w:t>Total for quarter ended September 30, 2021</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1,203,493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139065</wp:posOffset>
            </wp:positionV>
            <wp:extent cx="708914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17" w:lineRule="exact"/>
        <w:rPr>
          <w:sz w:val="20"/>
          <w:szCs w:val="20"/>
          <w:color w:val="auto"/>
        </w:rPr>
      </w:pPr>
    </w:p>
    <w:p>
      <w:pPr>
        <w:ind w:left="440" w:hanging="381"/>
        <w:spacing w:after="0"/>
        <w:tabs>
          <w:tab w:leader="none" w:pos="4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Represents shares surrendered by employees to pay taxes withheld upon the vesting of restricted stock awards.</w:t>
      </w:r>
    </w:p>
    <w:p>
      <w:pPr>
        <w:spacing w:after="0" w:line="34" w:lineRule="exact"/>
        <w:rPr>
          <w:rFonts w:ascii="Arial" w:cs="Arial" w:eastAsia="Arial" w:hAnsi="Arial"/>
          <w:sz w:val="15"/>
          <w:szCs w:val="15"/>
          <w:color w:val="auto"/>
        </w:rPr>
      </w:pPr>
    </w:p>
    <w:p>
      <w:pPr>
        <w:ind w:left="440" w:hanging="381"/>
        <w:spacing w:after="0"/>
        <w:tabs>
          <w:tab w:leader="none" w:pos="4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We repurchased shares of our common stock at an average cost of $41.34 and $45.69 in August and September, respectively.</w:t>
      </w:r>
    </w:p>
    <w:p>
      <w:pPr>
        <w:spacing w:after="0" w:line="34" w:lineRule="exact"/>
        <w:rPr>
          <w:rFonts w:ascii="Arial" w:cs="Arial" w:eastAsia="Arial" w:hAnsi="Arial"/>
          <w:sz w:val="15"/>
          <w:szCs w:val="15"/>
          <w:color w:val="auto"/>
        </w:rPr>
      </w:pPr>
    </w:p>
    <w:p>
      <w:pPr>
        <w:ind w:left="440" w:hanging="381"/>
        <w:spacing w:after="0"/>
        <w:tabs>
          <w:tab w:leader="none" w:pos="4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See Part I, Item 1, Financial Statements and Supplementary Data, Notes 14 for additional information on our publicly announced share repurchase program.</w:t>
      </w:r>
    </w:p>
    <w:p>
      <w:pPr>
        <w:spacing w:after="0" w:line="295"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r>
        <w:rPr>
          <w:rFonts w:ascii="Arial" w:cs="Arial" w:eastAsia="Arial" w:hAnsi="Arial"/>
          <w:sz w:val="15"/>
          <w:szCs w:val="15"/>
          <w:color w:val="auto"/>
        </w:rPr>
        <w:t>.</w:t>
      </w:r>
    </w:p>
    <w:p>
      <w:pPr>
        <w:spacing w:after="0" w:line="12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Not applicable.</w:t>
      </w:r>
    </w:p>
    <w:p>
      <w:pPr>
        <w:spacing w:after="0" w:line="212"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Not applicable.</w:t>
      </w:r>
    </w:p>
    <w:p>
      <w:pPr>
        <w:spacing w:after="0" w:line="212"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12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Not applicable.</w:t>
      </w:r>
    </w:p>
    <w:p>
      <w:pPr>
        <w:spacing w:after="0" w:line="212"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120" w:lineRule="exact"/>
        <w:rPr>
          <w:sz w:val="20"/>
          <w:szCs w:val="20"/>
          <w:color w:val="auto"/>
        </w:rPr>
      </w:pPr>
    </w:p>
    <w:p>
      <w:pPr>
        <w:ind w:firstLine="387"/>
        <w:spacing w:after="0" w:line="280" w:lineRule="auto"/>
        <w:rPr>
          <w:sz w:val="20"/>
          <w:szCs w:val="20"/>
          <w:color w:val="auto"/>
        </w:rPr>
      </w:pPr>
      <w:r>
        <w:rPr>
          <w:rFonts w:ascii="Arial" w:cs="Arial" w:eastAsia="Arial" w:hAnsi="Arial"/>
          <w:sz w:val="17"/>
          <w:szCs w:val="17"/>
          <w:color w:val="auto"/>
        </w:rPr>
        <w:t>The exhibits required to be filed pursuant to the requirements of Item 601 of Regulation S-K are set forth in the Exhibit Index accompanying this Quarterly Report on Form 10-Q and are incorporated herein by reference.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3" w:right="3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7"/>
          <w:szCs w:val="17"/>
          <w:b w:val="1"/>
          <w:bCs w:val="1"/>
          <w:color w:val="auto"/>
        </w:rPr>
        <w:t>SIGNATURE</w:t>
      </w:r>
    </w:p>
    <w:p>
      <w:pPr>
        <w:spacing w:after="0" w:line="120" w:lineRule="exact"/>
        <w:rPr>
          <w:sz w:val="20"/>
          <w:szCs w:val="20"/>
          <w:color w:val="auto"/>
        </w:rPr>
      </w:pPr>
    </w:p>
    <w:p>
      <w:pPr>
        <w:ind w:firstLine="387"/>
        <w:spacing w:after="0" w:line="280" w:lineRule="auto"/>
        <w:rPr>
          <w:sz w:val="20"/>
          <w:szCs w:val="20"/>
          <w:color w:val="auto"/>
        </w:rPr>
      </w:pPr>
      <w:r>
        <w:rPr>
          <w:rFonts w:ascii="Arial" w:cs="Arial" w:eastAsia="Arial" w:hAnsi="Arial"/>
          <w:sz w:val="17"/>
          <w:szCs w:val="17"/>
          <w:color w:val="auto"/>
        </w:rPr>
        <w:t>Pursuant to the requirements of the Securities Exchange Act of 1934, as amended, the registrant has duly caused this report to be signed on its behalf by the undersigned thereunto duly authorized.</w:t>
      </w:r>
    </w:p>
    <w:p>
      <w:pPr>
        <w:spacing w:after="0" w:line="189"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CARRIAGE SERVICES, INC.</w:t>
      </w:r>
    </w:p>
    <w:p>
      <w:pPr>
        <w:spacing w:after="0" w:line="24" w:lineRule="exact"/>
        <w:rPr>
          <w:sz w:val="20"/>
          <w:szCs w:val="20"/>
          <w:color w:val="auto"/>
        </w:rPr>
      </w:pPr>
    </w:p>
    <w:p>
      <w:pPr>
        <w:ind w:left="620" w:right="4820" w:hanging="4891"/>
        <w:spacing w:after="0" w:line="276" w:lineRule="auto"/>
        <w:tabs>
          <w:tab w:leader="none" w:pos="600" w:val="left"/>
        </w:tabs>
        <w:rPr>
          <w:sz w:val="20"/>
          <w:szCs w:val="20"/>
          <w:color w:val="auto"/>
        </w:rPr>
      </w:pPr>
      <w:r>
        <w:rPr>
          <w:rFonts w:ascii="Arial" w:cs="Arial" w:eastAsia="Arial" w:hAnsi="Arial"/>
          <w:sz w:val="17"/>
          <w:szCs w:val="17"/>
          <w:color w:val="auto"/>
        </w:rPr>
        <w:t>Date:</w:t>
      </w:r>
      <w:r>
        <w:rPr>
          <w:rFonts w:ascii="Arial" w:cs="Arial" w:eastAsia="Arial" w:hAnsi="Arial"/>
          <w:sz w:val="17"/>
          <w:szCs w:val="17"/>
          <w:color w:val="242424"/>
        </w:rPr>
        <w:tab/>
        <w:t xml:space="preserve">11/3/21 </w:t>
      </w:r>
      <w:r>
        <w:rPr>
          <w:rFonts w:ascii="Arial" w:cs="Arial" w:eastAsia="Arial" w:hAnsi="Arial"/>
          <w:sz w:val="17"/>
          <w:szCs w:val="17"/>
          <w:color w:val="000000"/>
        </w:rPr>
        <w:t>/s/ C. Benjamin Brink</w:t>
      </w:r>
      <w:r>
        <w:rPr>
          <w:rFonts w:ascii="Arial" w:cs="Arial" w:eastAsia="Arial" w:hAnsi="Arial"/>
          <w:sz w:val="17"/>
          <w:szCs w:val="17"/>
          <w:color w:val="242424"/>
        </w:rPr>
        <w:t xml:space="preserve"> </w:t>
      </w:r>
      <w:r>
        <w:rPr>
          <w:rFonts w:ascii="Arial" w:cs="Arial" w:eastAsia="Arial" w:hAnsi="Arial"/>
          <w:sz w:val="17"/>
          <w:szCs w:val="17"/>
          <w:color w:val="000000"/>
        </w:rPr>
        <w:t>C. Benjamin Brink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-3175</wp:posOffset>
            </wp:positionV>
            <wp:extent cx="400748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007485" cy="8255"/>
                    </a:xfrm>
                    <a:prstGeom prst="rect">
                      <a:avLst/>
                    </a:prstGeom>
                    <a:noFill/>
                  </pic:spPr>
                </pic:pic>
              </a:graphicData>
            </a:graphic>
          </wp:anchor>
        </w:drawing>
      </w:r>
    </w:p>
    <w:p>
      <w:pPr>
        <w:spacing w:after="0" w:line="207"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Executive Vice President, Chief Financial Officer and Treasurer</w:t>
      </w:r>
    </w:p>
    <w:p>
      <w:pPr>
        <w:spacing w:after="0" w:line="24"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64" w:name="page65"/>
    <w:bookmarkEnd w:id="64"/>
    <w:tbl>
      <w:tblPr>
        <w:tblLayout w:type="fixed"/>
        <w:tblInd w:w="20" w:type="dxa"/>
        <w:tblCellMar>
          <w:top w:w="0" w:type="dxa"/>
          <w:left w:w="0" w:type="dxa"/>
          <w:bottom w:w="0" w:type="dxa"/>
          <w:right w:w="0" w:type="dxa"/>
        </w:tblCellMar>
      </w:tblPr>
      <w:tr>
        <w:trPr>
          <w:trHeight w:val="223"/>
        </w:trPr>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360" w:type="dxa"/>
            <w:vAlign w:val="bottom"/>
            <w:gridSpan w:val="4"/>
          </w:tcPr>
          <w:p>
            <w:pPr>
              <w:jc w:val="center"/>
              <w:ind w:right="2600"/>
              <w:spacing w:after="0"/>
              <w:rPr>
                <w:sz w:val="20"/>
                <w:szCs w:val="20"/>
                <w:color w:val="auto"/>
              </w:rPr>
            </w:pPr>
            <w:r>
              <w:rPr>
                <w:rFonts w:ascii="Arial" w:cs="Arial" w:eastAsia="Arial" w:hAnsi="Arial"/>
                <w:sz w:val="17"/>
                <w:szCs w:val="17"/>
                <w:b w:val="1"/>
                <w:bCs w:val="1"/>
                <w:color w:val="auto"/>
              </w:rPr>
              <w:t>CARRIAGE SERVICES, INC.</w:t>
            </w:r>
          </w:p>
        </w:tc>
        <w:tc>
          <w:tcPr>
            <w:tcW w:w="0" w:type="dxa"/>
            <w:vAlign w:val="bottom"/>
          </w:tcPr>
          <w:p>
            <w:pPr>
              <w:spacing w:after="0"/>
              <w:rPr>
                <w:sz w:val="1"/>
                <w:szCs w:val="1"/>
                <w:color w:val="auto"/>
              </w:rPr>
            </w:pPr>
          </w:p>
        </w:tc>
      </w:tr>
      <w:tr>
        <w:trPr>
          <w:trHeight w:val="361"/>
        </w:trPr>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360" w:type="dxa"/>
            <w:vAlign w:val="bottom"/>
            <w:gridSpan w:val="4"/>
          </w:tcPr>
          <w:p>
            <w:pPr>
              <w:jc w:val="center"/>
              <w:ind w:right="2600"/>
              <w:spacing w:after="0"/>
              <w:rPr>
                <w:sz w:val="20"/>
                <w:szCs w:val="20"/>
                <w:color w:val="auto"/>
              </w:rPr>
            </w:pPr>
            <w:r>
              <w:rPr>
                <w:rFonts w:ascii="Arial" w:cs="Arial" w:eastAsia="Arial" w:hAnsi="Arial"/>
                <w:sz w:val="17"/>
                <w:szCs w:val="17"/>
                <w:b w:val="1"/>
                <w:bCs w:val="1"/>
                <w:color w:val="auto"/>
              </w:rPr>
              <w:t>INDEX OF EXHIBITS</w:t>
            </w:r>
          </w:p>
        </w:tc>
        <w:tc>
          <w:tcPr>
            <w:tcW w:w="0" w:type="dxa"/>
            <w:vAlign w:val="bottom"/>
          </w:tcPr>
          <w:p>
            <w:pPr>
              <w:spacing w:after="0"/>
              <w:rPr>
                <w:sz w:val="1"/>
                <w:szCs w:val="1"/>
                <w:color w:val="auto"/>
              </w:rPr>
            </w:pPr>
          </w:p>
        </w:tc>
      </w:tr>
      <w:tr>
        <w:trPr>
          <w:trHeight w:val="260"/>
        </w:trPr>
        <w:tc>
          <w:tcPr>
            <w:tcW w:w="202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040" w:type="dxa"/>
            <w:vAlign w:val="bottom"/>
            <w:gridSpan w:val="5"/>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20" w:type="dxa"/>
            <w:vAlign w:val="bottom"/>
            <w:gridSpan w:val="2"/>
          </w:tcPr>
          <w:p>
            <w:pPr>
              <w:jc w:val="center"/>
              <w:ind w:right="440"/>
              <w:spacing w:after="0"/>
              <w:rPr>
                <w:sz w:val="20"/>
                <w:szCs w:val="20"/>
                <w:color w:val="auto"/>
              </w:rPr>
            </w:pPr>
            <w:r>
              <w:rPr>
                <w:rFonts w:ascii="Arial" w:cs="Arial" w:eastAsia="Arial" w:hAnsi="Arial"/>
                <w:sz w:val="17"/>
                <w:szCs w:val="17"/>
                <w:color w:val="auto"/>
                <w:w w:val="95"/>
              </w:rPr>
              <w:t>*31.1</w:t>
            </w:r>
          </w:p>
        </w:tc>
        <w:tc>
          <w:tcPr>
            <w:tcW w:w="8900" w:type="dxa"/>
            <w:vAlign w:val="bottom"/>
            <w:tcBorders>
              <w:bottom w:val="single" w:sz="8" w:color="0000FF"/>
            </w:tcBorders>
            <w:gridSpan w:val="4"/>
          </w:tcPr>
          <w:p>
            <w:pPr>
              <w:spacing w:after="0"/>
              <w:rPr>
                <w:rFonts w:ascii="Arial" w:cs="Arial" w:eastAsia="Arial" w:hAnsi="Arial"/>
                <w:sz w:val="17"/>
                <w:szCs w:val="17"/>
                <w:color w:val="0000FF"/>
                <w:w w:val="93"/>
              </w:rPr>
            </w:pPr>
            <w:hyperlink w:anchor="page66">
              <w:r>
                <w:rPr>
                  <w:rFonts w:ascii="Arial" w:cs="Arial" w:eastAsia="Arial" w:hAnsi="Arial"/>
                  <w:sz w:val="17"/>
                  <w:szCs w:val="17"/>
                  <w:color w:val="0000FF"/>
                  <w:w w:val="93"/>
                </w:rPr>
                <w:t>Certification of Periodic Financial Reports by Melvin C. Payne in satisfaction of Section 302 of the Sarbanes-Oxley Act of 2002.</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1"/>
        </w:trPr>
        <w:tc>
          <w:tcPr>
            <w:tcW w:w="2020" w:type="dxa"/>
            <w:vAlign w:val="bottom"/>
            <w:gridSpan w:val="2"/>
          </w:tcPr>
          <w:p>
            <w:pPr>
              <w:jc w:val="center"/>
              <w:ind w:right="440"/>
              <w:spacing w:after="0"/>
              <w:rPr>
                <w:sz w:val="20"/>
                <w:szCs w:val="20"/>
                <w:color w:val="auto"/>
              </w:rPr>
            </w:pPr>
            <w:r>
              <w:rPr>
                <w:rFonts w:ascii="Arial" w:cs="Arial" w:eastAsia="Arial" w:hAnsi="Arial"/>
                <w:sz w:val="17"/>
                <w:szCs w:val="17"/>
                <w:color w:val="auto"/>
                <w:w w:val="95"/>
              </w:rPr>
              <w:t>*31.2</w:t>
            </w:r>
          </w:p>
        </w:tc>
        <w:tc>
          <w:tcPr>
            <w:tcW w:w="9040" w:type="dxa"/>
            <w:vAlign w:val="bottom"/>
            <w:tcBorders>
              <w:bottom w:val="single" w:sz="8" w:color="0000FF"/>
            </w:tcBorders>
            <w:gridSpan w:val="5"/>
          </w:tcPr>
          <w:p>
            <w:pPr>
              <w:spacing w:after="0"/>
              <w:rPr>
                <w:rFonts w:ascii="Arial" w:cs="Arial" w:eastAsia="Arial" w:hAnsi="Arial"/>
                <w:sz w:val="17"/>
                <w:szCs w:val="17"/>
                <w:color w:val="0000FF"/>
                <w:w w:val="93"/>
              </w:rPr>
            </w:pPr>
            <w:hyperlink w:anchor="page67">
              <w:r>
                <w:rPr>
                  <w:rFonts w:ascii="Arial" w:cs="Arial" w:eastAsia="Arial" w:hAnsi="Arial"/>
                  <w:sz w:val="17"/>
                  <w:szCs w:val="17"/>
                  <w:color w:val="0000FF"/>
                  <w:w w:val="93"/>
                </w:rPr>
                <w:t>Certification of Periodic Financial Reports by C. Benjamin Brink in satisfaction of Section 302 of the Sarbanes-Oxley Act of 2002.</w:t>
              </w:r>
            </w:hyperlink>
          </w:p>
        </w:tc>
        <w:tc>
          <w:tcPr>
            <w:tcW w:w="0" w:type="dxa"/>
            <w:vAlign w:val="bottom"/>
          </w:tcPr>
          <w:p>
            <w:pPr>
              <w:spacing w:after="0"/>
              <w:rPr>
                <w:sz w:val="1"/>
                <w:szCs w:val="1"/>
                <w:color w:val="auto"/>
              </w:rPr>
            </w:pPr>
          </w:p>
        </w:tc>
      </w:tr>
      <w:tr>
        <w:trPr>
          <w:trHeight w:val="341"/>
        </w:trPr>
        <w:tc>
          <w:tcPr>
            <w:tcW w:w="2020" w:type="dxa"/>
            <w:vAlign w:val="bottom"/>
            <w:gridSpan w:val="2"/>
            <w:vMerge w:val="restart"/>
          </w:tcPr>
          <w:p>
            <w:pPr>
              <w:jc w:val="center"/>
              <w:ind w:right="440"/>
              <w:spacing w:after="0"/>
              <w:rPr>
                <w:sz w:val="20"/>
                <w:szCs w:val="20"/>
                <w:color w:val="auto"/>
              </w:rPr>
            </w:pPr>
            <w:r>
              <w:rPr>
                <w:rFonts w:ascii="Arial" w:cs="Arial" w:eastAsia="Arial" w:hAnsi="Arial"/>
                <w:sz w:val="17"/>
                <w:szCs w:val="17"/>
                <w:color w:val="auto"/>
              </w:rPr>
              <w:t>**32</w:t>
            </w:r>
          </w:p>
        </w:tc>
        <w:tc>
          <w:tcPr>
            <w:tcW w:w="9040" w:type="dxa"/>
            <w:vAlign w:val="bottom"/>
            <w:gridSpan w:val="5"/>
          </w:tcPr>
          <w:p>
            <w:pPr>
              <w:spacing w:after="0"/>
              <w:rPr>
                <w:rFonts w:ascii="Arial" w:cs="Arial" w:eastAsia="Arial" w:hAnsi="Arial"/>
                <w:sz w:val="17"/>
                <w:szCs w:val="17"/>
                <w:color w:val="0000FF"/>
                <w:w w:val="99"/>
              </w:rPr>
            </w:pPr>
            <w:hyperlink w:anchor="page68">
              <w:r>
                <w:rPr>
                  <w:rFonts w:ascii="Arial" w:cs="Arial" w:eastAsia="Arial" w:hAnsi="Arial"/>
                  <w:sz w:val="17"/>
                  <w:szCs w:val="17"/>
                  <w:color w:val="0000FF"/>
                  <w:w w:val="99"/>
                </w:rPr>
                <w:t>Certification of Periodic Financial Reports by Melvin C. Payne and C. Benjamin Brink in satisfaction of Section 906 of the</w:t>
              </w:r>
            </w:hyperlink>
          </w:p>
        </w:tc>
        <w:tc>
          <w:tcPr>
            <w:tcW w:w="0" w:type="dxa"/>
            <w:vAlign w:val="bottom"/>
          </w:tcPr>
          <w:p>
            <w:pPr>
              <w:spacing w:after="0"/>
              <w:rPr>
                <w:sz w:val="1"/>
                <w:szCs w:val="1"/>
                <w:color w:val="auto"/>
              </w:rPr>
            </w:pPr>
          </w:p>
        </w:tc>
      </w:tr>
      <w:tr>
        <w:trPr>
          <w:trHeight w:val="148"/>
        </w:trPr>
        <w:tc>
          <w:tcPr>
            <w:tcW w:w="2020" w:type="dxa"/>
            <w:vAlign w:val="bottom"/>
            <w:gridSpan w:val="2"/>
            <w:vMerge w:val="continue"/>
          </w:tcPr>
          <w:p>
            <w:pPr>
              <w:spacing w:after="0"/>
              <w:rPr>
                <w:sz w:val="12"/>
                <w:szCs w:val="12"/>
                <w:color w:val="auto"/>
              </w:rPr>
            </w:pPr>
          </w:p>
        </w:tc>
        <w:tc>
          <w:tcPr>
            <w:tcW w:w="8480" w:type="dxa"/>
            <w:vAlign w:val="bottom"/>
            <w:tcBorders>
              <w:top w:val="single" w:sz="8" w:color="0000FF"/>
            </w:tcBorders>
            <w:gridSpan w:val="3"/>
          </w:tcPr>
          <w:p>
            <w:pPr>
              <w:spacing w:after="0" w:line="148" w:lineRule="exact"/>
              <w:rPr>
                <w:rFonts w:ascii="Arial" w:cs="Arial" w:eastAsia="Arial" w:hAnsi="Arial"/>
                <w:sz w:val="17"/>
                <w:szCs w:val="17"/>
                <w:color w:val="0000FF"/>
              </w:rPr>
            </w:pPr>
            <w:hyperlink w:anchor="page68">
              <w:r>
                <w:rPr>
                  <w:rFonts w:ascii="Arial" w:cs="Arial" w:eastAsia="Arial" w:hAnsi="Arial"/>
                  <w:sz w:val="17"/>
                  <w:szCs w:val="17"/>
                  <w:color w:val="0000FF"/>
                </w:rPr>
                <w:t>Sarbanes-Oxley Act of 2002 and 18 U.S.C. Section 1350.</w:t>
              </w:r>
            </w:hyperlink>
          </w:p>
        </w:tc>
        <w:tc>
          <w:tcPr>
            <w:tcW w:w="5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20" w:type="dxa"/>
            <w:vAlign w:val="bottom"/>
            <w:gridSpan w:val="2"/>
          </w:tcPr>
          <w:p>
            <w:pPr>
              <w:spacing w:after="0" w:line="20" w:lineRule="exact"/>
              <w:rPr>
                <w:sz w:val="1"/>
                <w:szCs w:val="1"/>
                <w:color w:val="auto"/>
              </w:rPr>
            </w:pPr>
          </w:p>
        </w:tc>
        <w:tc>
          <w:tcPr>
            <w:tcW w:w="3960" w:type="dxa"/>
            <w:vAlign w:val="bottom"/>
            <w:gridSpan w:val="2"/>
            <w:shd w:val="clear" w:color="auto" w:fill="0000FF"/>
          </w:tcPr>
          <w:p>
            <w:pPr>
              <w:spacing w:after="0" w:line="20" w:lineRule="exact"/>
              <w:rPr>
                <w:sz w:val="1"/>
                <w:szCs w:val="1"/>
                <w:color w:val="auto"/>
              </w:rPr>
            </w:pPr>
          </w:p>
        </w:tc>
        <w:tc>
          <w:tcPr>
            <w:tcW w:w="5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2020" w:type="dxa"/>
            <w:vAlign w:val="bottom"/>
            <w:gridSpan w:val="2"/>
          </w:tcPr>
          <w:p>
            <w:pPr>
              <w:jc w:val="center"/>
              <w:ind w:right="440"/>
              <w:spacing w:after="0"/>
              <w:rPr>
                <w:sz w:val="20"/>
                <w:szCs w:val="20"/>
                <w:color w:val="auto"/>
              </w:rPr>
            </w:pPr>
            <w:r>
              <w:rPr>
                <w:rFonts w:ascii="Arial" w:cs="Arial" w:eastAsia="Arial" w:hAnsi="Arial"/>
                <w:sz w:val="17"/>
                <w:szCs w:val="17"/>
                <w:color w:val="auto"/>
                <w:w w:val="96"/>
              </w:rPr>
              <w:t>*101.INS</w:t>
            </w:r>
          </w:p>
        </w:tc>
        <w:tc>
          <w:tcPr>
            <w:tcW w:w="9040" w:type="dxa"/>
            <w:vAlign w:val="bottom"/>
            <w:gridSpan w:val="5"/>
          </w:tcPr>
          <w:p>
            <w:pPr>
              <w:spacing w:after="0"/>
              <w:rPr>
                <w:sz w:val="20"/>
                <w:szCs w:val="20"/>
                <w:color w:val="auto"/>
              </w:rPr>
            </w:pPr>
            <w:r>
              <w:rPr>
                <w:rFonts w:ascii="Arial" w:cs="Arial" w:eastAsia="Arial" w:hAnsi="Arial"/>
                <w:sz w:val="17"/>
                <w:szCs w:val="17"/>
                <w:color w:val="auto"/>
                <w:w w:val="91"/>
              </w:rPr>
              <w:t>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17"/>
        </w:trPr>
        <w:tc>
          <w:tcPr>
            <w:tcW w:w="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40" w:type="dxa"/>
            <w:vAlign w:val="bottom"/>
            <w:gridSpan w:val="5"/>
          </w:tcPr>
          <w:p>
            <w:pPr>
              <w:spacing w:after="0"/>
              <w:rPr>
                <w:sz w:val="20"/>
                <w:szCs w:val="20"/>
                <w:color w:val="auto"/>
              </w:rPr>
            </w:pPr>
            <w:r>
              <w:rPr>
                <w:rFonts w:ascii="Arial" w:cs="Arial" w:eastAsia="Arial" w:hAnsi="Arial"/>
                <w:sz w:val="17"/>
                <w:szCs w:val="17"/>
                <w:color w:val="auto"/>
              </w:rPr>
              <w:t>within the Inline XBRL document.</w:t>
            </w:r>
          </w:p>
        </w:tc>
        <w:tc>
          <w:tcPr>
            <w:tcW w:w="0" w:type="dxa"/>
            <w:vAlign w:val="bottom"/>
          </w:tcPr>
          <w:p>
            <w:pPr>
              <w:spacing w:after="0"/>
              <w:rPr>
                <w:sz w:val="1"/>
                <w:szCs w:val="1"/>
                <w:color w:val="auto"/>
              </w:rPr>
            </w:pPr>
          </w:p>
        </w:tc>
      </w:tr>
      <w:tr>
        <w:trPr>
          <w:trHeight w:val="361"/>
        </w:trPr>
        <w:tc>
          <w:tcPr>
            <w:tcW w:w="2020" w:type="dxa"/>
            <w:vAlign w:val="bottom"/>
            <w:gridSpan w:val="2"/>
          </w:tcPr>
          <w:p>
            <w:pPr>
              <w:jc w:val="center"/>
              <w:ind w:right="420"/>
              <w:spacing w:after="0"/>
              <w:rPr>
                <w:sz w:val="20"/>
                <w:szCs w:val="20"/>
                <w:color w:val="auto"/>
              </w:rPr>
            </w:pPr>
            <w:r>
              <w:rPr>
                <w:rFonts w:ascii="Arial" w:cs="Arial" w:eastAsia="Arial" w:hAnsi="Arial"/>
                <w:sz w:val="17"/>
                <w:szCs w:val="17"/>
                <w:color w:val="auto"/>
                <w:w w:val="95"/>
              </w:rPr>
              <w:t>*101.SCH</w:t>
            </w:r>
          </w:p>
        </w:tc>
        <w:tc>
          <w:tcPr>
            <w:tcW w:w="9040" w:type="dxa"/>
            <w:vAlign w:val="bottom"/>
            <w:gridSpan w:val="5"/>
          </w:tcPr>
          <w:p>
            <w:pPr>
              <w:spacing w:after="0"/>
              <w:rPr>
                <w:sz w:val="20"/>
                <w:szCs w:val="20"/>
                <w:color w:val="auto"/>
              </w:rPr>
            </w:pPr>
            <w:r>
              <w:rPr>
                <w:rFonts w:ascii="Arial" w:cs="Arial" w:eastAsia="Arial" w:hAnsi="Arial"/>
                <w:sz w:val="17"/>
                <w:szCs w:val="17"/>
                <w:color w:val="auto"/>
              </w:rPr>
              <w:t>Inline XBRL Taxonomy Extension Schema Documents.</w:t>
            </w:r>
          </w:p>
        </w:tc>
        <w:tc>
          <w:tcPr>
            <w:tcW w:w="0" w:type="dxa"/>
            <w:vAlign w:val="bottom"/>
          </w:tcPr>
          <w:p>
            <w:pPr>
              <w:spacing w:after="0"/>
              <w:rPr>
                <w:sz w:val="1"/>
                <w:szCs w:val="1"/>
                <w:color w:val="auto"/>
              </w:rPr>
            </w:pPr>
          </w:p>
        </w:tc>
      </w:tr>
      <w:tr>
        <w:trPr>
          <w:trHeight w:val="361"/>
        </w:trPr>
        <w:tc>
          <w:tcPr>
            <w:tcW w:w="2020" w:type="dxa"/>
            <w:vAlign w:val="bottom"/>
            <w:gridSpan w:val="2"/>
          </w:tcPr>
          <w:p>
            <w:pPr>
              <w:jc w:val="center"/>
              <w:ind w:right="420"/>
              <w:spacing w:after="0"/>
              <w:rPr>
                <w:sz w:val="20"/>
                <w:szCs w:val="20"/>
                <w:color w:val="auto"/>
              </w:rPr>
            </w:pPr>
            <w:r>
              <w:rPr>
                <w:rFonts w:ascii="Arial" w:cs="Arial" w:eastAsia="Arial" w:hAnsi="Arial"/>
                <w:sz w:val="17"/>
                <w:szCs w:val="17"/>
                <w:color w:val="auto"/>
                <w:w w:val="98"/>
              </w:rPr>
              <w:t>*101.CAL</w:t>
            </w:r>
          </w:p>
        </w:tc>
        <w:tc>
          <w:tcPr>
            <w:tcW w:w="9040" w:type="dxa"/>
            <w:vAlign w:val="bottom"/>
            <w:gridSpan w:val="5"/>
          </w:tcPr>
          <w:p>
            <w:pPr>
              <w:spacing w:after="0"/>
              <w:rPr>
                <w:sz w:val="20"/>
                <w:szCs w:val="20"/>
                <w:color w:val="auto"/>
              </w:rPr>
            </w:pPr>
            <w:r>
              <w:rPr>
                <w:rFonts w:ascii="Arial" w:cs="Arial" w:eastAsia="Arial" w:hAnsi="Arial"/>
                <w:sz w:val="17"/>
                <w:szCs w:val="17"/>
                <w:color w:val="auto"/>
              </w:rPr>
              <w:t>Inline XBRL Taxonomy Extension Calculation Linkbase Document.</w:t>
            </w:r>
          </w:p>
        </w:tc>
        <w:tc>
          <w:tcPr>
            <w:tcW w:w="0" w:type="dxa"/>
            <w:vAlign w:val="bottom"/>
          </w:tcPr>
          <w:p>
            <w:pPr>
              <w:spacing w:after="0"/>
              <w:rPr>
                <w:sz w:val="1"/>
                <w:szCs w:val="1"/>
                <w:color w:val="auto"/>
              </w:rPr>
            </w:pPr>
          </w:p>
        </w:tc>
      </w:tr>
      <w:tr>
        <w:trPr>
          <w:trHeight w:val="361"/>
        </w:trPr>
        <w:tc>
          <w:tcPr>
            <w:tcW w:w="2020" w:type="dxa"/>
            <w:vAlign w:val="bottom"/>
            <w:gridSpan w:val="2"/>
          </w:tcPr>
          <w:p>
            <w:pPr>
              <w:jc w:val="center"/>
              <w:ind w:right="420"/>
              <w:spacing w:after="0"/>
              <w:rPr>
                <w:sz w:val="20"/>
                <w:szCs w:val="20"/>
                <w:color w:val="auto"/>
              </w:rPr>
            </w:pPr>
            <w:r>
              <w:rPr>
                <w:rFonts w:ascii="Arial" w:cs="Arial" w:eastAsia="Arial" w:hAnsi="Arial"/>
                <w:sz w:val="17"/>
                <w:szCs w:val="17"/>
                <w:color w:val="auto"/>
              </w:rPr>
              <w:t>*101.LAB</w:t>
            </w:r>
          </w:p>
        </w:tc>
        <w:tc>
          <w:tcPr>
            <w:tcW w:w="9040" w:type="dxa"/>
            <w:vAlign w:val="bottom"/>
            <w:gridSpan w:val="5"/>
          </w:tcPr>
          <w:p>
            <w:pPr>
              <w:spacing w:after="0"/>
              <w:rPr>
                <w:sz w:val="20"/>
                <w:szCs w:val="20"/>
                <w:color w:val="auto"/>
              </w:rPr>
            </w:pPr>
            <w:r>
              <w:rPr>
                <w:rFonts w:ascii="Arial" w:cs="Arial" w:eastAsia="Arial" w:hAnsi="Arial"/>
                <w:sz w:val="17"/>
                <w:szCs w:val="17"/>
                <w:color w:val="auto"/>
              </w:rPr>
              <w:t>Inline XBRL Taxonomy Extension Label Linkbase Document.</w:t>
            </w:r>
          </w:p>
        </w:tc>
        <w:tc>
          <w:tcPr>
            <w:tcW w:w="0" w:type="dxa"/>
            <w:vAlign w:val="bottom"/>
          </w:tcPr>
          <w:p>
            <w:pPr>
              <w:spacing w:after="0"/>
              <w:rPr>
                <w:sz w:val="1"/>
                <w:szCs w:val="1"/>
                <w:color w:val="auto"/>
              </w:rPr>
            </w:pPr>
          </w:p>
        </w:tc>
      </w:tr>
      <w:tr>
        <w:trPr>
          <w:trHeight w:val="361"/>
        </w:trPr>
        <w:tc>
          <w:tcPr>
            <w:tcW w:w="2020" w:type="dxa"/>
            <w:vAlign w:val="bottom"/>
            <w:gridSpan w:val="2"/>
          </w:tcPr>
          <w:p>
            <w:pPr>
              <w:jc w:val="center"/>
              <w:ind w:right="440"/>
              <w:spacing w:after="0"/>
              <w:rPr>
                <w:sz w:val="20"/>
                <w:szCs w:val="20"/>
                <w:color w:val="auto"/>
              </w:rPr>
            </w:pPr>
            <w:r>
              <w:rPr>
                <w:rFonts w:ascii="Arial" w:cs="Arial" w:eastAsia="Arial" w:hAnsi="Arial"/>
                <w:sz w:val="17"/>
                <w:szCs w:val="17"/>
                <w:color w:val="auto"/>
                <w:w w:val="93"/>
              </w:rPr>
              <w:t>*101.PRE</w:t>
            </w:r>
          </w:p>
        </w:tc>
        <w:tc>
          <w:tcPr>
            <w:tcW w:w="9040" w:type="dxa"/>
            <w:vAlign w:val="bottom"/>
            <w:gridSpan w:val="5"/>
          </w:tcPr>
          <w:p>
            <w:pPr>
              <w:spacing w:after="0"/>
              <w:rPr>
                <w:sz w:val="20"/>
                <w:szCs w:val="20"/>
                <w:color w:val="auto"/>
              </w:rPr>
            </w:pPr>
            <w:r>
              <w:rPr>
                <w:rFonts w:ascii="Arial" w:cs="Arial" w:eastAsia="Arial" w:hAnsi="Arial"/>
                <w:sz w:val="17"/>
                <w:szCs w:val="17"/>
                <w:color w:val="auto"/>
              </w:rPr>
              <w:t>Inline XBRL Taxonomy Extension Presentation Linkbase Document.</w:t>
            </w:r>
          </w:p>
        </w:tc>
        <w:tc>
          <w:tcPr>
            <w:tcW w:w="0" w:type="dxa"/>
            <w:vAlign w:val="bottom"/>
          </w:tcPr>
          <w:p>
            <w:pPr>
              <w:spacing w:after="0"/>
              <w:rPr>
                <w:sz w:val="1"/>
                <w:szCs w:val="1"/>
                <w:color w:val="auto"/>
              </w:rPr>
            </w:pPr>
          </w:p>
        </w:tc>
      </w:tr>
      <w:tr>
        <w:trPr>
          <w:trHeight w:val="361"/>
        </w:trPr>
        <w:tc>
          <w:tcPr>
            <w:tcW w:w="2020" w:type="dxa"/>
            <w:vAlign w:val="bottom"/>
            <w:gridSpan w:val="2"/>
          </w:tcPr>
          <w:p>
            <w:pPr>
              <w:jc w:val="center"/>
              <w:ind w:right="420"/>
              <w:spacing w:after="0"/>
              <w:rPr>
                <w:sz w:val="20"/>
                <w:szCs w:val="20"/>
                <w:color w:val="auto"/>
              </w:rPr>
            </w:pPr>
            <w:r>
              <w:rPr>
                <w:rFonts w:ascii="Arial" w:cs="Arial" w:eastAsia="Arial" w:hAnsi="Arial"/>
                <w:sz w:val="17"/>
                <w:szCs w:val="17"/>
                <w:color w:val="auto"/>
                <w:w w:val="97"/>
              </w:rPr>
              <w:t>*101.DEF</w:t>
            </w:r>
          </w:p>
        </w:tc>
        <w:tc>
          <w:tcPr>
            <w:tcW w:w="9040" w:type="dxa"/>
            <w:vAlign w:val="bottom"/>
            <w:gridSpan w:val="5"/>
          </w:tcPr>
          <w:p>
            <w:pPr>
              <w:spacing w:after="0"/>
              <w:rPr>
                <w:sz w:val="20"/>
                <w:szCs w:val="20"/>
                <w:color w:val="auto"/>
              </w:rPr>
            </w:pPr>
            <w:r>
              <w:rPr>
                <w:rFonts w:ascii="Arial" w:cs="Arial" w:eastAsia="Arial" w:hAnsi="Arial"/>
                <w:sz w:val="17"/>
                <w:szCs w:val="17"/>
                <w:color w:val="auto"/>
              </w:rPr>
              <w:t>Inline XBRL Taxonomy Extension Definition Linkbase Document.</w:t>
            </w:r>
          </w:p>
        </w:tc>
        <w:tc>
          <w:tcPr>
            <w:tcW w:w="0" w:type="dxa"/>
            <w:vAlign w:val="bottom"/>
          </w:tcPr>
          <w:p>
            <w:pPr>
              <w:spacing w:after="0"/>
              <w:rPr>
                <w:sz w:val="1"/>
                <w:szCs w:val="1"/>
                <w:color w:val="auto"/>
              </w:rPr>
            </w:pPr>
          </w:p>
        </w:tc>
      </w:tr>
      <w:tr>
        <w:trPr>
          <w:trHeight w:val="361"/>
        </w:trPr>
        <w:tc>
          <w:tcPr>
            <w:tcW w:w="2020" w:type="dxa"/>
            <w:vAlign w:val="bottom"/>
            <w:gridSpan w:val="2"/>
          </w:tcPr>
          <w:p>
            <w:pPr>
              <w:jc w:val="center"/>
              <w:ind w:right="440"/>
              <w:spacing w:after="0"/>
              <w:rPr>
                <w:sz w:val="20"/>
                <w:szCs w:val="20"/>
                <w:color w:val="auto"/>
              </w:rPr>
            </w:pPr>
            <w:r>
              <w:rPr>
                <w:rFonts w:ascii="Arial" w:cs="Arial" w:eastAsia="Arial" w:hAnsi="Arial"/>
                <w:sz w:val="17"/>
                <w:szCs w:val="17"/>
                <w:color w:val="auto"/>
                <w:w w:val="97"/>
              </w:rPr>
              <w:t>*104</w:t>
            </w:r>
          </w:p>
        </w:tc>
        <w:tc>
          <w:tcPr>
            <w:tcW w:w="9040" w:type="dxa"/>
            <w:vAlign w:val="bottom"/>
            <w:gridSpan w:val="5"/>
          </w:tcPr>
          <w:p>
            <w:pPr>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577"/>
        </w:trPr>
        <w:tc>
          <w:tcPr>
            <w:tcW w:w="2020" w:type="dxa"/>
            <w:vAlign w:val="bottom"/>
            <w:gridSpan w:val="2"/>
          </w:tcPr>
          <w:p>
            <w:pPr>
              <w:spacing w:after="0"/>
              <w:rPr>
                <w:sz w:val="20"/>
                <w:szCs w:val="20"/>
                <w:color w:val="auto"/>
              </w:rPr>
            </w:pPr>
            <w:r>
              <w:rPr>
                <w:rFonts w:ascii="Arial" w:cs="Arial" w:eastAsia="Arial" w:hAnsi="Arial"/>
                <w:sz w:val="15"/>
                <w:szCs w:val="15"/>
                <w:color w:val="auto"/>
              </w:rPr>
              <w:t>__________________</w:t>
            </w:r>
          </w:p>
        </w:tc>
        <w:tc>
          <w:tcPr>
            <w:tcW w:w="6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660" w:hanging="660"/>
        <w:spacing w:after="0"/>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24" w:lineRule="exact"/>
        <w:rPr>
          <w:sz w:val="20"/>
          <w:szCs w:val="20"/>
          <w:color w:val="auto"/>
        </w:rPr>
      </w:pPr>
    </w:p>
    <w:p>
      <w:pPr>
        <w:ind w:left="660" w:hanging="660"/>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Furnished herewith.</w:t>
      </w:r>
    </w:p>
    <w:p>
      <w:pPr>
        <w:spacing w:after="0" w:line="24" w:lineRule="exact"/>
        <w:rPr>
          <w:sz w:val="20"/>
          <w:szCs w:val="20"/>
          <w:color w:val="auto"/>
        </w:rPr>
      </w:pPr>
    </w:p>
    <w:p>
      <w:pPr>
        <w:ind w:left="660" w:hanging="660"/>
        <w:spacing w:after="0"/>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- 65 -</w:t>
      </w:r>
    </w:p>
    <w:p>
      <w:pPr>
        <w:sectPr>
          <w:pgSz w:w="11900" w:h="16838" w:orient="portrait"/>
          <w:cols w:equalWidth="0" w:num="1">
            <w:col w:w="11080"/>
          </w:cols>
          <w:pgMar w:left="340" w:top="857" w:right="479" w:bottom="1440" w:gutter="0" w:footer="0" w:header="0"/>
        </w:sectPr>
      </w:pPr>
    </w:p>
    <w:bookmarkStart w:id="65" w:name="page66"/>
    <w:bookmarkEnd w:id="65"/>
    <w:p>
      <w:pPr>
        <w:ind w:left="10120"/>
        <w:spacing w:after="0"/>
        <w:rPr>
          <w:sz w:val="20"/>
          <w:szCs w:val="20"/>
          <w:color w:val="auto"/>
        </w:rPr>
      </w:pPr>
      <w:r>
        <w:rPr>
          <w:rFonts w:ascii="Arial" w:cs="Arial" w:eastAsia="Arial" w:hAnsi="Arial"/>
          <w:sz w:val="18"/>
          <w:szCs w:val="18"/>
          <w:b w:val="1"/>
          <w:bCs w:val="1"/>
          <w:color w:val="auto"/>
        </w:rPr>
        <w:t>EXHIBIT 31.1</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 Melvin C. Payne, certify that:</w:t>
      </w:r>
    </w:p>
    <w:p>
      <w:pPr>
        <w:spacing w:after="0" w:line="74" w:lineRule="exact"/>
        <w:rPr>
          <w:sz w:val="20"/>
          <w:szCs w:val="20"/>
          <w:color w:val="auto"/>
        </w:rPr>
      </w:pPr>
    </w:p>
    <w:p>
      <w:pPr>
        <w:ind w:left="1160" w:hanging="615"/>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report on Form 10-Q of Carriage Services, Inc. (the “registrant”);</w:t>
      </w:r>
    </w:p>
    <w:p>
      <w:pPr>
        <w:spacing w:after="0" w:line="76" w:lineRule="exact"/>
        <w:rPr>
          <w:rFonts w:ascii="Arial" w:cs="Arial" w:eastAsia="Arial" w:hAnsi="Arial"/>
          <w:sz w:val="18"/>
          <w:szCs w:val="18"/>
          <w:color w:val="auto"/>
        </w:rPr>
      </w:pPr>
    </w:p>
    <w:p>
      <w:pPr>
        <w:jc w:val="both"/>
        <w:ind w:left="1160" w:hanging="615"/>
        <w:spacing w:after="0" w:line="253" w:lineRule="auto"/>
        <w:tabs>
          <w:tab w:leader="none" w:pos="1154"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Arial" w:cs="Arial" w:eastAsia="Arial" w:hAnsi="Arial"/>
          <w:sz w:val="18"/>
          <w:szCs w:val="18"/>
          <w:color w:val="auto"/>
        </w:rPr>
      </w:pPr>
    </w:p>
    <w:p>
      <w:pPr>
        <w:ind w:left="1160" w:hanging="615"/>
        <w:spacing w:after="0" w:line="328" w:lineRule="auto"/>
        <w:tabs>
          <w:tab w:leader="none" w:pos="1154"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1160" w:hanging="615"/>
        <w:spacing w:after="0" w:line="279" w:lineRule="auto"/>
        <w:tabs>
          <w:tab w:leader="none" w:pos="1154"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60" w:lineRule="exact"/>
        <w:rPr>
          <w:rFonts w:ascii="Arial" w:cs="Arial" w:eastAsia="Arial" w:hAnsi="Arial"/>
          <w:sz w:val="16"/>
          <w:szCs w:val="16"/>
          <w:color w:val="auto"/>
        </w:rPr>
      </w:pPr>
    </w:p>
    <w:p>
      <w:pPr>
        <w:jc w:val="both"/>
        <w:ind w:left="2400" w:hanging="461"/>
        <w:spacing w:after="0" w:line="248" w:lineRule="auto"/>
        <w:tabs>
          <w:tab w:leader="none" w:pos="2396"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8"/>
          <w:szCs w:val="18"/>
          <w:color w:val="auto"/>
        </w:rPr>
      </w:pPr>
    </w:p>
    <w:p>
      <w:pPr>
        <w:jc w:val="both"/>
        <w:ind w:left="2400" w:hanging="461"/>
        <w:spacing w:after="0" w:line="300" w:lineRule="auto"/>
        <w:tabs>
          <w:tab w:leader="none" w:pos="2394"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6"/>
          <w:szCs w:val="16"/>
          <w:color w:val="auto"/>
        </w:rPr>
      </w:pPr>
    </w:p>
    <w:p>
      <w:pPr>
        <w:jc w:val="both"/>
        <w:ind w:left="2400" w:hanging="461"/>
        <w:spacing w:after="0" w:line="253" w:lineRule="auto"/>
        <w:tabs>
          <w:tab w:leader="none" w:pos="2396"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8"/>
          <w:szCs w:val="18"/>
          <w:color w:val="auto"/>
        </w:rPr>
      </w:pPr>
    </w:p>
    <w:p>
      <w:pPr>
        <w:jc w:val="both"/>
        <w:ind w:left="2400" w:hanging="461"/>
        <w:spacing w:after="0" w:line="248" w:lineRule="auto"/>
        <w:tabs>
          <w:tab w:leader="none" w:pos="2394"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jc w:val="both"/>
        <w:ind w:left="1160" w:hanging="615"/>
        <w:spacing w:after="0" w:line="253" w:lineRule="auto"/>
        <w:tabs>
          <w:tab w:leader="none" w:pos="115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Arial" w:cs="Arial" w:eastAsia="Arial" w:hAnsi="Arial"/>
          <w:sz w:val="18"/>
          <w:szCs w:val="18"/>
          <w:color w:val="auto"/>
        </w:rPr>
      </w:pPr>
    </w:p>
    <w:p>
      <w:pPr>
        <w:jc w:val="both"/>
        <w:ind w:left="2400" w:hanging="461"/>
        <w:spacing w:after="0" w:line="253" w:lineRule="auto"/>
        <w:tabs>
          <w:tab w:leader="none" w:pos="2396"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8"/>
          <w:szCs w:val="18"/>
          <w:color w:val="auto"/>
        </w:rPr>
      </w:pPr>
    </w:p>
    <w:p>
      <w:pPr>
        <w:ind w:left="2400" w:hanging="461"/>
        <w:spacing w:after="0" w:line="267" w:lineRule="auto"/>
        <w:tabs>
          <w:tab w:leader="none" w:pos="2394"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p>
      <w:pPr>
        <w:ind w:left="40"/>
        <w:spacing w:after="0"/>
        <w:tabs>
          <w:tab w:leader="none" w:pos="820" w:val="left"/>
          <w:tab w:leader="none" w:pos="49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11/3/21</w:t>
      </w:r>
      <w:r>
        <w:rPr>
          <w:sz w:val="20"/>
          <w:szCs w:val="20"/>
          <w:color w:val="auto"/>
        </w:rPr>
        <w:tab/>
      </w:r>
      <w:r>
        <w:rPr>
          <w:rFonts w:ascii="Arial" w:cs="Arial" w:eastAsia="Arial" w:hAnsi="Arial"/>
          <w:sz w:val="16"/>
          <w:szCs w:val="16"/>
          <w:color w:val="auto"/>
        </w:rPr>
        <w:t>/s/ Melvin C.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22225</wp:posOffset>
            </wp:positionV>
            <wp:extent cx="400748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007485" cy="8255"/>
                    </a:xfrm>
                    <a:prstGeom prst="rect">
                      <a:avLst/>
                    </a:prstGeom>
                    <a:noFill/>
                  </pic:spPr>
                </pic:pic>
              </a:graphicData>
            </a:graphic>
          </wp:anchor>
        </w:drawing>
      </w:r>
    </w:p>
    <w:p>
      <w:pPr>
        <w:spacing w:after="0" w:line="18"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Melvin C. Payne</w:t>
      </w:r>
    </w:p>
    <w:p>
      <w:pPr>
        <w:spacing w:after="0" w:line="2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Chief Executive Officer and Chairman of the Board</w:t>
      </w:r>
    </w:p>
    <w:p>
      <w:pPr>
        <w:spacing w:after="0" w:line="2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49" w:right="339" w:bottom="1440" w:gutter="0" w:footer="0" w:header="0"/>
        </w:sectPr>
      </w:pPr>
    </w:p>
    <w:bookmarkStart w:id="66" w:name="page67"/>
    <w:bookmarkEnd w:id="66"/>
    <w:p>
      <w:pPr>
        <w:ind w:left="10120"/>
        <w:spacing w:after="0"/>
        <w:rPr>
          <w:sz w:val="20"/>
          <w:szCs w:val="20"/>
          <w:color w:val="auto"/>
        </w:rPr>
      </w:pPr>
      <w:r>
        <w:rPr>
          <w:rFonts w:ascii="Arial" w:cs="Arial" w:eastAsia="Arial" w:hAnsi="Arial"/>
          <w:sz w:val="18"/>
          <w:szCs w:val="18"/>
          <w:b w:val="1"/>
          <w:bCs w:val="1"/>
          <w:color w:val="auto"/>
        </w:rPr>
        <w:t>EXHIBIT 31.2</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 C. Benjamin Brink, certify that:</w:t>
      </w:r>
    </w:p>
    <w:p>
      <w:pPr>
        <w:spacing w:after="0" w:line="74" w:lineRule="exact"/>
        <w:rPr>
          <w:sz w:val="20"/>
          <w:szCs w:val="20"/>
          <w:color w:val="auto"/>
        </w:rPr>
      </w:pPr>
    </w:p>
    <w:p>
      <w:pPr>
        <w:ind w:left="1160" w:hanging="615"/>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report on Form 10-Q of Carriage Services, Inc. (the “registrant”);</w:t>
      </w:r>
    </w:p>
    <w:p>
      <w:pPr>
        <w:spacing w:after="0" w:line="76" w:lineRule="exact"/>
        <w:rPr>
          <w:rFonts w:ascii="Arial" w:cs="Arial" w:eastAsia="Arial" w:hAnsi="Arial"/>
          <w:sz w:val="18"/>
          <w:szCs w:val="18"/>
          <w:color w:val="auto"/>
        </w:rPr>
      </w:pPr>
    </w:p>
    <w:p>
      <w:pPr>
        <w:jc w:val="both"/>
        <w:ind w:left="1160" w:hanging="615"/>
        <w:spacing w:after="0" w:line="253" w:lineRule="auto"/>
        <w:tabs>
          <w:tab w:leader="none" w:pos="1154"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Arial" w:cs="Arial" w:eastAsia="Arial" w:hAnsi="Arial"/>
          <w:sz w:val="18"/>
          <w:szCs w:val="18"/>
          <w:color w:val="auto"/>
        </w:rPr>
      </w:pPr>
    </w:p>
    <w:p>
      <w:pPr>
        <w:ind w:left="1160" w:hanging="615"/>
        <w:spacing w:after="0" w:line="328" w:lineRule="auto"/>
        <w:tabs>
          <w:tab w:leader="none" w:pos="1154"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1160" w:hanging="615"/>
        <w:spacing w:after="0" w:line="279" w:lineRule="auto"/>
        <w:tabs>
          <w:tab w:leader="none" w:pos="1154"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60" w:lineRule="exact"/>
        <w:rPr>
          <w:rFonts w:ascii="Arial" w:cs="Arial" w:eastAsia="Arial" w:hAnsi="Arial"/>
          <w:sz w:val="16"/>
          <w:szCs w:val="16"/>
          <w:color w:val="auto"/>
        </w:rPr>
      </w:pPr>
    </w:p>
    <w:p>
      <w:pPr>
        <w:jc w:val="both"/>
        <w:ind w:left="2400" w:hanging="461"/>
        <w:spacing w:after="0" w:line="248" w:lineRule="auto"/>
        <w:tabs>
          <w:tab w:leader="none" w:pos="2396"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8"/>
          <w:szCs w:val="18"/>
          <w:color w:val="auto"/>
        </w:rPr>
      </w:pPr>
    </w:p>
    <w:p>
      <w:pPr>
        <w:jc w:val="both"/>
        <w:ind w:left="2400" w:hanging="461"/>
        <w:spacing w:after="0" w:line="300" w:lineRule="auto"/>
        <w:tabs>
          <w:tab w:leader="none" w:pos="2394" w:val="left"/>
        </w:tabs>
        <w:numPr>
          <w:ilvl w:val="1"/>
          <w:numId w:val="4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6"/>
          <w:szCs w:val="16"/>
          <w:color w:val="auto"/>
        </w:rPr>
      </w:pPr>
    </w:p>
    <w:p>
      <w:pPr>
        <w:jc w:val="both"/>
        <w:ind w:left="2400" w:hanging="461"/>
        <w:spacing w:after="0" w:line="253" w:lineRule="auto"/>
        <w:tabs>
          <w:tab w:leader="none" w:pos="2396"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8"/>
          <w:szCs w:val="18"/>
          <w:color w:val="auto"/>
        </w:rPr>
      </w:pPr>
    </w:p>
    <w:p>
      <w:pPr>
        <w:jc w:val="both"/>
        <w:ind w:left="2400" w:hanging="461"/>
        <w:spacing w:after="0" w:line="248" w:lineRule="auto"/>
        <w:tabs>
          <w:tab w:leader="none" w:pos="2394"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jc w:val="both"/>
        <w:ind w:left="1160" w:hanging="615"/>
        <w:spacing w:after="0" w:line="253" w:lineRule="auto"/>
        <w:tabs>
          <w:tab w:leader="none" w:pos="115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Arial" w:cs="Arial" w:eastAsia="Arial" w:hAnsi="Arial"/>
          <w:sz w:val="18"/>
          <w:szCs w:val="18"/>
          <w:color w:val="auto"/>
        </w:rPr>
      </w:pPr>
    </w:p>
    <w:p>
      <w:pPr>
        <w:jc w:val="both"/>
        <w:ind w:left="2400" w:hanging="461"/>
        <w:spacing w:after="0" w:line="253" w:lineRule="auto"/>
        <w:tabs>
          <w:tab w:leader="none" w:pos="2396"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8"/>
          <w:szCs w:val="18"/>
          <w:color w:val="auto"/>
        </w:rPr>
      </w:pPr>
    </w:p>
    <w:p>
      <w:pPr>
        <w:ind w:left="2400" w:hanging="461"/>
        <w:spacing w:after="0" w:line="267" w:lineRule="auto"/>
        <w:tabs>
          <w:tab w:leader="none" w:pos="2394"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p>
      <w:pPr>
        <w:ind w:left="40"/>
        <w:spacing w:after="0"/>
        <w:tabs>
          <w:tab w:leader="none" w:pos="760" w:val="left"/>
          <w:tab w:leader="none" w:pos="4920" w:val="left"/>
        </w:tabs>
        <w:rPr>
          <w:sz w:val="20"/>
          <w:szCs w:val="20"/>
          <w:color w:val="auto"/>
        </w:rPr>
      </w:pPr>
      <w:r>
        <w:rPr>
          <w:rFonts w:ascii="Arial" w:cs="Arial" w:eastAsia="Arial" w:hAnsi="Arial"/>
          <w:sz w:val="18"/>
          <w:szCs w:val="18"/>
          <w:color w:val="auto"/>
        </w:rPr>
        <w:t>Dated:</w:t>
        <w:tab/>
        <w:t>11/3/21</w:t>
      </w:r>
      <w:r>
        <w:rPr>
          <w:sz w:val="20"/>
          <w:szCs w:val="20"/>
          <w:color w:val="auto"/>
        </w:rPr>
        <w:tab/>
      </w:r>
      <w:r>
        <w:rPr>
          <w:rFonts w:ascii="Arial" w:cs="Arial" w:eastAsia="Arial" w:hAnsi="Arial"/>
          <w:sz w:val="16"/>
          <w:szCs w:val="16"/>
          <w:color w:val="auto"/>
        </w:rPr>
        <w:t>/s/ C. Benjamin Brink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22225</wp:posOffset>
            </wp:positionV>
            <wp:extent cx="400748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007485" cy="8255"/>
                    </a:xfrm>
                    <a:prstGeom prst="rect">
                      <a:avLst/>
                    </a:prstGeom>
                    <a:noFill/>
                  </pic:spPr>
                </pic:pic>
              </a:graphicData>
            </a:graphic>
          </wp:anchor>
        </w:drawing>
      </w:r>
    </w:p>
    <w:p>
      <w:pPr>
        <w:spacing w:after="0" w:line="18"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 Benjamin Brink</w:t>
      </w:r>
    </w:p>
    <w:p>
      <w:pPr>
        <w:spacing w:after="0" w:line="2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49"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Chief Financial Officer</w:t>
      </w:r>
    </w:p>
    <w:p>
      <w:pPr>
        <w:jc w:val="center"/>
        <w:spacing w:after="0"/>
        <w:rPr>
          <w:sz w:val="20"/>
          <w:szCs w:val="20"/>
          <w:color w:val="auto"/>
        </w:rPr>
      </w:pPr>
      <w:r>
        <w:rPr>
          <w:rFonts w:ascii="Arial" w:cs="Arial" w:eastAsia="Arial" w:hAnsi="Arial"/>
          <w:sz w:val="18"/>
          <w:szCs w:val="18"/>
          <w:b w:val="1"/>
          <w:bCs w:val="1"/>
          <w:color w:val="auto"/>
        </w:rPr>
        <w:t>under Section 906 of the</w:t>
      </w:r>
    </w:p>
    <w:p>
      <w:pPr>
        <w:jc w:val="center"/>
        <w:spacing w:after="0"/>
        <w:rPr>
          <w:sz w:val="20"/>
          <w:szCs w:val="20"/>
          <w:color w:val="auto"/>
        </w:rPr>
      </w:pPr>
      <w:r>
        <w:rPr>
          <w:rFonts w:ascii="Arial" w:cs="Arial" w:eastAsia="Arial" w:hAnsi="Arial"/>
          <w:sz w:val="18"/>
          <w:szCs w:val="18"/>
          <w:b w:val="1"/>
          <w:bCs w:val="1"/>
          <w:color w:val="auto"/>
        </w:rPr>
        <w:t>Sarbanes Oxley Act of 2002, 18 U.S.C. § 1350</w:t>
      </w:r>
    </w:p>
    <w:p>
      <w:pPr>
        <w:spacing w:after="0" w:line="19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connection with the Quarterly Report on Form 10-Q of Carriage Services, Inc. (the “Company”), as filed with the Securities and Exchange Commission on the date hereof (the “Report”), Melvin C. Payne, Chief Executive Officer of the Company, and C. Benjamin Brink, Executive Vice President, Principal Financial Officer, Chief Financial Officer and Treasurer of the Company, each certify, pursuant to 18 U.S.C. Section 1350, as adopted pursuant to Section 906 of the Sarbanes-Oxley Act of 2002, that, to his knowledge:</w:t>
      </w:r>
    </w:p>
    <w:p>
      <w:pPr>
        <w:spacing w:after="0" w:line="177" w:lineRule="exact"/>
        <w:rPr>
          <w:sz w:val="20"/>
          <w:szCs w:val="20"/>
          <w:color w:val="auto"/>
        </w:rPr>
      </w:pPr>
    </w:p>
    <w:p>
      <w:pPr>
        <w:ind w:left="980" w:hanging="435"/>
        <w:spacing w:after="0"/>
        <w:tabs>
          <w:tab w:leader="none" w:pos="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17" w:lineRule="exact"/>
        <w:rPr>
          <w:rFonts w:ascii="Arial" w:cs="Arial" w:eastAsia="Arial" w:hAnsi="Arial"/>
          <w:sz w:val="17"/>
          <w:szCs w:val="17"/>
          <w:color w:val="auto"/>
        </w:rPr>
      </w:pPr>
    </w:p>
    <w:p>
      <w:pPr>
        <w:ind w:left="1160" w:hanging="615"/>
        <w:spacing w:after="0" w:line="267" w:lineRule="auto"/>
        <w:tabs>
          <w:tab w:leader="none" w:pos="109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82" w:lineRule="exact"/>
        <w:rPr>
          <w:sz w:val="20"/>
          <w:szCs w:val="20"/>
          <w:color w:val="auto"/>
        </w:rPr>
      </w:pPr>
    </w:p>
    <w:p>
      <w:pPr>
        <w:ind w:left="40"/>
        <w:spacing w:after="0"/>
        <w:tabs>
          <w:tab w:leader="none" w:pos="860" w:val="left"/>
          <w:tab w:leader="none" w:pos="49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11/3/21</w:t>
      </w:r>
      <w:r>
        <w:rPr>
          <w:sz w:val="20"/>
          <w:szCs w:val="20"/>
          <w:color w:val="auto"/>
        </w:rPr>
        <w:tab/>
      </w:r>
      <w:r>
        <w:rPr>
          <w:rFonts w:ascii="Arial" w:cs="Arial" w:eastAsia="Arial" w:hAnsi="Arial"/>
          <w:sz w:val="16"/>
          <w:szCs w:val="16"/>
          <w:color w:val="auto"/>
        </w:rPr>
        <w:t>/s/ Melvin C.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22225</wp:posOffset>
            </wp:positionV>
            <wp:extent cx="400748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007485" cy="8255"/>
                    </a:xfrm>
                    <a:prstGeom prst="rect">
                      <a:avLst/>
                    </a:prstGeom>
                    <a:noFill/>
                  </pic:spPr>
                </pic:pic>
              </a:graphicData>
            </a:graphic>
          </wp:anchor>
        </w:drawing>
      </w:r>
    </w:p>
    <w:p>
      <w:pPr>
        <w:spacing w:after="0" w:line="18"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Melvin C. Payne</w:t>
      </w:r>
    </w:p>
    <w:p>
      <w:pPr>
        <w:spacing w:after="0" w:line="2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Chief Executive Officer and Chairman of the Board</w:t>
      </w:r>
    </w:p>
    <w:p>
      <w:pPr>
        <w:spacing w:after="0" w:line="2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16"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/s/ C. Benjamin Brink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22225</wp:posOffset>
            </wp:positionV>
            <wp:extent cx="400748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007485" cy="8255"/>
                    </a:xfrm>
                    <a:prstGeom prst="rect">
                      <a:avLst/>
                    </a:prstGeom>
                    <a:noFill/>
                  </pic:spPr>
                </pic:pic>
              </a:graphicData>
            </a:graphic>
          </wp:anchor>
        </w:drawing>
      </w:r>
    </w:p>
    <w:p>
      <w:pPr>
        <w:spacing w:after="0" w:line="18"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 Benjamin Brink</w:t>
      </w:r>
    </w:p>
    <w:p>
      <w:pPr>
        <w:spacing w:after="0" w:line="2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8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1."/>
      <w:numFmt w:val="decimal"/>
      <w:start w:val="2"/>
    </w:lvl>
  </w:abstractNum>
  <w:abstractNum w:abstractNumId="4">
    <w:nsid w:val="6763845E"/>
    <w:multiLevelType w:val="hybridMultilevel"/>
    <w:lvl w:ilvl="0">
      <w:lvlJc w:val="left"/>
      <w:lvlText w:val="%1."/>
      <w:numFmt w:val="decimal"/>
      <w:start w:val="3"/>
    </w:lvl>
  </w:abstractNum>
  <w:abstractNum w:abstractNumId="5">
    <w:nsid w:val="75A2A8D4"/>
    <w:multiLevelType w:val="hybridMultilevel"/>
    <w:lvl w:ilvl="0">
      <w:lvlJc w:val="left"/>
      <w:lvlText w:val="%1."/>
      <w:numFmt w:val="decimal"/>
      <w:start w:val="4"/>
    </w:lvl>
  </w:abstractNum>
  <w:abstractNum w:abstractNumId="6">
    <w:nsid w:val="8EDBDAB"/>
    <w:multiLevelType w:val="hybridMultilevel"/>
    <w:lvl w:ilvl="0">
      <w:lvlJc w:val="left"/>
      <w:lvlText w:val="%1"/>
      <w:numFmt w:val="decimal"/>
      <w:start w:val="1"/>
    </w:lvl>
    <w:lvl w:ilvl="1">
      <w:lvlJc w:val="left"/>
      <w:lvlText w:val="(%2)"/>
      <w:numFmt w:val="decimal"/>
      <w:start w:val="1"/>
    </w:lvl>
  </w:abstractNum>
  <w:abstractNum w:abstractNumId="7">
    <w:nsid w:val="79838CB2"/>
    <w:multiLevelType w:val="hybridMultilevel"/>
    <w:lvl w:ilvl="0">
      <w:lvlJc w:val="left"/>
      <w:lvlText w:val="%1."/>
      <w:numFmt w:val="decimal"/>
      <w:start w:val="5"/>
    </w:lvl>
    <w:lvl w:ilvl="1">
      <w:lvlJc w:val="left"/>
      <w:lvlText w:val="%2"/>
      <w:numFmt w:val="decimal"/>
      <w:start w:val="1"/>
    </w:lvl>
  </w:abstractNum>
  <w:abstractNum w:abstractNumId="8">
    <w:nsid w:val="4353D0CD"/>
    <w:multiLevelType w:val="hybridMultilevel"/>
    <w:lvl w:ilvl="0">
      <w:lvlJc w:val="left"/>
      <w:lvlText w:val="%1."/>
      <w:numFmt w:val="decimal"/>
      <w:start w:val="6"/>
    </w:lvl>
  </w:abstractNum>
  <w:abstractNum w:abstractNumId="9">
    <w:nsid w:val="B03E0C6"/>
    <w:multiLevelType w:val="hybridMultilevel"/>
    <w:lvl w:ilvl="0">
      <w:lvlJc w:val="left"/>
      <w:lvlText w:val="%1."/>
      <w:numFmt w:val="decimal"/>
      <w:start w:val="7"/>
    </w:lvl>
  </w:abstractNum>
  <w:abstractNum w:abstractNumId="10">
    <w:nsid w:val="189A769B"/>
    <w:multiLevelType w:val="hybridMultilevel"/>
    <w:lvl w:ilvl="0">
      <w:lvlJc w:val="left"/>
      <w:lvlText w:val="%1."/>
      <w:numFmt w:val="decimal"/>
      <w:start w:val="8"/>
    </w:lvl>
  </w:abstractNum>
  <w:abstractNum w:abstractNumId="11">
    <w:nsid w:val="54E49EB4"/>
    <w:multiLevelType w:val="hybridMultilevel"/>
    <w:lvl w:ilvl="0">
      <w:lvlJc w:val="left"/>
      <w:lvlText w:val="%1."/>
      <w:numFmt w:val="decimal"/>
      <w:start w:val="10"/>
    </w:lvl>
  </w:abstractNum>
  <w:abstractNum w:abstractNumId="12">
    <w:nsid w:val="71F32454"/>
    <w:multiLevelType w:val="hybridMultilevel"/>
    <w:lvl w:ilvl="0">
      <w:lvlJc w:val="left"/>
      <w:lvlText w:val="%1."/>
      <w:numFmt w:val="decimal"/>
      <w:start w:val="11"/>
    </w:lvl>
  </w:abstractNum>
  <w:abstractNum w:abstractNumId="13">
    <w:nsid w:val="2CA88611"/>
    <w:multiLevelType w:val="hybridMultilevel"/>
    <w:lvl w:ilvl="0">
      <w:lvlJc w:val="left"/>
      <w:lvlText w:val="%1."/>
      <w:numFmt w:val="decimal"/>
      <w:start w:val="12"/>
    </w:lvl>
  </w:abstractNum>
  <w:abstractNum w:abstractNumId="14">
    <w:nsid w:val="836C40E"/>
    <w:multiLevelType w:val="hybridMultilevel"/>
    <w:lvl w:ilvl="0">
      <w:lvlJc w:val="left"/>
      <w:lvlText w:val="(%1)"/>
      <w:numFmt w:val="decimal"/>
      <w:start w:val="1"/>
    </w:lvl>
  </w:abstractNum>
  <w:abstractNum w:abstractNumId="15">
    <w:nsid w:val="2901D82"/>
    <w:multiLevelType w:val="hybridMultilevel"/>
    <w:lvl w:ilvl="0">
      <w:lvlJc w:val="left"/>
      <w:lvlText w:val="%1."/>
      <w:numFmt w:val="decimal"/>
      <w:start w:val="13"/>
    </w:lvl>
  </w:abstractNum>
  <w:abstractNum w:abstractNumId="16">
    <w:nsid w:val="3A95F874"/>
    <w:multiLevelType w:val="hybridMultilevel"/>
    <w:lvl w:ilvl="0">
      <w:lvlJc w:val="left"/>
      <w:lvlText w:val="%1."/>
      <w:numFmt w:val="decimal"/>
      <w:start w:val="14"/>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1)"/>
      <w:numFmt w:val="decimal"/>
      <w:start w:val="1"/>
    </w:lvl>
  </w:abstractNum>
  <w:abstractNum w:abstractNumId="19">
    <w:nsid w:val="7C3DBD3D"/>
    <w:multiLevelType w:val="hybridMultilevel"/>
    <w:lvl w:ilvl="0">
      <w:lvlJc w:val="left"/>
      <w:lvlText w:val="(%1)"/>
      <w:numFmt w:val="decimal"/>
      <w:start w:val="1"/>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1."/>
      <w:numFmt w:val="decimal"/>
      <w:start w:val="15"/>
    </w:lvl>
  </w:abstractNum>
  <w:abstractNum w:abstractNumId="23">
    <w:nsid w:val="4516DDE9"/>
    <w:multiLevelType w:val="hybridMultilevel"/>
    <w:lvl w:ilvl="0">
      <w:lvlJc w:val="left"/>
      <w:lvlText w:val="%1."/>
      <w:numFmt w:val="decimal"/>
      <w:start w:val="16"/>
    </w:lvl>
  </w:abstractNum>
  <w:abstractNum w:abstractNumId="24">
    <w:nsid w:val="3006C83E"/>
    <w:multiLevelType w:val="hybridMultilevel"/>
    <w:lvl w:ilvl="0">
      <w:lvlJc w:val="left"/>
      <w:lvlText w:val="•"/>
      <w:numFmt w:val="bullet"/>
      <w:start w:val="1"/>
    </w:lvl>
    <w:lvl w:ilvl="1">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1)"/>
      <w:numFmt w:val="decimal"/>
      <w:start w:val="1"/>
    </w:lvl>
    <w:lvl w:ilvl="1">
      <w:lvlJc w:val="left"/>
      <w:lvlText w:val="-"/>
      <w:numFmt w:val="bullet"/>
      <w:start w:val="1"/>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1)"/>
      <w:numFmt w:val="decimal"/>
      <w:start w:val="2"/>
    </w:lvl>
  </w:abstractNum>
  <w:abstractNum w:abstractNumId="34">
    <w:nsid w:val="2463B9EA"/>
    <w:multiLevelType w:val="hybridMultilevel"/>
    <w:lvl w:ilvl="0">
      <w:lvlJc w:val="left"/>
      <w:lvlText w:val="(%1)"/>
      <w:numFmt w:val="decimal"/>
      <w:start w:val="1"/>
    </w:lvl>
  </w:abstractNum>
  <w:abstractNum w:abstractNumId="35">
    <w:nsid w:val="5E884ADC"/>
    <w:multiLevelType w:val="hybridMultilevel"/>
    <w:lvl w:ilvl="0">
      <w:lvlJc w:val="left"/>
      <w:lvlText w:val="(%1)"/>
      <w:numFmt w:val="decimal"/>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2021-11-03T15:52:32Z</dcterms:created>
  <dcterms:modified xsi:type="dcterms:W3CDTF">2021-11-03T15:52:32Z</dcterms:modified>
</cp:coreProperties>
</file>