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1985010</wp:posOffset>
            </wp:positionH>
            <wp:positionV relativeFrom="paragraph">
              <wp:posOffset>102870</wp:posOffset>
            </wp:positionV>
            <wp:extent cx="3180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1985010</wp:posOffset>
            </wp:positionH>
            <wp:positionV relativeFrom="paragraph">
              <wp:posOffset>138430</wp:posOffset>
            </wp:positionV>
            <wp:extent cx="3180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2026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1985010</wp:posOffset>
            </wp:positionH>
            <wp:positionV relativeFrom="paragraph">
              <wp:posOffset>122555</wp:posOffset>
            </wp:positionV>
            <wp:extent cx="3180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Carriage Services,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1985010</wp:posOffset>
            </wp:positionH>
            <wp:positionV relativeFrom="paragraph">
              <wp:posOffset>116205</wp:posOffset>
            </wp:positionV>
            <wp:extent cx="3180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93" w:lineRule="exact"/>
        <w:rPr>
          <w:sz w:val="24"/>
          <w:szCs w:val="24"/>
          <w:color w:val="auto"/>
        </w:rPr>
      </w:pPr>
    </w:p>
    <w:tbl>
      <w:tblPr>
        <w:tblLayout w:type="fixed"/>
        <w:tblInd w:w="660" w:type="dxa"/>
        <w:tblCellMar>
          <w:top w:w="0" w:type="dxa"/>
          <w:left w:w="0" w:type="dxa"/>
          <w:bottom w:w="0" w:type="dxa"/>
          <w:right w:w="0" w:type="dxa"/>
        </w:tblCellMar>
      </w:tblPr>
      <w:tr>
        <w:trPr>
          <w:trHeight w:val="232"/>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1-11961</w:t>
            </w:r>
          </w:p>
        </w:tc>
        <w:tc>
          <w:tcPr>
            <w:tcW w:w="18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76-0423828</w:t>
            </w:r>
          </w:p>
        </w:tc>
      </w:tr>
      <w:tr>
        <w:trPr>
          <w:trHeight w:val="164"/>
        </w:trPr>
        <w:tc>
          <w:tcPr>
            <w:tcW w:w="2540" w:type="dxa"/>
            <w:vAlign w:val="bottom"/>
          </w:tcPr>
          <w:p>
            <w:pPr>
              <w:jc w:val="center"/>
              <w:ind w:left="136"/>
              <w:spacing w:after="0" w:line="165" w:lineRule="exact"/>
              <w:rPr>
                <w:sz w:val="20"/>
                <w:szCs w:val="20"/>
                <w:color w:val="auto"/>
              </w:rPr>
            </w:pPr>
            <w:r>
              <w:rPr>
                <w:rFonts w:ascii="Times New Roman" w:cs="Times New Roman" w:eastAsia="Times New Roman" w:hAnsi="Times New Roman"/>
                <w:sz w:val="16"/>
                <w:szCs w:val="16"/>
                <w:i w:val="1"/>
                <w:iCs w:val="1"/>
                <w:color w:val="auto"/>
              </w:rPr>
              <w:t>(State or other jurisdiction</w:t>
            </w:r>
          </w:p>
        </w:tc>
        <w:tc>
          <w:tcPr>
            <w:tcW w:w="4860" w:type="dxa"/>
            <w:vAlign w:val="bottom"/>
          </w:tcPr>
          <w:p>
            <w:pPr>
              <w:ind w:left="2060"/>
              <w:spacing w:after="0" w:line="165" w:lineRule="exact"/>
              <w:rPr>
                <w:sz w:val="20"/>
                <w:szCs w:val="20"/>
                <w:color w:val="auto"/>
              </w:rPr>
            </w:pPr>
            <w:r>
              <w:rPr>
                <w:rFonts w:ascii="Times New Roman" w:cs="Times New Roman" w:eastAsia="Times New Roman" w:hAnsi="Times New Roman"/>
                <w:sz w:val="16"/>
                <w:szCs w:val="16"/>
                <w:i w:val="1"/>
                <w:iCs w:val="1"/>
                <w:color w:val="auto"/>
              </w:rPr>
              <w:t>(Commission</w:t>
            </w:r>
          </w:p>
        </w:tc>
        <w:tc>
          <w:tcPr>
            <w:tcW w:w="1860" w:type="dxa"/>
            <w:vAlign w:val="bottom"/>
          </w:tcPr>
          <w:p>
            <w:pPr>
              <w:ind w:left="800"/>
              <w:spacing w:after="0" w:line="165"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2540" w:type="dxa"/>
            <w:vAlign w:val="bottom"/>
          </w:tcPr>
          <w:p>
            <w:pPr>
              <w:jc w:val="center"/>
              <w:ind w:left="136"/>
              <w:spacing w:after="0"/>
              <w:rPr>
                <w:sz w:val="20"/>
                <w:szCs w:val="20"/>
                <w:color w:val="auto"/>
              </w:rPr>
            </w:pPr>
            <w:r>
              <w:rPr>
                <w:rFonts w:ascii="Times New Roman" w:cs="Times New Roman" w:eastAsia="Times New Roman" w:hAnsi="Times New Roman"/>
                <w:sz w:val="16"/>
                <w:szCs w:val="16"/>
                <w:i w:val="1"/>
                <w:iCs w:val="1"/>
                <w:color w:val="auto"/>
              </w:rPr>
              <w:t>of incorporation)</w:t>
            </w:r>
          </w:p>
        </w:tc>
        <w:tc>
          <w:tcPr>
            <w:tcW w:w="4860" w:type="dxa"/>
            <w:vAlign w:val="bottom"/>
          </w:tcPr>
          <w:p>
            <w:pPr>
              <w:ind w:left="2040"/>
              <w:spacing w:after="0"/>
              <w:rPr>
                <w:sz w:val="20"/>
                <w:szCs w:val="20"/>
                <w:color w:val="auto"/>
              </w:rPr>
            </w:pPr>
            <w:r>
              <w:rPr>
                <w:rFonts w:ascii="Times New Roman" w:cs="Times New Roman" w:eastAsia="Times New Roman" w:hAnsi="Times New Roman"/>
                <w:sz w:val="16"/>
                <w:szCs w:val="16"/>
                <w:i w:val="1"/>
                <w:iCs w:val="1"/>
                <w:color w:val="auto"/>
              </w:rPr>
              <w:t>File Number)</w:t>
            </w:r>
          </w:p>
        </w:tc>
        <w:tc>
          <w:tcPr>
            <w:tcW w:w="1860" w:type="dxa"/>
            <w:vAlign w:val="bottom"/>
          </w:tcPr>
          <w:p>
            <w:pPr>
              <w:ind w:left="680"/>
              <w:spacing w:after="0"/>
              <w:rPr>
                <w:sz w:val="20"/>
                <w:szCs w:val="20"/>
                <w:color w:val="auto"/>
              </w:rPr>
            </w:pPr>
            <w:r>
              <w:rPr>
                <w:rFonts w:ascii="Times New Roman" w:cs="Times New Roman" w:eastAsia="Times New Roman" w:hAnsi="Times New Roman"/>
                <w:sz w:val="16"/>
                <w:szCs w:val="16"/>
                <w:i w:val="1"/>
                <w:iCs w:val="1"/>
                <w:color w:val="auto"/>
                <w:w w:val="98"/>
              </w:rPr>
              <w:t>Identification No.)</w:t>
            </w:r>
          </w:p>
        </w:tc>
      </w:tr>
      <w:tr>
        <w:trPr>
          <w:trHeight w:val="296"/>
        </w:trPr>
        <w:tc>
          <w:tcPr>
            <w:tcW w:w="254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3040 Post Oak Boulevard, Suite 300</w:t>
            </w:r>
          </w:p>
        </w:tc>
        <w:tc>
          <w:tcPr>
            <w:tcW w:w="1860" w:type="dxa"/>
            <w:vAlign w:val="bottom"/>
          </w:tcPr>
          <w:p>
            <w:pPr>
              <w:spacing w:after="0"/>
              <w:rPr>
                <w:sz w:val="24"/>
                <w:szCs w:val="24"/>
                <w:color w:val="auto"/>
              </w:rPr>
            </w:pPr>
          </w:p>
        </w:tc>
      </w:tr>
      <w:tr>
        <w:trPr>
          <w:trHeight w:val="214"/>
        </w:trPr>
        <w:tc>
          <w:tcPr>
            <w:tcW w:w="254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Houston, Texas 77056</w:t>
            </w:r>
          </w:p>
        </w:tc>
        <w:tc>
          <w:tcPr>
            <w:tcW w:w="1860" w:type="dxa"/>
            <w:vAlign w:val="bottom"/>
          </w:tcPr>
          <w:p>
            <w:pPr>
              <w:spacing w:after="0"/>
              <w:rPr>
                <w:sz w:val="18"/>
                <w:szCs w:val="18"/>
                <w:color w:val="auto"/>
              </w:rPr>
            </w:pPr>
          </w:p>
        </w:tc>
      </w:tr>
      <w:tr>
        <w:trPr>
          <w:trHeight w:val="236"/>
        </w:trPr>
        <w:tc>
          <w:tcPr>
            <w:tcW w:w="254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(Address, including zip code, of principal executive offices)</w:t>
            </w:r>
          </w:p>
        </w:tc>
        <w:tc>
          <w:tcPr>
            <w:tcW w:w="1860" w:type="dxa"/>
            <w:vAlign w:val="bottom"/>
          </w:tcPr>
          <w:p>
            <w:pPr>
              <w:spacing w:after="0"/>
              <w:rPr>
                <w:sz w:val="20"/>
                <w:szCs w:val="20"/>
                <w:color w:val="auto"/>
              </w:rPr>
            </w:pPr>
          </w:p>
        </w:tc>
      </w:tr>
      <w:tr>
        <w:trPr>
          <w:trHeight w:val="441"/>
        </w:trPr>
        <w:tc>
          <w:tcPr>
            <w:tcW w:w="254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60" w:type="dxa"/>
            <w:vAlign w:val="bottom"/>
          </w:tcPr>
          <w:p>
            <w:pPr>
              <w:spacing w:after="0"/>
              <w:rPr>
                <w:sz w:val="24"/>
                <w:szCs w:val="24"/>
                <w:color w:val="auto"/>
              </w:rPr>
            </w:pPr>
          </w:p>
        </w:tc>
      </w:tr>
      <w:tr>
        <w:trPr>
          <w:trHeight w:val="234"/>
        </w:trPr>
        <w:tc>
          <w:tcPr>
            <w:tcW w:w="2540" w:type="dxa"/>
            <w:vAlign w:val="bottom"/>
          </w:tcPr>
          <w:p>
            <w:pPr>
              <w:spacing w:after="0"/>
              <w:rPr>
                <w:sz w:val="20"/>
                <w:szCs w:val="20"/>
                <w:color w:val="auto"/>
              </w:rPr>
            </w:pPr>
          </w:p>
        </w:tc>
        <w:tc>
          <w:tcPr>
            <w:tcW w:w="4860" w:type="dxa"/>
            <w:vAlign w:val="bottom"/>
          </w:tcPr>
          <w:p>
            <w:pPr>
              <w:jc w:val="right"/>
              <w:ind w:right="1672"/>
              <w:spacing w:after="0"/>
              <w:rPr>
                <w:sz w:val="20"/>
                <w:szCs w:val="20"/>
                <w:color w:val="auto"/>
              </w:rPr>
            </w:pPr>
            <w:r>
              <w:rPr>
                <w:rFonts w:ascii="Times New Roman" w:cs="Times New Roman" w:eastAsia="Times New Roman" w:hAnsi="Times New Roman"/>
                <w:sz w:val="18"/>
                <w:szCs w:val="18"/>
                <w:color w:val="auto"/>
              </w:rPr>
              <w:t>(713) 332-8400</w:t>
            </w:r>
          </w:p>
        </w:tc>
        <w:tc>
          <w:tcPr>
            <w:tcW w:w="1860" w:type="dxa"/>
            <w:vAlign w:val="bottom"/>
          </w:tcPr>
          <w:p>
            <w:pPr>
              <w:spacing w:after="0"/>
              <w:rPr>
                <w:sz w:val="20"/>
                <w:szCs w:val="20"/>
                <w:color w:val="auto"/>
              </w:rPr>
            </w:pPr>
          </w:p>
        </w:tc>
      </w:tr>
      <w:tr>
        <w:trPr>
          <w:trHeight w:val="162"/>
        </w:trPr>
        <w:tc>
          <w:tcPr>
            <w:tcW w:w="2540" w:type="dxa"/>
            <w:vAlign w:val="bottom"/>
          </w:tcPr>
          <w:p>
            <w:pPr>
              <w:spacing w:after="0"/>
              <w:rPr>
                <w:sz w:val="14"/>
                <w:szCs w:val="14"/>
                <w:color w:val="auto"/>
              </w:rPr>
            </w:pPr>
          </w:p>
        </w:tc>
        <w:tc>
          <w:tcPr>
            <w:tcW w:w="4860" w:type="dxa"/>
            <w:vAlign w:val="bottom"/>
            <w:tcBorders>
              <w:bottom w:val="single" w:sz="8" w:color="auto"/>
            </w:tcBorders>
          </w:tcPr>
          <w:p>
            <w:pPr>
              <w:spacing w:after="0"/>
              <w:rPr>
                <w:sz w:val="14"/>
                <w:szCs w:val="14"/>
                <w:color w:val="auto"/>
              </w:rPr>
            </w:pPr>
          </w:p>
        </w:tc>
        <w:tc>
          <w:tcPr>
            <w:tcW w:w="1860" w:type="dxa"/>
            <w:vAlign w:val="bottom"/>
          </w:tcPr>
          <w:p>
            <w:pPr>
              <w:spacing w:after="0"/>
              <w:rPr>
                <w:sz w:val="14"/>
                <w:szCs w:val="14"/>
                <w:color w:val="auto"/>
              </w:rPr>
            </w:pPr>
          </w:p>
        </w:tc>
      </w:tr>
    </w:tbl>
    <w:p>
      <w:pPr>
        <w:spacing w:after="0" w:line="319" w:lineRule="exact"/>
        <w:rPr>
          <w:sz w:val="24"/>
          <w:szCs w:val="24"/>
          <w:color w:val="auto"/>
        </w:rPr>
      </w:pPr>
    </w:p>
    <w:p>
      <w:pPr>
        <w:jc w:val="center"/>
        <w:ind w:right="3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91"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5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CSV</w:t>
            </w:r>
          </w:p>
        </w:tc>
        <w:tc>
          <w:tcPr>
            <w:tcW w:w="5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4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1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12, 2026, Carriage Services, Inc. (the “Company”) held its 2026 Annual Meeting of Shareholders (the “2026 Annual Meeting”). The matters presented for a vote and the related results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Proposal 1 was the election of the nominees to serve as Class III directors for a three-year term expiring on the date of the 2029 annual meeting. The result of the vote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92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0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23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2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Donald D. Patteson, Jr.</w:t>
            </w:r>
          </w:p>
        </w:tc>
        <w:tc>
          <w:tcPr>
            <w:tcW w:w="5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11,137,853</w:t>
            </w:r>
          </w:p>
        </w:tc>
        <w:tc>
          <w:tcPr>
            <w:tcW w:w="5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857,785</w:t>
            </w:r>
          </w:p>
        </w:tc>
        <w:tc>
          <w:tcPr>
            <w:tcW w:w="52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1,854,346</w:t>
            </w:r>
          </w:p>
        </w:tc>
      </w:tr>
      <w:tr>
        <w:trPr>
          <w:trHeight w:val="252"/>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Douglas B. Meehan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11,336,853</w:t>
            </w:r>
          </w:p>
        </w:tc>
        <w:tc>
          <w:tcPr>
            <w:tcW w:w="54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658,825</w:t>
            </w:r>
          </w:p>
        </w:tc>
        <w:tc>
          <w:tcPr>
            <w:tcW w:w="52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1,854,346</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foregoing vote, each of Messrs. Patteson, Jr. and Meehan were duly elected as Class III directors.</w:t>
      </w:r>
    </w:p>
    <w:p>
      <w:pPr>
        <w:spacing w:after="0" w:line="200" w:lineRule="exact"/>
        <w:rPr>
          <w:sz w:val="20"/>
          <w:szCs w:val="20"/>
          <w:color w:val="auto"/>
        </w:rPr>
      </w:pPr>
    </w:p>
    <w:p>
      <w:pPr>
        <w:spacing w:after="0" w:line="291" w:lineRule="exact"/>
        <w:rPr>
          <w:sz w:val="20"/>
          <w:szCs w:val="20"/>
          <w:color w:val="auto"/>
        </w:rPr>
      </w:pPr>
    </w:p>
    <w:p>
      <w:pPr>
        <w:ind w:right="1300"/>
        <w:spacing w:after="0" w:line="286" w:lineRule="auto"/>
        <w:rPr>
          <w:sz w:val="20"/>
          <w:szCs w:val="20"/>
          <w:color w:val="auto"/>
        </w:rPr>
      </w:pPr>
      <w:r>
        <w:rPr>
          <w:rFonts w:ascii="Times New Roman" w:cs="Times New Roman" w:eastAsia="Times New Roman" w:hAnsi="Times New Roman"/>
          <w:sz w:val="18"/>
          <w:szCs w:val="18"/>
          <w:b w:val="1"/>
          <w:bCs w:val="1"/>
          <w:color w:val="auto"/>
        </w:rPr>
        <w:t>PROPOSAL 2 - APPROVAL OF AN AMENDMENT TO THE COMPANY’S AMENDED AND RESTATED CERTIFICATE OF INCORPORATION TO DECLASSIFY THE BOARD OF DIRECTORS</w:t>
      </w:r>
    </w:p>
    <w:p>
      <w:pPr>
        <w:spacing w:after="0" w:line="1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Proposal 2 was to approve an amendment to the Company’s Amended and Restated Certificate of Incorporation to declassify the Board of Directors (the “Board”). The result of the vote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2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90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23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28"/>
        </w:trPr>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11,975,332</w:t>
            </w:r>
          </w:p>
        </w:tc>
        <w:tc>
          <w:tcPr>
            <w:tcW w:w="5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16,360</w:t>
            </w:r>
          </w:p>
        </w:tc>
        <w:tc>
          <w:tcPr>
            <w:tcW w:w="5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52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1,854,346</w:t>
            </w:r>
          </w:p>
        </w:tc>
      </w:tr>
    </w:tbl>
    <w:p>
      <w:pPr>
        <w:spacing w:after="0" w:line="9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Pursuant to the foregoing vote, the proposed amendment to the Company’s Amended and Restated Certificate of Incorporation to declassify the Board did not receive the required affirmative vote of at least 80% of the Company’s outstanding shares entitled to vote.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 ADVISORY VOTE ON NAMED EXECUTIVE OFFICERS’ COMPENSATION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Proposal 3 was to approve, on an advisory basis, our Named Executive Officers’ compensation, as disclosed in our Proxy Statement. The result of the vote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2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92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23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28"/>
        </w:trPr>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11,879,875</w:t>
            </w:r>
          </w:p>
        </w:tc>
        <w:tc>
          <w:tcPr>
            <w:tcW w:w="5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104,954</w:t>
            </w:r>
          </w:p>
        </w:tc>
        <w:tc>
          <w:tcPr>
            <w:tcW w:w="5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5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1,854,346</w:t>
            </w: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foregoing vote, the Named Executive Officer compensation, as disclosed in the Proxy Statement for the Company’s 2026 Annual Meeting,</w:t>
      </w:r>
    </w:p>
    <w:p>
      <w:pPr>
        <w:spacing w:after="0" w:line="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was approved on an advisory basis. The Board and the Compensation Committee will carefully consider the voting results when making future decisions regarding executive compensation.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 APPROVAL OF THE SECOND AMENDMENT TO THE COMPANY’S 2017 OMNIBUS INCENTIVE PLAN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4 was the approval of the Second Amendment to the Company’s 2017 Omnibus Incentive Plan. The result of the vote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2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92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23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28"/>
        </w:trPr>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6,138,408</w:t>
            </w:r>
          </w:p>
        </w:tc>
        <w:tc>
          <w:tcPr>
            <w:tcW w:w="5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5,843,510</w:t>
            </w:r>
          </w:p>
        </w:tc>
        <w:tc>
          <w:tcPr>
            <w:tcW w:w="5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13,760</w:t>
            </w:r>
          </w:p>
        </w:tc>
        <w:tc>
          <w:tcPr>
            <w:tcW w:w="5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1,854,346</w:t>
            </w: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foregoing vote, the Second Amendment to the Company’s 2017 Omnibus Incentive Plan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PROPOSAL 5 - RATIFICATION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5 was the ratification of Grant Thornton LLP as the independent registered public accounting firm for the fiscal year ending December 31, 2026.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 of the vote was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9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23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28"/>
        </w:trPr>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13,803,398</w:t>
            </w:r>
          </w:p>
        </w:tc>
        <w:tc>
          <w:tcPr>
            <w:tcW w:w="5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43,409</w:t>
            </w:r>
          </w:p>
        </w:tc>
        <w:tc>
          <w:tcPr>
            <w:tcW w:w="5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5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2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foregoing vote, the appointment of Grant Thornton LLP as the independent registered public accounting firm for the fiscal year ending December 31, 2026 was ratified.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r>
        <w:rPr>
          <w:rFonts w:ascii="Times New Roman" w:cs="Times New Roman" w:eastAsia="Times New Roman" w:hAnsi="Times New Roman"/>
          <w:sz w:val="20"/>
          <w:szCs w:val="20"/>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furnished as part of this Current Report on Form 8-K:</w:t>
      </w:r>
    </w:p>
    <w:p>
      <w:pPr>
        <w:spacing w:after="0" w:line="293" w:lineRule="exact"/>
        <w:rPr>
          <w:sz w:val="20"/>
          <w:szCs w:val="20"/>
          <w:color w:val="auto"/>
        </w:rPr>
      </w:pPr>
    </w:p>
    <w:p>
      <w:pPr>
        <w:ind w:left="8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198" w:lineRule="exact"/>
        <w:rPr>
          <w:sz w:val="20"/>
          <w:szCs w:val="20"/>
          <w:color w:val="auto"/>
        </w:rPr>
      </w:pPr>
    </w:p>
    <w:p>
      <w:pPr>
        <w:ind w:left="1280" w:hanging="743"/>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373" w:lineRule="exact"/>
        <w:rPr>
          <w:rFonts w:ascii="Times New Roman" w:cs="Times New Roman" w:eastAsia="Times New Roman" w:hAnsi="Times New Roman"/>
          <w:sz w:val="18"/>
          <w:szCs w:val="18"/>
          <w:color w:val="auto"/>
        </w:rPr>
      </w:pPr>
    </w:p>
    <w:p>
      <w:pPr>
        <w:ind w:left="1280" w:hanging="743"/>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7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80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CARRIAGE SERVICES, INC.</w:t>
            </w:r>
          </w:p>
        </w:tc>
      </w:tr>
      <w:tr>
        <w:trPr>
          <w:trHeight w:val="49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May 14, 2026</w:t>
            </w:r>
          </w:p>
        </w:tc>
        <w:tc>
          <w:tcPr>
            <w:tcW w:w="23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Enwright</w:t>
            </w:r>
          </w:p>
        </w:tc>
      </w:tr>
      <w:tr>
        <w:trPr>
          <w:trHeight w:val="218"/>
        </w:trPr>
        <w:tc>
          <w:tcPr>
            <w:tcW w:w="30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Enwright</w:t>
            </w:r>
          </w:p>
        </w:tc>
      </w:tr>
      <w:tr>
        <w:trPr>
          <w:trHeight w:val="234"/>
        </w:trPr>
        <w:tc>
          <w:tcPr>
            <w:tcW w:w="3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bl>
    <w:p>
      <w:pPr>
        <w:spacing w:after="0" w:line="1" w:lineRule="exact"/>
        <w:rPr>
          <w:sz w:val="20"/>
          <w:szCs w:val="20"/>
          <w:color w:val="auto"/>
        </w:rPr>
      </w:pP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2026-05-14T16:35:19Z</dcterms:created>
  <dcterms:modified xsi:type="dcterms:W3CDTF">2026-05-14T16:35:19Z</dcterms:modified>
</cp:coreProperties>
</file>