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ind w:left="4360"/>
        <w:spacing w:after="0"/>
        <w:rPr>
          <w:sz w:val="20"/>
          <w:szCs w:val="20"/>
          <w:color w:val="auto"/>
        </w:rPr>
      </w:pPr>
      <w:r>
        <w:rPr>
          <w:rFonts w:ascii="Arial" w:cs="Arial" w:eastAsia="Arial" w:hAnsi="Arial"/>
          <w:sz w:val="14"/>
          <w:szCs w:val="14"/>
          <w:color w:val="auto"/>
        </w:rPr>
        <w:t>____________________________________</w:t>
      </w:r>
    </w:p>
    <w:p>
      <w:pPr>
        <w:spacing w:after="0" w:line="84" w:lineRule="exact"/>
        <w:rPr>
          <w:sz w:val="24"/>
          <w:szCs w:val="24"/>
          <w:color w:val="auto"/>
        </w:rPr>
      </w:pPr>
    </w:p>
    <w:p>
      <w:pPr>
        <w:ind w:left="5560"/>
        <w:spacing w:after="0"/>
        <w:rPr>
          <w:sz w:val="20"/>
          <w:szCs w:val="20"/>
          <w:color w:val="auto"/>
        </w:rPr>
      </w:pPr>
      <w:r>
        <w:rPr>
          <w:rFonts w:ascii="Arial" w:cs="Arial" w:eastAsia="Arial" w:hAnsi="Arial"/>
          <w:sz w:val="20"/>
          <w:szCs w:val="20"/>
          <w:b w:val="1"/>
          <w:bCs w:val="1"/>
          <w:color w:val="auto"/>
        </w:rPr>
        <w:t>FORM 10-K</w:t>
      </w:r>
    </w:p>
    <w:p>
      <w:pPr>
        <w:spacing w:after="0" w:line="40"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1"/>
          <w:szCs w:val="1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67945" cy="69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year ended, December 31, 2020</w:t>
      </w:r>
    </w:p>
    <w:p>
      <w:pPr>
        <w:spacing w:after="0" w:line="101" w:lineRule="exact"/>
        <w:rPr>
          <w:sz w:val="24"/>
          <w:szCs w:val="24"/>
          <w:color w:val="auto"/>
        </w:rPr>
      </w:pPr>
    </w:p>
    <w:p>
      <w:pPr>
        <w:ind w:left="5900"/>
        <w:spacing w:after="0"/>
        <w:rPr>
          <w:sz w:val="20"/>
          <w:szCs w:val="20"/>
          <w:color w:val="auto"/>
        </w:rPr>
      </w:pPr>
      <w:r>
        <w:rPr>
          <w:rFonts w:ascii="Arial" w:cs="Arial" w:eastAsia="Arial" w:hAnsi="Arial"/>
          <w:sz w:val="11"/>
          <w:szCs w:val="11"/>
          <w:b w:val="1"/>
          <w:bCs w:val="1"/>
          <w:color w:val="auto"/>
        </w:rPr>
        <w:t>or</w:t>
      </w:r>
    </w:p>
    <w:p>
      <w:pPr>
        <w:spacing w:after="0" w:line="22" w:lineRule="exact"/>
        <w:rPr>
          <w:sz w:val="24"/>
          <w:szCs w:val="24"/>
          <w:color w:val="auto"/>
        </w:rPr>
      </w:pPr>
    </w:p>
    <w:p>
      <w:pPr>
        <w:ind w:left="680" w:right="4860" w:hanging="661"/>
        <w:spacing w:after="0" w:line="387" w:lineRule="auto"/>
        <w:tabs>
          <w:tab w:leader="none" w:pos="680"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1"/>
          <w:szCs w:val="11"/>
          <w:b w:val="1"/>
          <w:bCs w:val="1"/>
          <w:color w:val="auto"/>
        </w:rPr>
        <w:t>TRANSITION REPORT PURSUANT TO SECTION 13 OR 15(d) OF THE SECURITIES EXCHANGE ACT OF 1934 For the transition period from ______________ to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-393065</wp:posOffset>
            </wp:positionV>
            <wp:extent cx="67945" cy="69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45" cy="692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80" w:type="dxa"/>
            <w:vAlign w:val="bottom"/>
            <w:gridSpan w:val="5"/>
          </w:tcPr>
          <w:p>
            <w:pPr>
              <w:jc w:val="center"/>
              <w:ind w:right="2444"/>
              <w:spacing w:after="0"/>
              <w:rPr>
                <w:sz w:val="20"/>
                <w:szCs w:val="20"/>
                <w:color w:val="auto"/>
              </w:rPr>
            </w:pPr>
            <w:r>
              <w:rPr>
                <w:rFonts w:ascii="Arial" w:cs="Arial" w:eastAsia="Arial" w:hAnsi="Arial"/>
                <w:sz w:val="11"/>
                <w:szCs w:val="11"/>
                <w:b w:val="1"/>
                <w:bCs w:val="1"/>
                <w:color w:val="auto"/>
                <w:w w:val="92"/>
              </w:rPr>
              <w:t>Commission file number: 1-11961</w:t>
            </w:r>
          </w:p>
        </w:tc>
        <w:tc>
          <w:tcPr>
            <w:tcW w:w="0" w:type="dxa"/>
            <w:vAlign w:val="bottom"/>
          </w:tcPr>
          <w:p>
            <w:pPr>
              <w:spacing w:after="0"/>
              <w:rPr>
                <w:sz w:val="1"/>
                <w:szCs w:val="1"/>
                <w:color w:val="auto"/>
              </w:rPr>
            </w:pPr>
          </w:p>
        </w:tc>
      </w:tr>
      <w:tr>
        <w:trPr>
          <w:trHeight w:val="125"/>
        </w:trPr>
        <w:tc>
          <w:tcPr>
            <w:tcW w:w="1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980" w:type="dxa"/>
            <w:vAlign w:val="bottom"/>
            <w:gridSpan w:val="4"/>
          </w:tcPr>
          <w:p>
            <w:pPr>
              <w:jc w:val="right"/>
              <w:ind w:right="804"/>
              <w:spacing w:after="0" w:line="125" w:lineRule="exact"/>
              <w:rPr>
                <w:sz w:val="20"/>
                <w:szCs w:val="20"/>
                <w:color w:val="auto"/>
              </w:rPr>
            </w:pPr>
            <w:r>
              <w:rPr>
                <w:rFonts w:ascii="Arial" w:cs="Arial" w:eastAsia="Arial" w:hAnsi="Arial"/>
                <w:sz w:val="11"/>
                <w:szCs w:val="11"/>
                <w:color w:val="auto"/>
              </w:rPr>
              <w:t>________________________________________________</w:t>
            </w: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560" w:type="dxa"/>
            <w:vAlign w:val="bottom"/>
            <w:gridSpan w:val="3"/>
          </w:tcPr>
          <w:p>
            <w:pPr>
              <w:jc w:val="center"/>
              <w:ind w:left="964"/>
              <w:spacing w:after="0"/>
              <w:rPr>
                <w:sz w:val="20"/>
                <w:szCs w:val="20"/>
                <w:color w:val="auto"/>
              </w:rPr>
            </w:pPr>
            <w:r>
              <w:rPr>
                <w:rFonts w:ascii="Arial" w:cs="Arial" w:eastAsia="Arial" w:hAnsi="Arial"/>
                <w:sz w:val="11"/>
                <w:szCs w:val="11"/>
                <w:b w:val="1"/>
                <w:bCs w:val="1"/>
                <w:color w:val="auto"/>
              </w:rPr>
              <w:t>CARRIAGE SERVICES, INC.</w:t>
            </w:r>
          </w:p>
        </w:tc>
        <w:tc>
          <w:tcPr>
            <w:tcW w:w="14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80" w:type="dxa"/>
            <w:vAlign w:val="bottom"/>
            <w:gridSpan w:val="5"/>
          </w:tcPr>
          <w:p>
            <w:pPr>
              <w:jc w:val="center"/>
              <w:ind w:right="2444"/>
              <w:spacing w:after="0"/>
              <w:rPr>
                <w:sz w:val="20"/>
                <w:szCs w:val="20"/>
                <w:color w:val="auto"/>
              </w:rPr>
            </w:pPr>
            <w:r>
              <w:rPr>
                <w:rFonts w:ascii="Arial" w:cs="Arial" w:eastAsia="Arial" w:hAnsi="Arial"/>
                <w:sz w:val="11"/>
                <w:szCs w:val="11"/>
                <w:b w:val="1"/>
                <w:bCs w:val="1"/>
                <w:color w:val="auto"/>
                <w:w w:val="91"/>
              </w:rPr>
              <w:t>(Exact name of registrant as specified in its charter</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36"/>
        </w:trPr>
        <w:tc>
          <w:tcPr>
            <w:tcW w:w="1780" w:type="dxa"/>
            <w:vAlign w:val="bottom"/>
          </w:tcPr>
          <w:p>
            <w:pPr>
              <w:spacing w:after="0"/>
              <w:rPr>
                <w:sz w:val="20"/>
                <w:szCs w:val="20"/>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Delaware</w:t>
            </w: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20" w:type="dxa"/>
            <w:vAlign w:val="bottom"/>
            <w:gridSpan w:val="2"/>
          </w:tcPr>
          <w:p>
            <w:pPr>
              <w:jc w:val="center"/>
              <w:ind w:left="784"/>
              <w:spacing w:after="0"/>
              <w:rPr>
                <w:sz w:val="20"/>
                <w:szCs w:val="20"/>
                <w:color w:val="auto"/>
              </w:rPr>
            </w:pPr>
            <w:r>
              <w:rPr>
                <w:rFonts w:ascii="Arial" w:cs="Arial" w:eastAsia="Arial" w:hAnsi="Arial"/>
                <w:sz w:val="11"/>
                <w:szCs w:val="11"/>
                <w:b w:val="1"/>
                <w:bCs w:val="1"/>
                <w:color w:val="auto"/>
                <w:w w:val="95"/>
              </w:rPr>
              <w:t>76-0423828</w:t>
            </w:r>
          </w:p>
        </w:tc>
        <w:tc>
          <w:tcPr>
            <w:tcW w:w="0" w:type="dxa"/>
            <w:vAlign w:val="bottom"/>
          </w:tcPr>
          <w:p>
            <w:pPr>
              <w:spacing w:after="0"/>
              <w:rPr>
                <w:sz w:val="1"/>
                <w:szCs w:val="1"/>
                <w:color w:val="auto"/>
              </w:rPr>
            </w:pPr>
          </w:p>
        </w:tc>
      </w:tr>
      <w:tr>
        <w:trPr>
          <w:trHeight w:val="114"/>
        </w:trPr>
        <w:tc>
          <w:tcPr>
            <w:tcW w:w="1780" w:type="dxa"/>
            <w:vAlign w:val="bottom"/>
          </w:tcPr>
          <w:p>
            <w:pPr>
              <w:spacing w:after="0"/>
              <w:rPr>
                <w:sz w:val="9"/>
                <w:szCs w:val="9"/>
                <w:color w:val="auto"/>
              </w:rPr>
            </w:pPr>
          </w:p>
        </w:tc>
        <w:tc>
          <w:tcPr>
            <w:tcW w:w="2080" w:type="dxa"/>
            <w:vAlign w:val="bottom"/>
            <w:gridSpan w:val="2"/>
          </w:tcPr>
          <w:p>
            <w:pPr>
              <w:jc w:val="center"/>
              <w:ind w:right="120"/>
              <w:spacing w:after="0" w:line="114" w:lineRule="exact"/>
              <w:rPr>
                <w:sz w:val="20"/>
                <w:szCs w:val="20"/>
                <w:color w:val="auto"/>
              </w:rPr>
            </w:pPr>
            <w:r>
              <w:rPr>
                <w:rFonts w:ascii="Arial" w:cs="Arial" w:eastAsia="Arial" w:hAnsi="Arial"/>
                <w:sz w:val="11"/>
                <w:szCs w:val="11"/>
                <w:color w:val="auto"/>
                <w:w w:val="95"/>
              </w:rPr>
              <w:t>(State or other jurisdiction of</w:t>
            </w: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100" w:type="dxa"/>
            <w:vAlign w:val="bottom"/>
          </w:tcPr>
          <w:p>
            <w:pPr>
              <w:jc w:val="center"/>
              <w:ind w:right="524"/>
              <w:spacing w:after="0" w:line="114" w:lineRule="exact"/>
              <w:rPr>
                <w:sz w:val="20"/>
                <w:szCs w:val="20"/>
                <w:color w:val="auto"/>
              </w:rPr>
            </w:pPr>
            <w:r>
              <w:rPr>
                <w:rFonts w:ascii="Arial" w:cs="Arial" w:eastAsia="Arial" w:hAnsi="Arial"/>
                <w:sz w:val="11"/>
                <w:szCs w:val="11"/>
                <w:color w:val="auto"/>
                <w:w w:val="94"/>
              </w:rPr>
              <w:t>(I.R.S. Employer</w:t>
            </w:r>
          </w:p>
        </w:tc>
        <w:tc>
          <w:tcPr>
            <w:tcW w:w="0" w:type="dxa"/>
            <w:vAlign w:val="bottom"/>
          </w:tcPr>
          <w:p>
            <w:pPr>
              <w:spacing w:after="0"/>
              <w:rPr>
                <w:sz w:val="1"/>
                <w:szCs w:val="1"/>
                <w:color w:val="auto"/>
              </w:rPr>
            </w:pPr>
          </w:p>
        </w:tc>
      </w:tr>
      <w:tr>
        <w:trPr>
          <w:trHeight w:val="145"/>
        </w:trPr>
        <w:tc>
          <w:tcPr>
            <w:tcW w:w="1780" w:type="dxa"/>
            <w:vAlign w:val="bottom"/>
          </w:tcPr>
          <w:p>
            <w:pPr>
              <w:spacing w:after="0"/>
              <w:rPr>
                <w:sz w:val="12"/>
                <w:szCs w:val="12"/>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1"/>
                <w:szCs w:val="11"/>
                <w:color w:val="auto"/>
                <w:w w:val="95"/>
              </w:rPr>
              <w:t>incorporation or organization)</w:t>
            </w: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00" w:type="dxa"/>
            <w:vAlign w:val="bottom"/>
          </w:tcPr>
          <w:p>
            <w:pPr>
              <w:jc w:val="center"/>
              <w:ind w:right="524"/>
              <w:spacing w:after="0"/>
              <w:rPr>
                <w:sz w:val="20"/>
                <w:szCs w:val="20"/>
                <w:color w:val="auto"/>
              </w:rPr>
            </w:pPr>
            <w:r>
              <w:rPr>
                <w:rFonts w:ascii="Arial" w:cs="Arial" w:eastAsia="Arial" w:hAnsi="Arial"/>
                <w:sz w:val="11"/>
                <w:szCs w:val="11"/>
                <w:color w:val="auto"/>
                <w:w w:val="98"/>
              </w:rPr>
              <w:t>Identification No.)</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80" w:type="dxa"/>
            <w:vAlign w:val="bottom"/>
            <w:gridSpan w:val="5"/>
          </w:tcPr>
          <w:p>
            <w:pPr>
              <w:jc w:val="center"/>
              <w:ind w:right="2464"/>
              <w:spacing w:after="0"/>
              <w:rPr>
                <w:sz w:val="20"/>
                <w:szCs w:val="20"/>
                <w:color w:val="auto"/>
              </w:rPr>
            </w:pPr>
            <w:r>
              <w:rPr>
                <w:rFonts w:ascii="Arial" w:cs="Arial" w:eastAsia="Arial" w:hAnsi="Arial"/>
                <w:sz w:val="11"/>
                <w:szCs w:val="11"/>
                <w:b w:val="1"/>
                <w:bCs w:val="1"/>
                <w:color w:val="auto"/>
                <w:w w:val="92"/>
              </w:rPr>
              <w:t>3040 Post Oak Boulevard, Suite 300</w:t>
            </w: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Houston, Texas, 77056</w:t>
            </w:r>
          </w:p>
        </w:tc>
        <w:tc>
          <w:tcPr>
            <w:tcW w:w="14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80" w:type="dxa"/>
            <w:vAlign w:val="bottom"/>
            <w:gridSpan w:val="5"/>
          </w:tcPr>
          <w:p>
            <w:pPr>
              <w:jc w:val="center"/>
              <w:ind w:right="2444"/>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0" w:type="dxa"/>
            <w:vAlign w:val="bottom"/>
          </w:tcPr>
          <w:p>
            <w:pPr>
              <w:spacing w:after="0"/>
              <w:rPr>
                <w:sz w:val="1"/>
                <w:szCs w:val="1"/>
                <w:color w:val="auto"/>
              </w:rPr>
            </w:pPr>
          </w:p>
        </w:tc>
      </w:tr>
      <w:tr>
        <w:trPr>
          <w:trHeight w:val="147"/>
        </w:trPr>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60" w:type="dxa"/>
            <w:vAlign w:val="bottom"/>
            <w:gridSpan w:val="3"/>
          </w:tcPr>
          <w:p>
            <w:pPr>
              <w:jc w:val="center"/>
              <w:ind w:left="964"/>
              <w:spacing w:after="0"/>
              <w:rPr>
                <w:sz w:val="20"/>
                <w:szCs w:val="20"/>
                <w:color w:val="auto"/>
              </w:rPr>
            </w:pPr>
            <w:r>
              <w:rPr>
                <w:rFonts w:ascii="Arial" w:cs="Arial" w:eastAsia="Arial" w:hAnsi="Arial"/>
                <w:sz w:val="11"/>
                <w:szCs w:val="11"/>
                <w:b w:val="1"/>
                <w:bCs w:val="1"/>
                <w:color w:val="auto"/>
                <w:w w:val="93"/>
              </w:rPr>
              <w:t>(713) 332-8400</w:t>
            </w:r>
          </w:p>
        </w:tc>
        <w:tc>
          <w:tcPr>
            <w:tcW w:w="14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60" w:type="dxa"/>
            <w:vAlign w:val="bottom"/>
            <w:gridSpan w:val="3"/>
          </w:tcPr>
          <w:p>
            <w:pPr>
              <w:spacing w:after="0"/>
              <w:rPr>
                <w:sz w:val="20"/>
                <w:szCs w:val="20"/>
                <w:color w:val="auto"/>
              </w:rPr>
            </w:pPr>
            <w:r>
              <w:rPr>
                <w:rFonts w:ascii="Arial" w:cs="Arial" w:eastAsia="Arial" w:hAnsi="Arial"/>
                <w:sz w:val="11"/>
                <w:szCs w:val="11"/>
                <w:b w:val="1"/>
                <w:bCs w:val="1"/>
                <w:color w:val="auto"/>
              </w:rPr>
              <w:t>(Registrant’s telephone number, including area code)</w:t>
            </w:r>
          </w:p>
        </w:tc>
        <w:tc>
          <w:tcPr>
            <w:tcW w:w="6080" w:type="dxa"/>
            <w:vAlign w:val="bottom"/>
            <w:gridSpan w:val="5"/>
            <w:vMerge w:val="restart"/>
          </w:tcPr>
          <w:p>
            <w:pPr>
              <w:jc w:val="center"/>
              <w:ind w:right="2464"/>
              <w:spacing w:after="0"/>
              <w:rPr>
                <w:sz w:val="20"/>
                <w:szCs w:val="20"/>
                <w:color w:val="auto"/>
              </w:rPr>
            </w:pPr>
            <w:r>
              <w:rPr>
                <w:rFonts w:ascii="Arial" w:cs="Arial" w:eastAsia="Arial" w:hAnsi="Arial"/>
                <w:sz w:val="11"/>
                <w:szCs w:val="11"/>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2080" w:type="dxa"/>
            <w:vAlign w:val="bottom"/>
            <w:gridSpan w:val="2"/>
          </w:tcPr>
          <w:p>
            <w:pPr>
              <w:jc w:val="center"/>
              <w:ind w:right="1240"/>
              <w:spacing w:after="0"/>
              <w:rPr>
                <w:sz w:val="20"/>
                <w:szCs w:val="20"/>
                <w:color w:val="auto"/>
              </w:rPr>
            </w:pPr>
            <w:r>
              <w:rPr>
                <w:rFonts w:ascii="Arial" w:cs="Arial" w:eastAsia="Arial" w:hAnsi="Arial"/>
                <w:sz w:val="11"/>
                <w:szCs w:val="11"/>
                <w:b w:val="1"/>
                <w:bCs w:val="1"/>
                <w:color w:val="auto"/>
                <w:w w:val="88"/>
              </w:rPr>
              <w:t>Title of each class</w:t>
            </w:r>
          </w:p>
        </w:tc>
        <w:tc>
          <w:tcPr>
            <w:tcW w:w="2560" w:type="dxa"/>
            <w:vAlign w:val="bottom"/>
            <w:gridSpan w:val="3"/>
          </w:tcPr>
          <w:p>
            <w:pPr>
              <w:jc w:val="center"/>
              <w:ind w:left="604"/>
              <w:spacing w:after="0"/>
              <w:rPr>
                <w:sz w:val="20"/>
                <w:szCs w:val="20"/>
                <w:color w:val="auto"/>
              </w:rPr>
            </w:pPr>
            <w:r>
              <w:rPr>
                <w:rFonts w:ascii="Arial" w:cs="Arial" w:eastAsia="Arial" w:hAnsi="Arial"/>
                <w:sz w:val="11"/>
                <w:szCs w:val="11"/>
                <w:b w:val="1"/>
                <w:bCs w:val="1"/>
                <w:color w:val="auto"/>
                <w:w w:val="93"/>
              </w:rPr>
              <w:t>Trading Symbol</w:t>
            </w:r>
          </w:p>
        </w:tc>
        <w:tc>
          <w:tcPr>
            <w:tcW w:w="3520" w:type="dxa"/>
            <w:vAlign w:val="bottom"/>
            <w:gridSpan w:val="2"/>
          </w:tcPr>
          <w:p>
            <w:pPr>
              <w:jc w:val="center"/>
              <w:ind w:left="1364"/>
              <w:spacing w:after="0"/>
              <w:rPr>
                <w:sz w:val="20"/>
                <w:szCs w:val="20"/>
                <w:color w:val="auto"/>
              </w:rPr>
            </w:pPr>
            <w:r>
              <w:rPr>
                <w:rFonts w:ascii="Arial" w:cs="Arial" w:eastAsia="Arial" w:hAnsi="Arial"/>
                <w:sz w:val="11"/>
                <w:szCs w:val="11"/>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60" w:type="dxa"/>
            <w:vAlign w:val="bottom"/>
            <w:gridSpan w:val="3"/>
          </w:tcPr>
          <w:p>
            <w:pPr>
              <w:jc w:val="center"/>
              <w:ind w:left="484"/>
              <w:spacing w:after="0"/>
              <w:rPr>
                <w:sz w:val="20"/>
                <w:szCs w:val="20"/>
                <w:color w:val="auto"/>
              </w:rPr>
            </w:pPr>
            <w:r>
              <w:rPr>
                <w:rFonts w:ascii="Arial" w:cs="Arial" w:eastAsia="Arial" w:hAnsi="Arial"/>
                <w:sz w:val="11"/>
                <w:szCs w:val="11"/>
                <w:color w:val="auto"/>
                <w:w w:val="90"/>
              </w:rPr>
              <w:t>Common Stock, Par Value $.01 Per Share</w:t>
            </w:r>
          </w:p>
        </w:tc>
        <w:tc>
          <w:tcPr>
            <w:tcW w:w="1220" w:type="dxa"/>
            <w:vAlign w:val="bottom"/>
          </w:tcPr>
          <w:p>
            <w:pPr>
              <w:spacing w:after="0"/>
              <w:rPr>
                <w:sz w:val="13"/>
                <w:szCs w:val="13"/>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1"/>
                <w:szCs w:val="11"/>
                <w:color w:val="auto"/>
                <w:w w:val="97"/>
              </w:rPr>
              <w:t>CSV</w:t>
            </w:r>
          </w:p>
        </w:tc>
        <w:tc>
          <w:tcPr>
            <w:tcW w:w="142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1"/>
                <w:szCs w:val="11"/>
                <w:color w:val="auto"/>
                <w:w w:val="93"/>
              </w:rPr>
              <w:t>New York Stock Exchange</w:t>
            </w:r>
          </w:p>
        </w:tc>
        <w:tc>
          <w:tcPr>
            <w:tcW w:w="0" w:type="dxa"/>
            <w:vAlign w:val="bottom"/>
          </w:tcPr>
          <w:p>
            <w:pPr>
              <w:spacing w:after="0"/>
              <w:rPr>
                <w:sz w:val="1"/>
                <w:szCs w:val="1"/>
                <w:color w:val="auto"/>
              </w:rPr>
            </w:pPr>
          </w:p>
        </w:tc>
      </w:tr>
      <w:tr>
        <w:trPr>
          <w:trHeight w:val="235"/>
        </w:trPr>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80" w:type="dxa"/>
            <w:vAlign w:val="bottom"/>
            <w:gridSpan w:val="5"/>
          </w:tcPr>
          <w:p>
            <w:pPr>
              <w:jc w:val="center"/>
              <w:ind w:right="2464"/>
              <w:spacing w:after="0"/>
              <w:rPr>
                <w:sz w:val="20"/>
                <w:szCs w:val="20"/>
                <w:color w:val="auto"/>
              </w:rPr>
            </w:pPr>
            <w:r>
              <w:rPr>
                <w:rFonts w:ascii="Arial" w:cs="Arial" w:eastAsia="Arial" w:hAnsi="Arial"/>
                <w:sz w:val="11"/>
                <w:szCs w:val="11"/>
                <w:b w:val="1"/>
                <w:bCs w:val="1"/>
                <w:color w:val="auto"/>
                <w:w w:val="91"/>
              </w:rPr>
              <w:t>Securities registered pursuant to Section 12(g) of the Act:</w:t>
            </w: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None</w:t>
            </w:r>
          </w:p>
        </w:tc>
        <w:tc>
          <w:tcPr>
            <w:tcW w:w="14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980" w:type="dxa"/>
            <w:vAlign w:val="bottom"/>
            <w:gridSpan w:val="4"/>
          </w:tcPr>
          <w:p>
            <w:pPr>
              <w:jc w:val="right"/>
              <w:ind w:right="824"/>
              <w:spacing w:after="0"/>
              <w:rPr>
                <w:sz w:val="20"/>
                <w:szCs w:val="20"/>
                <w:color w:val="auto"/>
              </w:rPr>
            </w:pPr>
            <w:r>
              <w:rPr>
                <w:rFonts w:ascii="Arial" w:cs="Arial" w:eastAsia="Arial" w:hAnsi="Arial"/>
                <w:sz w:val="11"/>
                <w:szCs w:val="11"/>
                <w:color w:val="auto"/>
              </w:rPr>
              <w:t>_______________________________________________</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20" w:type="dxa"/>
            <w:vAlign w:val="bottom"/>
            <w:gridSpan w:val="6"/>
          </w:tcPr>
          <w:p>
            <w:pPr>
              <w:spacing w:after="0" w:line="127" w:lineRule="exact"/>
              <w:rPr>
                <w:sz w:val="20"/>
                <w:szCs w:val="20"/>
                <w:color w:val="auto"/>
              </w:rPr>
            </w:pPr>
            <w:r>
              <w:rPr>
                <w:rFonts w:ascii="Arial" w:cs="Arial" w:eastAsia="Arial" w:hAnsi="Arial"/>
                <w:sz w:val="11"/>
                <w:szCs w:val="11"/>
                <w:color w:val="auto"/>
                <w:w w:val="95"/>
              </w:rPr>
              <w:t xml:space="preserve">Indicate by check mark if the registrant is a well-known seasoned issuer, as defined in Rule 405 of the Securities Act of 1933.   Yes </w:t>
            </w:r>
            <w:r>
              <w:rPr>
                <w:rFonts w:ascii="MS PGothic" w:cs="MS PGothic" w:eastAsia="MS PGothic" w:hAnsi="MS PGothic"/>
                <w:sz w:val="11"/>
                <w:szCs w:val="11"/>
                <w:color w:val="auto"/>
                <w:w w:val="95"/>
              </w:rPr>
              <w:t>☐</w:t>
            </w:r>
            <w:r>
              <w:rPr>
                <w:rFonts w:ascii="Arial" w:cs="Arial" w:eastAsia="Arial" w:hAnsi="Arial"/>
                <w:sz w:val="11"/>
                <w:szCs w:val="11"/>
                <w:color w:val="auto"/>
                <w:w w:val="95"/>
              </w:rPr>
              <w:t xml:space="preserve">  No</w:t>
            </w:r>
          </w:p>
        </w:tc>
        <w:tc>
          <w:tcPr>
            <w:tcW w:w="3520" w:type="dxa"/>
            <w:vAlign w:val="bottom"/>
            <w:gridSpan w:val="2"/>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r>
        <w:trPr>
          <w:trHeight w:val="180"/>
        </w:trPr>
        <w:tc>
          <w:tcPr>
            <w:tcW w:w="6420" w:type="dxa"/>
            <w:vAlign w:val="bottom"/>
            <w:gridSpan w:val="6"/>
          </w:tcPr>
          <w:p>
            <w:pPr>
              <w:spacing w:after="0"/>
              <w:rPr>
                <w:sz w:val="20"/>
                <w:szCs w:val="20"/>
                <w:color w:val="auto"/>
              </w:rPr>
            </w:pPr>
            <w:r>
              <w:rPr>
                <w:rFonts w:ascii="Arial" w:cs="Arial" w:eastAsia="Arial" w:hAnsi="Arial"/>
                <w:sz w:val="11"/>
                <w:szCs w:val="11"/>
                <w:color w:val="auto"/>
                <w:w w:val="94"/>
              </w:rPr>
              <w:t>Indicate by check mark if the registrant is not required to file reports pursuant to Section 13 or 15(d) of the Securities Exchange Act of 1934.</w:t>
            </w:r>
          </w:p>
        </w:tc>
        <w:tc>
          <w:tcPr>
            <w:tcW w:w="3520" w:type="dxa"/>
            <w:vAlign w:val="bottom"/>
            <w:gridSpan w:val="2"/>
          </w:tcPr>
          <w:p>
            <w:pPr>
              <w:ind w:left="4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3839210</wp:posOffset>
            </wp:positionH>
            <wp:positionV relativeFrom="paragraph">
              <wp:posOffset>-198120</wp:posOffset>
            </wp:positionV>
            <wp:extent cx="54610"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-198120</wp:posOffset>
            </wp:positionV>
            <wp:extent cx="54610"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-83820</wp:posOffset>
            </wp:positionV>
            <wp:extent cx="54610"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-83820</wp:posOffset>
            </wp:positionV>
            <wp:extent cx="54610"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ind w:right="20"/>
        <w:spacing w:after="0" w:line="14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-83820</wp:posOffset>
            </wp:positionV>
            <wp:extent cx="54610"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-83820</wp:posOffset>
            </wp:positionV>
            <wp:extent cx="54610"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ind w:right="20"/>
        <w:spacing w:after="0" w:line="141"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3683000</wp:posOffset>
            </wp:positionH>
            <wp:positionV relativeFrom="paragraph">
              <wp:posOffset>-83820</wp:posOffset>
            </wp:positionV>
            <wp:extent cx="54610"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3945255</wp:posOffset>
            </wp:positionH>
            <wp:positionV relativeFrom="paragraph">
              <wp:posOffset>-83820</wp:posOffset>
            </wp:positionV>
            <wp:extent cx="54610"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ind w:right="60"/>
        <w:spacing w:after="0" w:line="27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Securities Exchange Act of 1934.</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148"/>
        </w:trPr>
        <w:tc>
          <w:tcPr>
            <w:tcW w:w="138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5020" w:type="dxa"/>
            <w:vAlign w:val="bottom"/>
          </w:tcPr>
          <w:p>
            <w:pPr>
              <w:ind w:left="36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380"/>
              <w:spacing w:after="0"/>
              <w:rPr>
                <w:sz w:val="20"/>
                <w:szCs w:val="20"/>
                <w:color w:val="auto"/>
              </w:rPr>
            </w:pPr>
            <w:r>
              <w:rPr>
                <w:rFonts w:ascii="Arial" w:cs="Arial" w:eastAsia="Arial" w:hAnsi="Arial"/>
                <w:sz w:val="11"/>
                <w:szCs w:val="11"/>
                <w:color w:val="auto"/>
              </w:rPr>
              <w:t>Accelerated filer</w:t>
            </w:r>
          </w:p>
        </w:tc>
        <w:tc>
          <w:tcPr>
            <w:tcW w:w="58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59"/>
        </w:trPr>
        <w:tc>
          <w:tcPr>
            <w:tcW w:w="1380" w:type="dxa"/>
            <w:vAlign w:val="bottom"/>
          </w:tcPr>
          <w:p>
            <w:pPr>
              <w:spacing w:after="0"/>
              <w:rPr>
                <w:sz w:val="20"/>
                <w:szCs w:val="20"/>
                <w:color w:val="auto"/>
              </w:rPr>
            </w:pPr>
            <w:r>
              <w:rPr>
                <w:rFonts w:ascii="Arial" w:cs="Arial" w:eastAsia="Arial" w:hAnsi="Arial"/>
                <w:sz w:val="11"/>
                <w:szCs w:val="11"/>
                <w:color w:val="auto"/>
              </w:rPr>
              <w:t>Non-accelerated filer</w:t>
            </w:r>
          </w:p>
        </w:tc>
        <w:tc>
          <w:tcPr>
            <w:tcW w:w="5020" w:type="dxa"/>
            <w:vAlign w:val="bottom"/>
          </w:tcPr>
          <w:p>
            <w:pPr>
              <w:ind w:left="36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(Do not check if a smaller reporting company)</w:t>
            </w:r>
          </w:p>
        </w:tc>
        <w:tc>
          <w:tcPr>
            <w:tcW w:w="4080" w:type="dxa"/>
            <w:vAlign w:val="bottom"/>
          </w:tcPr>
          <w:p>
            <w:pPr>
              <w:ind w:left="2380"/>
              <w:spacing w:after="0"/>
              <w:rPr>
                <w:sz w:val="20"/>
                <w:szCs w:val="20"/>
                <w:color w:val="auto"/>
              </w:rPr>
            </w:pPr>
            <w:r>
              <w:rPr>
                <w:rFonts w:ascii="Arial" w:cs="Arial" w:eastAsia="Arial" w:hAnsi="Arial"/>
                <w:sz w:val="11"/>
                <w:szCs w:val="11"/>
                <w:color w:val="auto"/>
              </w:rPr>
              <w:t>Smaller reporting company</w:t>
            </w:r>
          </w:p>
        </w:tc>
        <w:tc>
          <w:tcPr>
            <w:tcW w:w="58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77"/>
        </w:trPr>
        <w:tc>
          <w:tcPr>
            <w:tcW w:w="13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4080" w:type="dxa"/>
            <w:vAlign w:val="bottom"/>
          </w:tcPr>
          <w:p>
            <w:pPr>
              <w:ind w:left="2380"/>
              <w:spacing w:after="0"/>
              <w:rPr>
                <w:sz w:val="20"/>
                <w:szCs w:val="20"/>
                <w:color w:val="auto"/>
              </w:rPr>
            </w:pPr>
            <w:r>
              <w:rPr>
                <w:rFonts w:ascii="Arial" w:cs="Arial" w:eastAsia="Arial" w:hAnsi="Arial"/>
                <w:sz w:val="11"/>
                <w:szCs w:val="11"/>
                <w:color w:val="auto"/>
              </w:rPr>
              <w:t>Emerging growth company</w:t>
            </w:r>
          </w:p>
        </w:tc>
        <w:tc>
          <w:tcPr>
            <w:tcW w:w="580" w:type="dxa"/>
            <w:vAlign w:val="bottom"/>
          </w:tcPr>
          <w:p>
            <w:pPr>
              <w:ind w:left="460"/>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1127760</wp:posOffset>
            </wp:positionH>
            <wp:positionV relativeFrom="paragraph">
              <wp:posOffset>-278765</wp:posOffset>
            </wp:positionV>
            <wp:extent cx="54610"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-278765</wp:posOffset>
            </wp:positionV>
            <wp:extent cx="54610"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-184785</wp:posOffset>
            </wp:positionV>
            <wp:extent cx="54610"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-177800</wp:posOffset>
            </wp:positionV>
            <wp:extent cx="54610"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6971665</wp:posOffset>
            </wp:positionH>
            <wp:positionV relativeFrom="paragraph">
              <wp:posOffset>-83820</wp:posOffset>
            </wp:positionV>
            <wp:extent cx="54610"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spacing w:after="0" w:line="141"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-83820</wp:posOffset>
            </wp:positionV>
            <wp:extent cx="54610"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spacing w:after="0" w:line="110" w:lineRule="exact"/>
        <w:rPr>
          <w:sz w:val="24"/>
          <w:szCs w:val="24"/>
          <w:color w:val="auto"/>
        </w:rPr>
      </w:pPr>
    </w:p>
    <w:p>
      <w:pPr>
        <w:ind w:left="20"/>
        <w:spacing w:after="0"/>
        <w:rPr>
          <w:sz w:val="20"/>
          <w:szCs w:val="20"/>
          <w:color w:val="auto"/>
        </w:rPr>
      </w:pPr>
      <w:r>
        <w:rPr>
          <w:rFonts w:ascii="Arial" w:cs="Arial" w:eastAsia="Arial" w:hAnsi="Arial"/>
          <w:sz w:val="10"/>
          <w:szCs w:val="10"/>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6971665</wp:posOffset>
            </wp:positionH>
            <wp:positionV relativeFrom="paragraph">
              <wp:posOffset>15875</wp:posOffset>
            </wp:positionV>
            <wp:extent cx="54610"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0"/>
          <w:szCs w:val="10"/>
          <w:color w:val="auto"/>
        </w:rPr>
        <w:t>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96" w:lineRule="exact"/>
        <w:rPr>
          <w:sz w:val="24"/>
          <w:szCs w:val="24"/>
          <w:color w:val="auto"/>
        </w:rPr>
      </w:pPr>
    </w:p>
    <w:p>
      <w:pPr>
        <w:sectPr>
          <w:pgSz w:w="11900" w:h="16838" w:orient="portrait"/>
          <w:cols w:equalWidth="0" w:num="2">
            <w:col w:w="10240" w:space="720"/>
            <w:col w:w="320"/>
          </w:cols>
          <w:pgMar w:left="300" w:top="214" w:right="319" w:bottom="1440" w:gutter="0" w:footer="0" w:header="0"/>
          <w:type w:val="continuous"/>
        </w:sectPr>
      </w:pPr>
    </w:p>
    <w:p>
      <w:pPr>
        <w:spacing w:after="0" w:line="127" w:lineRule="exact"/>
        <w:tabs>
          <w:tab w:leader="none" w:pos="6020" w:val="left"/>
          <w:tab w:leader="none" w:pos="6460" w:val="left"/>
        </w:tabs>
        <w:rPr>
          <w:sz w:val="20"/>
          <w:szCs w:val="20"/>
          <w:color w:val="auto"/>
        </w:rPr>
      </w:pPr>
      <w:r>
        <w:rPr>
          <w:rFonts w:ascii="Arial" w:cs="Arial" w:eastAsia="Arial" w:hAnsi="Arial"/>
          <w:sz w:val="11"/>
          <w:szCs w:val="11"/>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3983355</wp:posOffset>
            </wp:positionH>
            <wp:positionV relativeFrom="paragraph">
              <wp:posOffset>-52070</wp:posOffset>
            </wp:positionV>
            <wp:extent cx="54610"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610" cy="5524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-52070</wp:posOffset>
            </wp:positionV>
            <wp:extent cx="54610"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610" cy="5524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The aggregate market value of the voting and non-voting common equity held by non-affiliates of the registrant as of June 30, 2020 was approximately $295.5 million based on the closing price of $18.12 per share on the New York Stock Exchange.</w:t>
      </w:r>
    </w:p>
    <w:p>
      <w:pPr>
        <w:spacing w:after="0" w:line="54"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the registrant’s Common Stock, $.01 par value per share, outstanding as of February 26, 2021 was 17,994,717.</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13" w:lineRule="exact"/>
        <w:rPr>
          <w:sz w:val="24"/>
          <w:szCs w:val="24"/>
          <w:color w:val="auto"/>
        </w:rPr>
      </w:pPr>
    </w:p>
    <w:p>
      <w:pPr>
        <w:ind w:left="4580"/>
        <w:spacing w:after="0"/>
        <w:rPr>
          <w:sz w:val="20"/>
          <w:szCs w:val="20"/>
          <w:color w:val="auto"/>
        </w:rPr>
      </w:pPr>
      <w:r>
        <w:rPr>
          <w:rFonts w:ascii="Arial" w:cs="Arial" w:eastAsia="Arial" w:hAnsi="Arial"/>
          <w:sz w:val="11"/>
          <w:szCs w:val="11"/>
          <w:color w:val="auto"/>
        </w:rPr>
        <w:t>_____________________________________</w:t>
      </w:r>
    </w:p>
    <w:p>
      <w:pPr>
        <w:spacing w:after="0" w:line="33" w:lineRule="exact"/>
        <w:rPr>
          <w:sz w:val="24"/>
          <w:szCs w:val="24"/>
          <w:color w:val="auto"/>
        </w:rPr>
      </w:pPr>
    </w:p>
    <w:p>
      <w:pPr>
        <w:spacing w:after="0" w:line="275" w:lineRule="auto"/>
        <w:rPr>
          <w:sz w:val="20"/>
          <w:szCs w:val="20"/>
          <w:color w:val="auto"/>
        </w:rPr>
      </w:pPr>
      <w:r>
        <w:rPr>
          <w:rFonts w:ascii="Arial" w:cs="Arial" w:eastAsia="Arial" w:hAnsi="Arial"/>
          <w:sz w:val="11"/>
          <w:szCs w:val="11"/>
          <w:color w:val="auto"/>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450850</wp:posOffset>
            </wp:positionV>
            <wp:extent cx="716216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8320" w:type="dxa"/>
            <w:vAlign w:val="bottom"/>
          </w:tcPr>
          <w:p>
            <w:pPr>
              <w:ind w:left="4380"/>
              <w:spacing w:after="0"/>
              <w:rPr>
                <w:sz w:val="20"/>
                <w:szCs w:val="20"/>
                <w:color w:val="auto"/>
              </w:rPr>
            </w:pPr>
            <w:r>
              <w:rPr>
                <w:rFonts w:ascii="Arial" w:cs="Arial" w:eastAsia="Arial" w:hAnsi="Arial"/>
                <w:sz w:val="14"/>
                <w:szCs w:val="14"/>
                <w:b w:val="1"/>
                <w:bCs w:val="1"/>
                <w:color w:val="auto"/>
              </w:rPr>
              <w:t>Table of Contents</w:t>
            </w:r>
          </w:p>
        </w:tc>
        <w:tc>
          <w:tcPr>
            <w:tcW w:w="2220" w:type="dxa"/>
            <w:vAlign w:val="bottom"/>
          </w:tcPr>
          <w:p>
            <w:pPr>
              <w:spacing w:after="0"/>
              <w:rPr>
                <w:sz w:val="15"/>
                <w:szCs w:val="15"/>
                <w:color w:val="auto"/>
              </w:rPr>
            </w:pPr>
          </w:p>
        </w:tc>
      </w:tr>
      <w:tr>
        <w:trPr>
          <w:trHeight w:val="384"/>
        </w:trPr>
        <w:tc>
          <w:tcPr>
            <w:tcW w:w="7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220" w:type="dxa"/>
            <w:vAlign w:val="bottom"/>
          </w:tcPr>
          <w:p>
            <w:pPr>
              <w:jc w:val="right"/>
              <w:ind w:right="170"/>
              <w:spacing w:after="0"/>
              <w:rPr>
                <w:sz w:val="20"/>
                <w:szCs w:val="20"/>
                <w:color w:val="auto"/>
              </w:rPr>
            </w:pPr>
            <w:r>
              <w:rPr>
                <w:rFonts w:ascii="Arial" w:cs="Arial" w:eastAsia="Arial" w:hAnsi="Arial"/>
                <w:sz w:val="11"/>
                <w:szCs w:val="11"/>
                <w:color w:val="auto"/>
              </w:rPr>
              <w:t>Page</w:t>
            </w:r>
          </w:p>
        </w:tc>
      </w:tr>
      <w:tr>
        <w:trPr>
          <w:trHeight w:val="188"/>
        </w:trPr>
        <w:tc>
          <w:tcPr>
            <w:tcW w:w="740" w:type="dxa"/>
            <w:vAlign w:val="bottom"/>
          </w:tcPr>
          <w:p>
            <w:pPr>
              <w:spacing w:after="0"/>
              <w:rPr>
                <w:sz w:val="16"/>
                <w:szCs w:val="16"/>
                <w:color w:val="auto"/>
              </w:rPr>
            </w:pPr>
          </w:p>
        </w:tc>
        <w:tc>
          <w:tcPr>
            <w:tcW w:w="8320" w:type="dxa"/>
            <w:vAlign w:val="bottom"/>
          </w:tcPr>
          <w:p>
            <w:pPr>
              <w:jc w:val="center"/>
              <w:ind w:left="1369"/>
              <w:spacing w:after="0"/>
              <w:rPr>
                <w:rFonts w:ascii="Arial" w:cs="Arial" w:eastAsia="Arial" w:hAnsi="Arial"/>
                <w:sz w:val="14"/>
                <w:szCs w:val="14"/>
                <w:u w:val="single" w:color="auto"/>
                <w:color w:val="0000FF"/>
                <w:w w:val="95"/>
              </w:rPr>
            </w:pPr>
            <w:hyperlink w:anchor="page2">
              <w:r>
                <w:rPr>
                  <w:rFonts w:ascii="Arial" w:cs="Arial" w:eastAsia="Arial" w:hAnsi="Arial"/>
                  <w:sz w:val="14"/>
                  <w:szCs w:val="14"/>
                  <w:u w:val="single" w:color="auto"/>
                  <w:color w:val="0000FF"/>
                  <w:w w:val="95"/>
                </w:rPr>
                <w:t>Part I</w:t>
              </w:r>
            </w:hyperlink>
          </w:p>
        </w:tc>
        <w:tc>
          <w:tcPr>
            <w:tcW w:w="2220" w:type="dxa"/>
            <w:vAlign w:val="bottom"/>
          </w:tcPr>
          <w:p>
            <w:pPr>
              <w:spacing w:after="0"/>
              <w:rPr>
                <w:sz w:val="16"/>
                <w:szCs w:val="16"/>
                <w:color w:val="auto"/>
              </w:rPr>
            </w:pPr>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w:t>
            </w:r>
          </w:p>
        </w:tc>
        <w:tc>
          <w:tcPr>
            <w:tcW w:w="8320" w:type="dxa"/>
            <w:vAlign w:val="bottom"/>
          </w:tcPr>
          <w:p>
            <w:pPr>
              <w:ind w:left="22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Business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3</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1A.</w:t>
            </w:r>
          </w:p>
        </w:tc>
        <w:tc>
          <w:tcPr>
            <w:tcW w:w="8320" w:type="dxa"/>
            <w:vAlign w:val="bottom"/>
          </w:tcPr>
          <w:p>
            <w:pPr>
              <w:ind w:left="220"/>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Risk Factors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11</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1B.</w:t>
            </w:r>
          </w:p>
        </w:tc>
        <w:tc>
          <w:tcPr>
            <w:tcW w:w="8320" w:type="dxa"/>
            <w:vAlign w:val="bottom"/>
          </w:tcPr>
          <w:p>
            <w:pPr>
              <w:ind w:left="220"/>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Unresolved Staff Comments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19</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2.</w:t>
            </w:r>
          </w:p>
        </w:tc>
        <w:tc>
          <w:tcPr>
            <w:tcW w:w="8320" w:type="dxa"/>
            <w:vAlign w:val="bottom"/>
          </w:tcPr>
          <w:p>
            <w:pPr>
              <w:ind w:left="220"/>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Properties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20</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3.</w:t>
            </w:r>
          </w:p>
        </w:tc>
        <w:tc>
          <w:tcPr>
            <w:tcW w:w="8320" w:type="dxa"/>
            <w:vAlign w:val="bottom"/>
          </w:tcPr>
          <w:p>
            <w:pPr>
              <w:ind w:left="220"/>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Legal Proceedings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21</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4.</w:t>
            </w:r>
          </w:p>
        </w:tc>
        <w:tc>
          <w:tcPr>
            <w:tcW w:w="8320" w:type="dxa"/>
            <w:vAlign w:val="bottom"/>
          </w:tcPr>
          <w:p>
            <w:pPr>
              <w:ind w:left="220"/>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Mine Safety Disclosures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21</w:t>
              </w:r>
            </w:hyperlink>
          </w:p>
        </w:tc>
      </w:tr>
      <w:tr>
        <w:trPr>
          <w:trHeight w:val="392"/>
        </w:trPr>
        <w:tc>
          <w:tcPr>
            <w:tcW w:w="740" w:type="dxa"/>
            <w:vAlign w:val="bottom"/>
          </w:tcPr>
          <w:p>
            <w:pPr>
              <w:spacing w:after="0"/>
              <w:rPr>
                <w:sz w:val="24"/>
                <w:szCs w:val="24"/>
                <w:color w:val="auto"/>
              </w:rPr>
            </w:pPr>
          </w:p>
        </w:tc>
        <w:tc>
          <w:tcPr>
            <w:tcW w:w="8320" w:type="dxa"/>
            <w:vAlign w:val="bottom"/>
          </w:tcPr>
          <w:p>
            <w:pPr>
              <w:jc w:val="center"/>
              <w:ind w:left="1369"/>
              <w:spacing w:after="0"/>
              <w:rPr>
                <w:rFonts w:ascii="Arial" w:cs="Arial" w:eastAsia="Arial" w:hAnsi="Arial"/>
                <w:sz w:val="14"/>
                <w:szCs w:val="14"/>
                <w:u w:val="single" w:color="auto"/>
                <w:color w:val="0000FF"/>
                <w:w w:val="96"/>
              </w:rPr>
            </w:pPr>
            <w:hyperlink w:anchor="page23">
              <w:r>
                <w:rPr>
                  <w:rFonts w:ascii="Arial" w:cs="Arial" w:eastAsia="Arial" w:hAnsi="Arial"/>
                  <w:sz w:val="14"/>
                  <w:szCs w:val="14"/>
                  <w:u w:val="single" w:color="auto"/>
                  <w:color w:val="0000FF"/>
                  <w:w w:val="96"/>
                </w:rPr>
                <w:t>Part II</w:t>
              </w:r>
            </w:hyperlink>
          </w:p>
        </w:tc>
        <w:tc>
          <w:tcPr>
            <w:tcW w:w="2220" w:type="dxa"/>
            <w:vAlign w:val="bottom"/>
          </w:tcPr>
          <w:p>
            <w:pPr>
              <w:spacing w:after="0"/>
              <w:rPr>
                <w:sz w:val="24"/>
                <w:szCs w:val="24"/>
                <w:color w:val="auto"/>
              </w:rPr>
            </w:pPr>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5.</w:t>
            </w:r>
          </w:p>
        </w:tc>
        <w:tc>
          <w:tcPr>
            <w:tcW w:w="8320" w:type="dxa"/>
            <w:vAlign w:val="bottom"/>
          </w:tcPr>
          <w:p>
            <w:pPr>
              <w:ind w:left="220"/>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Market for Registrant’s Common Equity, Related Stockholder Matters and Issuer Purchases of Equity Securities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3">
              <w:r>
                <w:rPr>
                  <w:rFonts w:ascii="Arial" w:cs="Arial" w:eastAsia="Arial" w:hAnsi="Arial"/>
                  <w:sz w:val="14"/>
                  <w:szCs w:val="14"/>
                  <w:u w:val="single" w:color="auto"/>
                  <w:color w:val="0000FF"/>
                </w:rPr>
                <w:t>21</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6.</w:t>
            </w:r>
          </w:p>
        </w:tc>
        <w:tc>
          <w:tcPr>
            <w:tcW w:w="8320" w:type="dxa"/>
            <w:vAlign w:val="bottom"/>
          </w:tcPr>
          <w:p>
            <w:pPr>
              <w:ind w:left="220"/>
              <w:spacing w:after="0"/>
              <w:rPr>
                <w:rFonts w:ascii="Arial" w:cs="Arial" w:eastAsia="Arial" w:hAnsi="Arial"/>
                <w:sz w:val="14"/>
                <w:szCs w:val="14"/>
                <w:u w:val="single" w:color="auto"/>
                <w:color w:val="0000FF"/>
              </w:rPr>
            </w:pPr>
            <w:hyperlink w:anchor="page25">
              <w:r>
                <w:rPr>
                  <w:rFonts w:ascii="Arial" w:cs="Arial" w:eastAsia="Arial" w:hAnsi="Arial"/>
                  <w:sz w:val="14"/>
                  <w:szCs w:val="14"/>
                  <w:u w:val="single" w:color="auto"/>
                  <w:color w:val="0000FF"/>
                </w:rPr>
                <w:t>Selected Financial Data</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5">
              <w:r>
                <w:rPr>
                  <w:rFonts w:ascii="Arial" w:cs="Arial" w:eastAsia="Arial" w:hAnsi="Arial"/>
                  <w:sz w:val="14"/>
                  <w:szCs w:val="14"/>
                  <w:u w:val="single" w:color="auto"/>
                  <w:color w:val="0000FF"/>
                </w:rPr>
                <w:t>24</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7.</w:t>
            </w:r>
          </w:p>
        </w:tc>
        <w:tc>
          <w:tcPr>
            <w:tcW w:w="8320" w:type="dxa"/>
            <w:vAlign w:val="bottom"/>
          </w:tcPr>
          <w:p>
            <w:pPr>
              <w:ind w:left="220"/>
              <w:spacing w:after="0"/>
              <w:rPr>
                <w:rFonts w:ascii="Arial" w:cs="Arial" w:eastAsia="Arial" w:hAnsi="Arial"/>
                <w:sz w:val="14"/>
                <w:szCs w:val="14"/>
                <w:u w:val="single" w:color="auto"/>
                <w:color w:val="0000FF"/>
              </w:rPr>
            </w:pPr>
            <w:hyperlink w:anchor="page26">
              <w:r>
                <w:rPr>
                  <w:rFonts w:ascii="Arial" w:cs="Arial" w:eastAsia="Arial" w:hAnsi="Arial"/>
                  <w:sz w:val="14"/>
                  <w:szCs w:val="14"/>
                  <w:u w:val="single" w:color="auto"/>
                  <w:color w:val="0000FF"/>
                </w:rPr>
                <w:t>Management’s Discussion and Analysis of Financial Condition and Results of Operations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26">
              <w:r>
                <w:rPr>
                  <w:rFonts w:ascii="Arial" w:cs="Arial" w:eastAsia="Arial" w:hAnsi="Arial"/>
                  <w:sz w:val="14"/>
                  <w:szCs w:val="14"/>
                  <w:u w:val="single" w:color="auto"/>
                  <w:color w:val="0000FF"/>
                </w:rPr>
                <w:t>24</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7A.</w:t>
            </w:r>
          </w:p>
        </w:tc>
        <w:tc>
          <w:tcPr>
            <w:tcW w:w="8320" w:type="dxa"/>
            <w:vAlign w:val="bottom"/>
          </w:tcPr>
          <w:p>
            <w:pPr>
              <w:ind w:left="220"/>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Quantitative and Qualitative Disclosures About Market Risk</w:t>
              </w:r>
            </w:hyperlink>
          </w:p>
        </w:tc>
        <w:tc>
          <w:tcPr>
            <w:tcW w:w="2220" w:type="dxa"/>
            <w:vAlign w:val="bottom"/>
          </w:tcPr>
          <w:p>
            <w:pPr>
              <w:jc w:val="right"/>
              <w:spacing w:after="0"/>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44</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8.</w:t>
            </w:r>
          </w:p>
        </w:tc>
        <w:tc>
          <w:tcPr>
            <w:tcW w:w="8320" w:type="dxa"/>
            <w:vAlign w:val="bottom"/>
          </w:tcPr>
          <w:p>
            <w:pPr>
              <w:ind w:left="22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Financial Statements and Supplementary Data</w:t>
              </w:r>
            </w:hyperlink>
          </w:p>
        </w:tc>
        <w:tc>
          <w:tcPr>
            <w:tcW w:w="2220" w:type="dxa"/>
            <w:vAlign w:val="bottom"/>
          </w:tcPr>
          <w:p>
            <w:pPr>
              <w:jc w:val="right"/>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45</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9.</w:t>
            </w:r>
          </w:p>
        </w:tc>
        <w:tc>
          <w:tcPr>
            <w:tcW w:w="8320" w:type="dxa"/>
            <w:vAlign w:val="bottom"/>
          </w:tcPr>
          <w:p>
            <w:pPr>
              <w:ind w:left="220"/>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Changes in and Disagreements with Accountants on Accounting and Financial Disclosure</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0">
              <w:r>
                <w:rPr>
                  <w:rFonts w:ascii="Arial" w:cs="Arial" w:eastAsia="Arial" w:hAnsi="Arial"/>
                  <w:sz w:val="14"/>
                  <w:szCs w:val="14"/>
                  <w:u w:val="single" w:color="auto"/>
                  <w:color w:val="0000FF"/>
                </w:rPr>
                <w:t>98</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9A.</w:t>
            </w:r>
          </w:p>
        </w:tc>
        <w:tc>
          <w:tcPr>
            <w:tcW w:w="8320" w:type="dxa"/>
            <w:vAlign w:val="bottom"/>
          </w:tcPr>
          <w:p>
            <w:pPr>
              <w:ind w:left="220"/>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Controls and Procedures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99</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9B.</w:t>
            </w:r>
          </w:p>
        </w:tc>
        <w:tc>
          <w:tcPr>
            <w:tcW w:w="8320" w:type="dxa"/>
            <w:vAlign w:val="bottom"/>
          </w:tcPr>
          <w:p>
            <w:pPr>
              <w:ind w:left="220"/>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Other Information</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101</w:t>
              </w:r>
            </w:hyperlink>
          </w:p>
        </w:tc>
      </w:tr>
      <w:tr>
        <w:trPr>
          <w:trHeight w:val="392"/>
        </w:trPr>
        <w:tc>
          <w:tcPr>
            <w:tcW w:w="740" w:type="dxa"/>
            <w:vAlign w:val="bottom"/>
          </w:tcPr>
          <w:p>
            <w:pPr>
              <w:spacing w:after="0"/>
              <w:rPr>
                <w:sz w:val="24"/>
                <w:szCs w:val="24"/>
                <w:color w:val="auto"/>
              </w:rPr>
            </w:pPr>
          </w:p>
        </w:tc>
        <w:tc>
          <w:tcPr>
            <w:tcW w:w="8320" w:type="dxa"/>
            <w:vAlign w:val="bottom"/>
          </w:tcPr>
          <w:p>
            <w:pPr>
              <w:jc w:val="center"/>
              <w:ind w:left="1369"/>
              <w:spacing w:after="0"/>
              <w:rPr>
                <w:rFonts w:ascii="Arial" w:cs="Arial" w:eastAsia="Arial" w:hAnsi="Arial"/>
                <w:sz w:val="14"/>
                <w:szCs w:val="14"/>
                <w:u w:val="single" w:color="auto"/>
                <w:color w:val="0000FF"/>
                <w:w w:val="96"/>
              </w:rPr>
            </w:pPr>
            <w:hyperlink w:anchor="page103">
              <w:r>
                <w:rPr>
                  <w:rFonts w:ascii="Arial" w:cs="Arial" w:eastAsia="Arial" w:hAnsi="Arial"/>
                  <w:sz w:val="14"/>
                  <w:szCs w:val="14"/>
                  <w:u w:val="single" w:color="auto"/>
                  <w:color w:val="0000FF"/>
                  <w:w w:val="96"/>
                </w:rPr>
                <w:t>Part III</w:t>
              </w:r>
            </w:hyperlink>
          </w:p>
        </w:tc>
        <w:tc>
          <w:tcPr>
            <w:tcW w:w="2220" w:type="dxa"/>
            <w:vAlign w:val="bottom"/>
          </w:tcPr>
          <w:p>
            <w:pPr>
              <w:spacing w:after="0"/>
              <w:rPr>
                <w:sz w:val="24"/>
                <w:szCs w:val="24"/>
                <w:color w:val="auto"/>
              </w:rPr>
            </w:pPr>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10.</w:t>
            </w:r>
          </w:p>
        </w:tc>
        <w:tc>
          <w:tcPr>
            <w:tcW w:w="8320" w:type="dxa"/>
            <w:vAlign w:val="bottom"/>
          </w:tcPr>
          <w:p>
            <w:pPr>
              <w:ind w:left="220"/>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Directors, Executive Officers and Corporate Governance</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101</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11.</w:t>
            </w:r>
          </w:p>
        </w:tc>
        <w:tc>
          <w:tcPr>
            <w:tcW w:w="8320" w:type="dxa"/>
            <w:vAlign w:val="bottom"/>
          </w:tcPr>
          <w:p>
            <w:pPr>
              <w:ind w:left="220"/>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Executive Compensation</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101</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12.</w:t>
            </w:r>
          </w:p>
        </w:tc>
        <w:tc>
          <w:tcPr>
            <w:tcW w:w="8320" w:type="dxa"/>
            <w:vAlign w:val="bottom"/>
          </w:tcPr>
          <w:p>
            <w:pPr>
              <w:ind w:left="220"/>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Security Ownership of Certain Beneficial Owners and Management and Related Stockholder Matters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101</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13.</w:t>
            </w:r>
          </w:p>
        </w:tc>
        <w:tc>
          <w:tcPr>
            <w:tcW w:w="8320" w:type="dxa"/>
            <w:vAlign w:val="bottom"/>
          </w:tcPr>
          <w:p>
            <w:pPr>
              <w:ind w:left="220"/>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Certain Relationships and Related Transactions and Director Independence</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3">
              <w:r>
                <w:rPr>
                  <w:rFonts w:ascii="Arial" w:cs="Arial" w:eastAsia="Arial" w:hAnsi="Arial"/>
                  <w:sz w:val="14"/>
                  <w:szCs w:val="14"/>
                  <w:u w:val="single" w:color="auto"/>
                  <w:color w:val="0000FF"/>
                </w:rPr>
                <w:t>102</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14.</w:t>
            </w:r>
          </w:p>
        </w:tc>
        <w:tc>
          <w:tcPr>
            <w:tcW w:w="8320" w:type="dxa"/>
            <w:vAlign w:val="bottom"/>
          </w:tcPr>
          <w:p>
            <w:pPr>
              <w:ind w:left="220"/>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Principal Accountant Fees and Services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102</w:t>
              </w:r>
            </w:hyperlink>
          </w:p>
        </w:tc>
      </w:tr>
      <w:tr>
        <w:trPr>
          <w:trHeight w:val="392"/>
        </w:trPr>
        <w:tc>
          <w:tcPr>
            <w:tcW w:w="740" w:type="dxa"/>
            <w:vAlign w:val="bottom"/>
          </w:tcPr>
          <w:p>
            <w:pPr>
              <w:spacing w:after="0"/>
              <w:rPr>
                <w:sz w:val="24"/>
                <w:szCs w:val="24"/>
                <w:color w:val="auto"/>
              </w:rPr>
            </w:pPr>
          </w:p>
        </w:tc>
        <w:tc>
          <w:tcPr>
            <w:tcW w:w="8320" w:type="dxa"/>
            <w:vAlign w:val="bottom"/>
          </w:tcPr>
          <w:p>
            <w:pPr>
              <w:jc w:val="center"/>
              <w:ind w:left="1369"/>
              <w:spacing w:after="0"/>
              <w:rPr>
                <w:rFonts w:ascii="Arial" w:cs="Arial" w:eastAsia="Arial" w:hAnsi="Arial"/>
                <w:sz w:val="14"/>
                <w:szCs w:val="14"/>
                <w:u w:val="single" w:color="auto"/>
                <w:color w:val="0000FF"/>
                <w:w w:val="93"/>
              </w:rPr>
            </w:pPr>
            <w:hyperlink w:anchor="page104">
              <w:r>
                <w:rPr>
                  <w:rFonts w:ascii="Arial" w:cs="Arial" w:eastAsia="Arial" w:hAnsi="Arial"/>
                  <w:sz w:val="14"/>
                  <w:szCs w:val="14"/>
                  <w:u w:val="single" w:color="auto"/>
                  <w:color w:val="0000FF"/>
                  <w:w w:val="93"/>
                </w:rPr>
                <w:t>Part IV</w:t>
              </w:r>
            </w:hyperlink>
          </w:p>
        </w:tc>
        <w:tc>
          <w:tcPr>
            <w:tcW w:w="2220" w:type="dxa"/>
            <w:vAlign w:val="bottom"/>
          </w:tcPr>
          <w:p>
            <w:pPr>
              <w:spacing w:after="0"/>
              <w:rPr>
                <w:sz w:val="24"/>
                <w:szCs w:val="24"/>
                <w:color w:val="auto"/>
              </w:rPr>
            </w:pPr>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15.</w:t>
            </w:r>
          </w:p>
        </w:tc>
        <w:tc>
          <w:tcPr>
            <w:tcW w:w="8320" w:type="dxa"/>
            <w:vAlign w:val="bottom"/>
          </w:tcPr>
          <w:p>
            <w:pPr>
              <w:ind w:left="220"/>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Exhibits and Financial Statement Schedules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102</w:t>
              </w:r>
            </w:hyperlink>
          </w:p>
        </w:tc>
      </w:tr>
      <w:tr>
        <w:trPr>
          <w:trHeight w:val="180"/>
        </w:trPr>
        <w:tc>
          <w:tcPr>
            <w:tcW w:w="740" w:type="dxa"/>
            <w:vAlign w:val="bottom"/>
          </w:tcPr>
          <w:p>
            <w:pPr>
              <w:ind w:left="20"/>
              <w:spacing w:after="0"/>
              <w:rPr>
                <w:sz w:val="20"/>
                <w:szCs w:val="20"/>
                <w:color w:val="auto"/>
              </w:rPr>
            </w:pPr>
            <w:r>
              <w:rPr>
                <w:rFonts w:ascii="Arial" w:cs="Arial" w:eastAsia="Arial" w:hAnsi="Arial"/>
                <w:sz w:val="14"/>
                <w:szCs w:val="14"/>
                <w:color w:val="auto"/>
              </w:rPr>
              <w:t>Item 16.</w:t>
            </w:r>
          </w:p>
        </w:tc>
        <w:tc>
          <w:tcPr>
            <w:tcW w:w="8320" w:type="dxa"/>
            <w:vAlign w:val="bottom"/>
          </w:tcPr>
          <w:p>
            <w:pPr>
              <w:ind w:left="220"/>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Form 10-K Summary</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8">
              <w:r>
                <w:rPr>
                  <w:rFonts w:ascii="Arial" w:cs="Arial" w:eastAsia="Arial" w:hAnsi="Arial"/>
                  <w:sz w:val="14"/>
                  <w:szCs w:val="14"/>
                  <w:u w:val="single" w:color="auto"/>
                  <w:color w:val="0000FF"/>
                </w:rPr>
                <w:t>107</w:t>
              </w:r>
            </w:hyperlink>
          </w:p>
        </w:tc>
      </w:tr>
      <w:tr>
        <w:trPr>
          <w:trHeight w:val="392"/>
        </w:trPr>
        <w:tc>
          <w:tcPr>
            <w:tcW w:w="740" w:type="dxa"/>
            <w:vAlign w:val="bottom"/>
          </w:tcPr>
          <w:p>
            <w:pPr>
              <w:spacing w:after="0"/>
              <w:rPr>
                <w:sz w:val="24"/>
                <w:szCs w:val="24"/>
                <w:color w:val="auto"/>
              </w:rPr>
            </w:pPr>
          </w:p>
        </w:tc>
        <w:tc>
          <w:tcPr>
            <w:tcW w:w="8320" w:type="dxa"/>
            <w:vAlign w:val="bottom"/>
          </w:tcPr>
          <w:p>
            <w:pPr>
              <w:ind w:left="220"/>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Signatures</w:t>
              </w:r>
            </w:hyperlink>
          </w:p>
        </w:tc>
        <w:tc>
          <w:tcPr>
            <w:tcW w:w="2220" w:type="dxa"/>
            <w:vAlign w:val="bottom"/>
          </w:tcPr>
          <w:p>
            <w:pPr>
              <w:jc w:val="right"/>
              <w:spacing w:after="0"/>
              <w:rPr>
                <w:rFonts w:ascii="Arial" w:cs="Arial" w:eastAsia="Arial" w:hAnsi="Arial"/>
                <w:sz w:val="14"/>
                <w:szCs w:val="14"/>
                <w:u w:val="single" w:color="auto"/>
                <w:color w:val="0000FF"/>
              </w:rPr>
            </w:pPr>
            <w:hyperlink w:anchor="page109">
              <w:r>
                <w:rPr>
                  <w:rFonts w:ascii="Arial" w:cs="Arial" w:eastAsia="Arial" w:hAnsi="Arial"/>
                  <w:sz w:val="14"/>
                  <w:szCs w:val="14"/>
                  <w:u w:val="single" w:color="auto"/>
                  <w:color w:val="0000FF"/>
                </w:rPr>
                <w:t>108</w:t>
              </w:r>
            </w:hyperlink>
          </w:p>
        </w:tc>
      </w:tr>
      <w:tr>
        <w:trPr>
          <w:trHeight w:val="1389"/>
        </w:trPr>
        <w:tc>
          <w:tcPr>
            <w:tcW w:w="74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w:t>
      </w:r>
    </w:p>
    <w:p>
      <w:pPr>
        <w:spacing w:after="0" w:line="140"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Certain statements and information in this Annual Report on Form 10-K (this “Form 10-K”) may constitute “forward-looking statements” within the meaning of the Private Securities Litigation Reform Act of 1995. All statements, other than statements of historical information, should be deemed to be forward-looking statements. The words “may,” “will,” “estimate,” “believe,” “expect,” “anticipate,” “plan,” “intend,” “foresee,” “should,” “would,” “could” or other similar expressions are intended to identify forward-looking statements, which are generally not historical in nature. These forward-looking statements include, but are not limited to, statements regarding any projections of earnings, revenues, asset sales, cash flow, debt levels or other financial items; any statements of the plans, strategies and objectives of management for future operations; any statements of the plans, timing and objectives of management for acquisition and divestiture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97" w:lineRule="exact"/>
        <w:rPr>
          <w:sz w:val="20"/>
          <w:szCs w:val="20"/>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find and retain skilled personnel;</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our incentive and compensation plans and programs, including such effects on our Standards Operating Model and the Company’s operational and financial performance;</w:t>
      </w:r>
    </w:p>
    <w:p>
      <w:pPr>
        <w:spacing w:after="0" w:line="41" w:lineRule="exact"/>
        <w:rPr>
          <w:rFonts w:ascii="Arial" w:cs="Arial" w:eastAsia="Arial" w:hAnsi="Arial"/>
          <w:sz w:val="13"/>
          <w:szCs w:val="13"/>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execute our growth strategy;</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execution of our Standards Operating, 4E Leadership and Standard Acquisition Models;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competition;</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the number of deaths in our markets;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preferences and our ability to adapt to or meet those changes;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generate preneed sales, including implementing our cemetery portfolio sales strategy;</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performance of our funeral and cemetery trust funds;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fluctuations in interest rates;</w:t>
      </w:r>
    </w:p>
    <w:p>
      <w:pPr>
        <w:spacing w:after="0" w:line="40" w:lineRule="exact"/>
        <w:rPr>
          <w:rFonts w:ascii="Arial" w:cs="Arial" w:eastAsia="Arial" w:hAnsi="Arial"/>
          <w:sz w:val="14"/>
          <w:szCs w:val="14"/>
          <w:color w:val="auto"/>
        </w:rPr>
      </w:pPr>
    </w:p>
    <w:p>
      <w:pPr>
        <w:ind w:left="520" w:hanging="261"/>
        <w:spacing w:after="0" w:line="268"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obtain debt or equity financing on satisfactory terms to fund additional acquisitions, expansion projects, working capital requirements and the repayment or refinancing of indebtedness;</w:t>
      </w:r>
    </w:p>
    <w:p>
      <w:pPr>
        <w:jc w:val="both"/>
        <w:ind w:left="520" w:hanging="261"/>
        <w:spacing w:after="0" w:line="26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meet the timing, objectives and cost saving expectations related to anticipated financing activities, including our deleveraging program, forecasts and planned uses of free cash flow, expected plans and projections for refinancing our senior notes, and future capital allocation, including potential acquisitions, share repurchases, dividend increases, or debt repayment plans;</w:t>
      </w:r>
    </w:p>
    <w:p>
      <w:pPr>
        <w:spacing w:after="0" w:line="4"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meet the projected financial performance metrics included in our updated two-year scenario, if at all;</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timely and full payment of death benefits related to preneed funeral contracts funded through life insurance contracts;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financial condition of third-party insurance companies that fund our preneed funeral contracts;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increased or unanticipated costs, such as insurance or taxes;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level of indebtedness and the cash required to service our indebtedness;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federal income tax laws and regulations and the implementation and interpretation of these laws and regulations by the Internal Revenue Service;</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effects of the application of other applicable laws and regulations, including changes in such regulations or the interpretation thereof;</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impact of epidemics and pandemics, including the COVID-19 coronavirus (“COVID-19”), on customer preferences and on our business;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effects of litigation;</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consolidation of the funeral and cemetery industry;</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consummate the divestiture of low performing businesses as currently expected, if at all, including expected use of proceeds related thereto;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left="500" w:hanging="24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integrate acquired businesses with our existing businesses, including expected performance and financial improvements related thereto;</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financial and stock market fluctuations;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interruptions or security lapses of our information technology, including any cybersecurity or ransomware incidents;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failure to maintain effective control over financial reporting; and</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factors and uncertainties inherent in the funeral and cemetery industry.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additional information regarding known material factors that could cause our actual results to differ from our projected results, please see Part I, Item 1A, Risk Factors.</w:t>
      </w:r>
    </w:p>
    <w:p>
      <w:pPr>
        <w:spacing w:after="0" w:line="136"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75% of our total revenue, and cemetery operations, which currently accounts for approximately 25% of our total revenue.</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we operated 178 funeral homes in 26 states and 32 cemeteries in 12 states. We compete with other publicly held and independent operators of funeral and cemetery companies. We believe we are a market leader in most of our markets.</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provide funeral and cemetery services and products on both an “atneed” (time of death) and “preneed” (planned prior to death) basis.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YEAR DEVELOPMENTS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Acquisitions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January 3, 2020, we acquired one funeral home and cemetery combination business in Lafayette, California.</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Performance Awards</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On May 19, 2020, we cancelled all the performance awards previously awarded to all individuals in 2019 and February 2020 and the Compensation Committee of the Board of Directors (the “Board”) approved a new performance award agreement (the “New Agreement”) for certain eligible employees. Pursuant to the New Agreement, the target share awards for each of the eligible employees will vest on December 31, 2024 if the Company’s common stock reaches one of five predetermined growth targets for a sustained period beginning on the grant date of May 19, 2020 and ending on December 31, 2024.</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Convertible Notes Repurchases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September 9, 2020, we repurchased $3.76 million in aggregate principal amount 2.75% convertible subordinated notes due 2021 (“Convertible Notes”) for $4.6 million in cash.</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Dividends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19, 2020, the Board approved an increase of $0.05 per share to our annual dividend beginning with the dividend declaration in the third quarter. On October 27, 2020, the Board approved an additional increase of $0.0125 per share for a total annual dividend of $0.40 per share beginning with the dividend declaration in the fourth quarter. During 2020, we paid $6.0 million in dividends.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Divestitures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2020, we divested eight funeral homes for a total of $8.4 million, at a net loss of $6.7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Business Impact under the Macroeconomic Environment of COVID-19</w:t>
      </w:r>
    </w:p>
    <w:p>
      <w:pPr>
        <w:spacing w:after="0" w:line="93"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On March 11, 2020, COVID-19 was deemed a global pandemic and since then, the Company has continued to proactively monitor and assess the pandemic’s current and potential impact to the Company’s operations. Since early March 2020, the Company’s senior leadership team has taken certain steps to assist our businesses in appropriately adjusting and adapting to the conditions resulting from the COVID-19 pandemic. Our businesses have been designated as essential services and, therefore, each one of the Company’s business locations remains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Additionally, in many of our business locations, we have also updated staffing and service guidelines, such as reducing the number of team members present for a service, restricting the size and number of attendees and adjusting other operating procedures. The Company has also implemented additional safety and precautionary measures as it concerns our businesses’ day-to-day interaction with the families and communities they serve.</w:t>
      </w:r>
    </w:p>
    <w:p>
      <w:pPr>
        <w:spacing w:after="0" w:line="51"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The overall impact of the macroeconomic environment to the deathcare industry from COVID-19 may provide varying results as compared to other industries. Our industry’s revenues are impacted by various factors, including the number of funeral services performed, the average price for a service and the mix of traditional burial versus cremation contracts. Changes in the macroeconomic environment as a result of the pandemic have, to this point, led to an increase in volume and may create situations where people choose to spend less on funerals by purchasing less expensive caskets, minimize the scale of services and visitations, or elect not to make a preneed funeral or cemetery arrangement. During this time, our businesses have been focused on being innovative and resourceful, providing some type of immediate service as part of the grieving process. Gathering and travel restrictions across many areas of the country have, in some cases, limited our ability to provide large, in-person memorialization services and we have seen client families elect webcasting and livestreaming services, hold services with smaller attendance or rotating visitors, outdoor services, or in some cases, choose to delay services to a future date.</w:t>
      </w:r>
    </w:p>
    <w:p>
      <w:pPr>
        <w:spacing w:after="0" w:line="6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Within our financial reporting environment, we have considered various areas that could affect the results of our operations, though the scope, severity and duration of these impacts remain uncertain at this time because the COVID-19 pandemic is continually evolving and the ultimate impact of COVID-19 remains uncertain. Certain estimates inherently involve assumptions about future events and annual results, making reliable estimates for those matters challenging in periods of economic instability. We do not believe we are vulnerable to certain concentrations, whether by geographic area, revenue for specific products or our relationships with our vendors. Our relationships with our vendors and suppliers have remained consistent and we continue to receive reliable service. Remote working arrangements, when utilized, have not materially affected our ability to maintain and support operations, including financial reporting systems, internal controls over financial reporting and disclosure controls and procedures.</w:t>
      </w:r>
    </w:p>
    <w:p>
      <w:pPr>
        <w:spacing w:after="0" w:line="6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We believe our access to capital, the cost of our capital, or the sources and uses of our cash should be relatively consistent in the near term, but given the unprecedented nature of COVID-19, we also believe, it is prudent for us to take a broad-based approach to ensuring we maintain financial flexibility throughout the expected duration of the pandemic. As part of a larger plan, we took steps to reduce overall expenses. For example, discretionary spending, such as growth capital expenditures (primarily cemetery inventory development) was tightly managed and minimized during this time. While the expected duration of the pandemic is unknown, we have not currently experienced any material negative impacts to our liquidity position, access to capital, or cash flows as a result of COVID-19. See Liquidity and Capital Resources within Part II, Item 7, Management’s Discussion and Analysis of Financial Condition and Results of Operations, for additional information related to our liquidity position.</w:t>
      </w:r>
    </w:p>
    <w:p>
      <w:pPr>
        <w:spacing w:after="0" w:line="6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have also applied certain measures of the Coronavirus Aid, Relief, and Economic Security Act (the “CARES Act”), which was enacted on March 27, 2020, which has provided a cash benefit in the form of tax payment refunds (we received the 2018 tax year refund on August 7, 2020 and anticipate a further refund for tax year 2019), tax credits related to employee retention, cash deferral for the employer portion of the Social Security tax and anticipated minimal cash taxes for 2020. Although we expect to take advantage of certain tax relief provisions of the CARES Act, we do not believe it will have a significant impact on our short-term or long-term liquidity position. See Part II, Item 8, Financial Statements and Supplementary Data, Note 1 for additional information related to the CARES Act.</w:t>
      </w:r>
    </w:p>
    <w:p>
      <w:pPr>
        <w:spacing w:after="0" w:line="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COVID-19 pandemic, and related gathering restrictions issued by state and local officials, did impact aspects of our financial results, including revenue, volume, preneed cemetery sales, and average revenue per contract. We will continue to assess these impacts and implement appropriate procedures, plans, strategy, and issue any disclosures that may be required, as the situation surrounding the pandemic and related gathering restrictions evolves.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21 for segment data related to our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Funeral Home and Cemetery Operations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funeral home and cemetery operations are managed by a team of experienced industry and sales professionals with substantial leadership experience.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Given the high fixed-cost structure associated with funeral home operations, we believe the following are key factors affecting our profitability:</w:t>
      </w:r>
    </w:p>
    <w:p>
      <w:pPr>
        <w:spacing w:after="0" w:line="51" w:lineRule="exact"/>
        <w:rPr>
          <w:sz w:val="20"/>
          <w:szCs w:val="20"/>
          <w:color w:val="auto"/>
        </w:rPr>
      </w:pPr>
    </w:p>
    <w:p>
      <w:pPr>
        <w:ind w:left="960" w:hanging="510"/>
        <w:spacing w:after="0"/>
        <w:tabs>
          <w:tab w:leader="none" w:pos="9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establish and maintain market share positions supported by strong local heritage and relationships;</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effectively respond to the increasing trends towards cremation by bundling complimentary services and merchandise;</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control salary, merchandise and other controllable costs;</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exercise pricing leverage related to our atneed business to increase average revenue per contract;</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demographic trends in terms of population growth and average age, which impact death rates and number of deaths; and</w:t>
      </w:r>
    </w:p>
    <w:p>
      <w:pPr>
        <w:spacing w:after="0" w:line="50" w:lineRule="exact"/>
        <w:rPr>
          <w:rFonts w:ascii="Arial" w:cs="Arial" w:eastAsia="Arial" w:hAnsi="Arial"/>
          <w:sz w:val="14"/>
          <w:szCs w:val="14"/>
          <w:color w:val="auto"/>
        </w:rPr>
      </w:pPr>
    </w:p>
    <w:p>
      <w:pPr>
        <w:ind w:left="960" w:hanging="510"/>
        <w:spacing w:after="0" w:line="280" w:lineRule="auto"/>
        <w:tabs>
          <w:tab w:leader="none" w:pos="95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response to fluctuations in capital markets and interest rates, which affect investment earnings on trust funds and our securities portfolio within the trust funds, which would offset lower pricing power as preneed contracts mature.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cemetery operations are subject to many of the same profitability factors as our funeral home business, as well as the following key factors:</w:t>
      </w:r>
    </w:p>
    <w:p>
      <w:pPr>
        <w:spacing w:after="0" w:line="51" w:lineRule="exact"/>
        <w:rPr>
          <w:sz w:val="20"/>
          <w:szCs w:val="20"/>
          <w:color w:val="auto"/>
        </w:rPr>
      </w:pPr>
    </w:p>
    <w:p>
      <w:pPr>
        <w:ind w:left="960" w:hanging="510"/>
        <w:spacing w:after="0"/>
        <w:tabs>
          <w:tab w:leader="none" w:pos="960" w:val="left"/>
        </w:tabs>
        <w:numPr>
          <w:ilvl w:val="0"/>
          <w:numId w:val="6"/>
        </w:numPr>
        <w:rPr>
          <w:rFonts w:ascii="Arial" w:cs="Arial" w:eastAsia="Arial" w:hAnsi="Arial"/>
          <w:sz w:val="14"/>
          <w:szCs w:val="14"/>
          <w:color w:val="auto"/>
        </w:rPr>
      </w:pPr>
      <w:r>
        <w:rPr>
          <w:rFonts w:ascii="Arial" w:cs="Arial" w:eastAsia="Arial" w:hAnsi="Arial"/>
          <w:sz w:val="14"/>
          <w:szCs w:val="14"/>
          <w:color w:val="auto"/>
        </w:rPr>
        <w:t>size and success of our sales organization;</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6"/>
        </w:numPr>
        <w:rPr>
          <w:rFonts w:ascii="Arial" w:cs="Arial" w:eastAsia="Arial" w:hAnsi="Arial"/>
          <w:sz w:val="14"/>
          <w:szCs w:val="14"/>
          <w:color w:val="auto"/>
        </w:rPr>
      </w:pPr>
      <w:r>
        <w:rPr>
          <w:rFonts w:ascii="Arial" w:cs="Arial" w:eastAsia="Arial" w:hAnsi="Arial"/>
          <w:sz w:val="14"/>
          <w:szCs w:val="14"/>
          <w:color w:val="auto"/>
        </w:rPr>
        <w:t>local perceptions and heritage of our cemeteries;</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ability to adapt to changes in the economy and consumer confidence; and</w:t>
      </w:r>
    </w:p>
    <w:p>
      <w:pPr>
        <w:spacing w:after="0" w:line="50" w:lineRule="exact"/>
        <w:rPr>
          <w:rFonts w:ascii="Arial" w:cs="Arial" w:eastAsia="Arial" w:hAnsi="Arial"/>
          <w:sz w:val="14"/>
          <w:szCs w:val="14"/>
          <w:color w:val="auto"/>
        </w:rPr>
      </w:pPr>
    </w:p>
    <w:p>
      <w:pPr>
        <w:ind w:left="960" w:hanging="510"/>
        <w:spacing w:after="0" w:line="280" w:lineRule="auto"/>
        <w:tabs>
          <w:tab w:leader="none" w:pos="95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response to fluctuations in capital markets and interest rates, which affect investment earnings on trust funds, finance charges on installment contracts and our securities portfolio within the trust funds.</w:t>
      </w:r>
    </w:p>
    <w:p>
      <w:pPr>
        <w:spacing w:after="0" w:line="4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Personalization and pre-planning continue to be two important trends in the funeral and cemetery industry, but the national trend toward more cremations may be the most significant. While this trend is expected to continue, other factors are expected to lead to rising industry revenue, including an increase in spending on additional or unique funeral and cremation services. Shifting preferences will likely continue to lead to a considerable rise in cremations; as such, we are focused on educating and providing our cremation customers with additional services and products that are available. All of our funeral homes offer cremation products and services. While the average revenue for a cremation service is generally lower than that of an average traditional burial service, we have found that this revenue can be substantially enhanced by offering additional services and merchandise, including video tributes, flowers, burial garments and memorial items such as urns, keepsake jewelry and other items that hold a portion of the cremated remains.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believe the following are our key strengths for our funeral home and cemetery operations: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i w:val="1"/>
          <w:iCs w:val="1"/>
          <w:color w:val="auto"/>
        </w:rPr>
        <w:t xml:space="preserve">Market Leader. </w:t>
      </w:r>
      <w:r>
        <w:rPr>
          <w:rFonts w:ascii="Arial" w:cs="Arial" w:eastAsia="Arial" w:hAnsi="Arial"/>
          <w:sz w:val="14"/>
          <w:szCs w:val="14"/>
          <w:color w:val="auto"/>
        </w:rPr>
        <w:t>We compete with other publicly held funeral and cemetery companies and smaller, independent operators and believe we are a market leader in most of our markets. We focus on</w:t>
      </w:r>
      <w:r>
        <w:rPr>
          <w:rFonts w:ascii="Arial" w:cs="Arial" w:eastAsia="Arial" w:hAnsi="Arial"/>
          <w:sz w:val="14"/>
          <w:szCs w:val="14"/>
          <w:i w:val="1"/>
          <w:iCs w:val="1"/>
          <w:color w:val="auto"/>
        </w:rPr>
        <w:t xml:space="preserve"> </w:t>
      </w:r>
      <w:r>
        <w:rPr>
          <w:rFonts w:ascii="Arial" w:cs="Arial" w:eastAsia="Arial" w:hAnsi="Arial"/>
          <w:sz w:val="14"/>
          <w:szCs w:val="14"/>
          <w:color w:val="auto"/>
        </w:rPr>
        <w:t>markets that perform better than the industry average and are less subject to material economic and demographic changes.</w:t>
      </w:r>
    </w:p>
    <w:p>
      <w:pPr>
        <w:spacing w:after="0" w:line="48"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i w:val="1"/>
          <w:iCs w:val="1"/>
          <w:color w:val="auto"/>
        </w:rPr>
        <w:t xml:space="preserve">High Performance, Decentralized, Partnership Culture. </w:t>
      </w:r>
      <w:r>
        <w:rPr>
          <w:rFonts w:ascii="Arial" w:cs="Arial" w:eastAsia="Arial" w:hAnsi="Arial"/>
          <w:sz w:val="13"/>
          <w:szCs w:val="13"/>
          <w:color w:val="auto"/>
        </w:rPr>
        <w:t>Our funeral homes and cemeteries are managed by entrepreneurially focused Managing Partners with extensive funeral and cemetery</w:t>
      </w:r>
      <w:r>
        <w:rPr>
          <w:rFonts w:ascii="Arial" w:cs="Arial" w:eastAsia="Arial" w:hAnsi="Arial"/>
          <w:sz w:val="13"/>
          <w:szCs w:val="13"/>
          <w:i w:val="1"/>
          <w:iCs w:val="1"/>
          <w:color w:val="auto"/>
        </w:rPr>
        <w:t xml:space="preserve"> </w:t>
      </w:r>
      <w:r>
        <w:rPr>
          <w:rFonts w:ascii="Arial" w:cs="Arial" w:eastAsia="Arial" w:hAnsi="Arial"/>
          <w:sz w:val="13"/>
          <w:szCs w:val="13"/>
          <w:color w:val="auto"/>
        </w:rPr>
        <w:t>industry experience, often within their local markets. They are responsible for day-to-day operations and for growing the business by hiring, training and developing highly motivated and productive local teams. Our businesses are supported by a broader team of High Performance leaders across multiple disciplines in our support center located in Houston, Texas. This promotes more cooperation and synergy between our funeral and cemetery operations and supports the goal of market-share and volume growth in our most significant markets. We believe our decentralized and partnership culture is very attractive to owners of premier independent businesses that fit our profile of suitable acquisition candidates.</w:t>
      </w:r>
    </w:p>
    <w:p>
      <w:pPr>
        <w:spacing w:after="0" w:line="4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i w:val="1"/>
          <w:iCs w:val="1"/>
          <w:color w:val="auto"/>
        </w:rPr>
        <w:t xml:space="preserve">Flexible Capital Structure and Strong Cash Flows. </w:t>
      </w:r>
      <w:r>
        <w:rPr>
          <w:rFonts w:ascii="Arial" w:cs="Arial" w:eastAsia="Arial" w:hAnsi="Arial"/>
          <w:sz w:val="14"/>
          <w:szCs w:val="14"/>
          <w:color w:val="auto"/>
        </w:rPr>
        <w:t>We believe our capital structure provides us with financial flexibility by allowing us to invest our cash in growth opportunities,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acquisitions and cemetery inventory projects. While we reassess our capital allocation strategy annually, we currently believe that our financial goals will best be achieved by continuing to improve the operating and financial performance of our existing portfolio of businesses while selectively investing our cash in growth opportunities that generate a return on invested capital in excess of our weighted average cost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capital. For additional information regarding our capital structure, please see Part II, Item 7, Management's Discussion and Analysis of Financial Condition and Results of Operations, Liquidity and Capital Resources.</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i w:val="1"/>
          <w:iCs w:val="1"/>
          <w:color w:val="auto"/>
        </w:rPr>
        <w:t xml:space="preserve">Strong Field-Level Gross Profit Margins. </w:t>
      </w:r>
      <w:r>
        <w:rPr>
          <w:rFonts w:ascii="Arial" w:cs="Arial" w:eastAsia="Arial" w:hAnsi="Arial"/>
          <w:sz w:val="14"/>
          <w:szCs w:val="14"/>
          <w:color w:val="auto"/>
        </w:rPr>
        <w:t>We believe that we have strong field-level gross profit margins and that this performance is a testament to the success of our business strategies. Our</w:t>
      </w:r>
      <w:r>
        <w:rPr>
          <w:rFonts w:ascii="Arial" w:cs="Arial" w:eastAsia="Arial" w:hAnsi="Arial"/>
          <w:sz w:val="14"/>
          <w:szCs w:val="14"/>
          <w:i w:val="1"/>
          <w:iCs w:val="1"/>
          <w:color w:val="auto"/>
        </w:rPr>
        <w:t xml:space="preserve"> </w:t>
      </w:r>
      <w:r>
        <w:rPr>
          <w:rFonts w:ascii="Arial" w:cs="Arial" w:eastAsia="Arial" w:hAnsi="Arial"/>
          <w:sz w:val="14"/>
          <w:szCs w:val="14"/>
          <w:color w:val="auto"/>
        </w:rPr>
        <w:t>strong margins and the ability to control costs are important advantages in a business such as ours that is characterized by a high fixed-cost structure. We will continue to seek ways to improve our financial performance, and we believe that our Standards Operating Model will continue to yield long-term improvement in our financial results.</w:t>
      </w:r>
    </w:p>
    <w:p>
      <w:pPr>
        <w:spacing w:after="0" w:line="5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i w:val="1"/>
          <w:iCs w:val="1"/>
          <w:color w:val="auto"/>
        </w:rPr>
        <w:t xml:space="preserve">Integrated Information Systems. </w:t>
      </w:r>
      <w:r>
        <w:rPr>
          <w:rFonts w:ascii="Arial" w:cs="Arial" w:eastAsia="Arial" w:hAnsi="Arial"/>
          <w:sz w:val="14"/>
          <w:szCs w:val="14"/>
          <w:color w:val="auto"/>
        </w:rPr>
        <w:t>We have implemented information systems to support local business decisions and to monitor performance of our businesses compared to financial and</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standards. Additionally, we have innovative technological and digital tools which enhance our ability to serve our client families in a remote environment. All of our funeral homes and cemeteries are connected to our support center located in Houston, Texas, which allows us to monitor and assess critical operating and financial data and analyze the performance of individual locations on a timely basis. Furthermore, our information system infrastructure provides senior management with a critical tool for monitoring and adhering to our established internal controls, which is critical given our decentralized model and the sensitive nature of our business operations.</w:t>
      </w:r>
    </w:p>
    <w:p>
      <w:pPr>
        <w:spacing w:after="0" w:line="6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i w:val="1"/>
          <w:iCs w:val="1"/>
          <w:color w:val="auto"/>
        </w:rPr>
        <w:t xml:space="preserve">Proven Leadership Team. </w:t>
      </w:r>
      <w:r>
        <w:rPr>
          <w:rFonts w:ascii="Arial" w:cs="Arial" w:eastAsia="Arial" w:hAnsi="Arial"/>
          <w:sz w:val="14"/>
          <w:szCs w:val="14"/>
          <w:color w:val="auto"/>
        </w:rPr>
        <w:t>Our leadership team, headed by our founder, Chairman and Chief Executive Officer, Melvin C. Payne, is characterized by a dynamic culture that focuses on addressing</w:t>
      </w:r>
      <w:r>
        <w:rPr>
          <w:rFonts w:ascii="Arial" w:cs="Arial" w:eastAsia="Arial" w:hAnsi="Arial"/>
          <w:sz w:val="14"/>
          <w:szCs w:val="14"/>
          <w:i w:val="1"/>
          <w:iCs w:val="1"/>
          <w:color w:val="auto"/>
        </w:rPr>
        <w:t xml:space="preserve"> </w:t>
      </w:r>
      <w:r>
        <w:rPr>
          <w:rFonts w:ascii="Arial" w:cs="Arial" w:eastAsia="Arial" w:hAnsi="Arial"/>
          <w:sz w:val="14"/>
          <w:szCs w:val="14"/>
          <w:color w:val="auto"/>
        </w:rPr>
        <w:t>changing market conditions and emerging trends in the funeral services industry. We believe our culture of emphasizing the 4E (Energy, Energize Others, Edge and Execution) leadership characteristics is critical and will provide an important advantage as the funeral and cemetery industry evolves. We are committed to continue operating an efficient organization and strengthening our corporate and local business leadership.</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Preneed Programs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Funeral and cemetery arrangements sold prior to death occurring are referred to as preneed contracts.We market funeral and cemetery services and products on a preneed basis at the local level.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We operate under a decentralized preneed sales strategy whereby each business location customizes its preneed program to its local needs.</w:t>
      </w:r>
    </w:p>
    <w:p>
      <w:pPr>
        <w:spacing w:after="0" w:line="8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Preneed funeral or cemetery contracts enable families to establish, in advance, the type of service to be performed, the products to be used and the cost of such products and services. Preneed contracts permit families to eliminate the burden of making deathcare plans at the time of need and allow input from other family members before the death occurs. We guarantee the price and performance of the preneed contracts to the customer.</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Approximately 15% of our funeral services performed are funded through preneed contracts, which are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Trust funded contracts typically provide cash that is invested in various securities with the expectation that returns will exceed the growth factor in the insurance contracts. The cash flow and earnings from insurance contracts are more stable, but are generally lower than traditional trust fund investments. In markets that depend on preneed sales for market share, we supplement the arrangements written by our local funeral directors with sales sourced by our own sales counselors and by third party sellers. We sold 8,410 and 7,525 preneed funeral contracts, net of cancellations, during the years ended December 31, 2019 and 2020, respectively. At December 31, 2020, we had a backlog of 97,294 preneed funeral contracts to be delivered in the future.</w:t>
      </w:r>
    </w:p>
    <w:p>
      <w:pPr>
        <w:spacing w:after="0" w:line="5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In addition to preneed funeral contracts, we also offer “pre-planned” funeral arrangements whereby a customer determines in advance substantially all of the details of a funeral service without any financial commitment or other obligation on the part of the client until the actual time of need. Pre-planned funeral arrangements permit a family to avoid the burden of making deathcare plans at the time of need and enable a funeral home to establish relationships with a client that may eventually lead to an atneed sale.</w:t>
      </w:r>
    </w:p>
    <w:p>
      <w:pPr>
        <w:spacing w:after="0" w:line="5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Approximately 50% of our cemetery operating revenue is derived from preneed property sales. Our preneed cemetery strategy is to build family heritage in our cemeteries by selling property and interment rights prior to death through full time, highly motivated and entrepreneurial local sales teams. Our goal is to build broader and deeper teams of sales leaders and counselors in our larger and more strategically located cemeteries in order to focus on growth of our preneed property sales. Cemetery merchandise and services are often purchased in addition to cemetery property at the time of sale. The performance of these preneed cemetery contracts is secured by placing the funds collected in trust for the benefit of the customer, the proceeds of which will pay for such services at the time of need. General consumer confidence and discretionary income may have a significant impact on our preneed sales success rate. Cemetery revenue that originated from preneed contracts represented approximately 66% and 67% of our total cemetery revenue for 2019 and 2020, respectively. At December 31, 2020, we had a backlog of 64,820 preneed cemetery contracts to be delivered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Trust Funds and Insurance Contracts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have established a variety of trusts in connection with funeral home and cemetery operations as required under applicable state laws. Such trusts include (i) preneed funeral trusts;</w:t>
      </w:r>
    </w:p>
    <w:p>
      <w:pPr>
        <w:spacing w:after="0" w:line="30" w:lineRule="exact"/>
        <w:rPr>
          <w:sz w:val="20"/>
          <w:szCs w:val="20"/>
          <w:color w:val="auto"/>
        </w:rPr>
      </w:pPr>
    </w:p>
    <w:p>
      <w:pPr>
        <w:jc w:val="both"/>
        <w:ind w:firstLine="5"/>
        <w:spacing w:after="0" w:line="278" w:lineRule="auto"/>
        <w:tabs>
          <w:tab w:leader="none" w:pos="211" w:val="left"/>
        </w:tabs>
        <w:numPr>
          <w:ilvl w:val="0"/>
          <w:numId w:val="7"/>
        </w:numPr>
        <w:rPr>
          <w:rFonts w:ascii="Arial" w:cs="Arial" w:eastAsia="Arial" w:hAnsi="Arial"/>
          <w:sz w:val="13"/>
          <w:szCs w:val="13"/>
          <w:color w:val="auto"/>
        </w:rPr>
      </w:pPr>
      <w:r>
        <w:rPr>
          <w:rFonts w:ascii="Arial" w:cs="Arial" w:eastAsia="Arial" w:hAnsi="Arial"/>
          <w:sz w:val="13"/>
          <w:szCs w:val="13"/>
          <w:color w:val="auto"/>
        </w:rPr>
        <w:t>preneed cemetery merchandise and service trusts; and (iii) cemetery perpetual care trusts. These trusts are typically administered by independent financial institutions which we select. Investment management and advisory services are provided either by our wholly-owned registered investment advisory firm (“CSV RIA”) or by independent financial advisors. As of December 31, 2020, CSV RIA provided these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 The investment advisors establish an investment policy that provides guidance on asset allocation, investment requirements, investment manager selection and performance monitoring. The investment objectives are tailored to generate long-term investment returns without assuming undue risk, while ensuring the management of assets is in compliance with applicable laws.</w:t>
      </w:r>
    </w:p>
    <w:p>
      <w:pPr>
        <w:spacing w:after="0" w:line="52"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Preneed sales generally require deposits to a trust or purchase of a third-party insurance product. Trust fund income earned, along with the receipt and recognition of any insurance benefits, are not reflected in our revenue until the service is performed or the merchandise is delivered. Trust fund holdings and deferred revenue are reflected on our Consolidated Balance Sheet, while our insurance funded contracts are not reflected on our Consolidated Balance Sheet. In most states, we are not permitted to withdraw principal or investment income from such trusts until the service is performed. Additionally, in most states, regulations require a portion (generally 10%) of the sale amount of cemetery property and memorials to be placed in a perpetual care trust. The income from these perpetual care trusts provides funds necessary to maintain cemetery property and memorials in perpetuity.</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additional information with respect to our trusts, see Part II, Item 8, Financial Statements and Supplementary Data, Note 7.</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STRATEGY</w:t>
      </w:r>
    </w:p>
    <w:p>
      <w:pPr>
        <w:spacing w:after="0" w:line="9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operating framework linked with incentive compensation programs that attract top-quality industry talent to our organization. We also believe that Carriage provides a unique consolidation and operating framework that offers a highly attractive succession planning solution for owners who want their legacy family business to remain operationally prosperous in their local communities.</w:t>
      </w:r>
    </w:p>
    <w:p>
      <w:pPr>
        <w:spacing w:after="0" w:line="41" w:lineRule="exact"/>
        <w:rPr>
          <w:sz w:val="20"/>
          <w:szCs w:val="20"/>
          <w:color w:val="auto"/>
        </w:rPr>
      </w:pPr>
    </w:p>
    <w:p>
      <w:pPr>
        <w:jc w:val="both"/>
        <w:ind w:firstLine="318"/>
        <w:spacing w:after="0" w:line="286"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b w:val="1"/>
          <w:bCs w:val="1"/>
          <w:color w:val="auto"/>
        </w:rPr>
        <w:t>Mission Statement</w:t>
      </w:r>
      <w:r>
        <w:rPr>
          <w:rFonts w:ascii="Arial" w:cs="Arial" w:eastAsia="Arial" w:hAnsi="Arial"/>
          <w:sz w:val="14"/>
          <w:szCs w:val="14"/>
          <w:color w:val="auto"/>
        </w:rPr>
        <w:t xml:space="preserve"> states that “we are committed to being the most professional, ethical and highest quality funeral and cemetery service organization in our industry” and our </w:t>
      </w:r>
      <w:r>
        <w:rPr>
          <w:rFonts w:ascii="Arial" w:cs="Arial" w:eastAsia="Arial" w:hAnsi="Arial"/>
          <w:sz w:val="14"/>
          <w:szCs w:val="14"/>
          <w:b w:val="1"/>
          <w:bCs w:val="1"/>
          <w:color w:val="auto"/>
        </w:rPr>
        <w:t>Guiding</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Principles </w:t>
      </w:r>
      <w:r>
        <w:rPr>
          <w:rFonts w:ascii="Arial" w:cs="Arial" w:eastAsia="Arial" w:hAnsi="Arial"/>
          <w:sz w:val="14"/>
          <w:szCs w:val="14"/>
          <w:color w:val="auto"/>
        </w:rPr>
        <w:t>state our core values, which are comprised of:</w:t>
      </w:r>
    </w:p>
    <w:p>
      <w:pPr>
        <w:spacing w:after="0" w:line="12" w:lineRule="exact"/>
        <w:rPr>
          <w:sz w:val="20"/>
          <w:szCs w:val="20"/>
          <w:color w:val="auto"/>
        </w:rPr>
      </w:pPr>
    </w:p>
    <w:p>
      <w:pPr>
        <w:ind w:left="960" w:hanging="510"/>
        <w:spacing w:after="0"/>
        <w:tabs>
          <w:tab w:leader="none" w:pos="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Honesty, integrity and quality in all that we do;</w:t>
      </w:r>
    </w:p>
    <w:p>
      <w:pPr>
        <w:spacing w:after="0" w:line="71" w:lineRule="exact"/>
        <w:rPr>
          <w:rFonts w:ascii="Arial" w:cs="Arial" w:eastAsia="Arial" w:hAnsi="Arial"/>
          <w:sz w:val="14"/>
          <w:szCs w:val="14"/>
          <w:color w:val="auto"/>
        </w:rPr>
      </w:pPr>
    </w:p>
    <w:p>
      <w:pPr>
        <w:ind w:left="960" w:hanging="510"/>
        <w:spacing w:after="0"/>
        <w:tabs>
          <w:tab w:leader="none" w:pos="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Hard work, pride of accomplishment and shared success through employee ownership;</w:t>
      </w:r>
    </w:p>
    <w:p>
      <w:pPr>
        <w:spacing w:after="0" w:line="61" w:lineRule="exact"/>
        <w:rPr>
          <w:rFonts w:ascii="Arial" w:cs="Arial" w:eastAsia="Arial" w:hAnsi="Arial"/>
          <w:sz w:val="14"/>
          <w:szCs w:val="14"/>
          <w:color w:val="auto"/>
        </w:rPr>
      </w:pPr>
    </w:p>
    <w:p>
      <w:pPr>
        <w:ind w:left="960" w:hanging="510"/>
        <w:spacing w:after="0"/>
        <w:tabs>
          <w:tab w:leader="none" w:pos="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Belief in the power of people through individual initiative and teamwork;</w:t>
      </w:r>
    </w:p>
    <w:p>
      <w:pPr>
        <w:spacing w:after="0" w:line="61" w:lineRule="exact"/>
        <w:rPr>
          <w:rFonts w:ascii="Arial" w:cs="Arial" w:eastAsia="Arial" w:hAnsi="Arial"/>
          <w:sz w:val="14"/>
          <w:szCs w:val="14"/>
          <w:color w:val="auto"/>
        </w:rPr>
      </w:pPr>
    </w:p>
    <w:p>
      <w:pPr>
        <w:ind w:left="960" w:hanging="510"/>
        <w:spacing w:after="0"/>
        <w:tabs>
          <w:tab w:leader="none" w:pos="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Outstanding service and profitability go hand-in-hand; and</w:t>
      </w:r>
    </w:p>
    <w:p>
      <w:pPr>
        <w:spacing w:after="0" w:line="71" w:lineRule="exact"/>
        <w:rPr>
          <w:rFonts w:ascii="Arial" w:cs="Arial" w:eastAsia="Arial" w:hAnsi="Arial"/>
          <w:sz w:val="14"/>
          <w:szCs w:val="14"/>
          <w:color w:val="auto"/>
        </w:rPr>
      </w:pPr>
    </w:p>
    <w:p>
      <w:pPr>
        <w:ind w:left="960" w:hanging="510"/>
        <w:spacing w:after="0"/>
        <w:tabs>
          <w:tab w:leader="none" w:pos="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Growth of the Company is driven by decentralization and partnership.</w:t>
      </w:r>
    </w:p>
    <w:p>
      <w:pPr>
        <w:spacing w:after="0" w:line="89" w:lineRule="exact"/>
        <w:rPr>
          <w:sz w:val="20"/>
          <w:szCs w:val="20"/>
          <w:color w:val="auto"/>
        </w:rPr>
      </w:pPr>
    </w:p>
    <w:p>
      <w:pPr>
        <w:ind w:firstLine="318"/>
        <w:spacing w:after="0" w:line="286" w:lineRule="auto"/>
        <w:rPr>
          <w:sz w:val="20"/>
          <w:szCs w:val="20"/>
          <w:color w:val="auto"/>
        </w:rPr>
      </w:pPr>
      <w:r>
        <w:rPr>
          <w:rFonts w:ascii="Arial" w:cs="Arial" w:eastAsia="Arial" w:hAnsi="Arial"/>
          <w:sz w:val="14"/>
          <w:szCs w:val="14"/>
          <w:color w:val="auto"/>
        </w:rPr>
        <w:t xml:space="preserve">Our five </w:t>
      </w:r>
      <w:r>
        <w:rPr>
          <w:rFonts w:ascii="Arial" w:cs="Arial" w:eastAsia="Arial" w:hAnsi="Arial"/>
          <w:sz w:val="14"/>
          <w:szCs w:val="14"/>
          <w:b w:val="1"/>
          <w:bCs w:val="1"/>
          <w:color w:val="auto"/>
        </w:rPr>
        <w:t>Guiding Principles</w:t>
      </w:r>
      <w:r>
        <w:rPr>
          <w:rFonts w:ascii="Arial" w:cs="Arial" w:eastAsia="Arial" w:hAnsi="Arial"/>
          <w:sz w:val="14"/>
          <w:szCs w:val="14"/>
          <w:color w:val="auto"/>
        </w:rPr>
        <w:t xml:space="preserve"> collectively embody our </w:t>
      </w:r>
      <w:r>
        <w:rPr>
          <w:rFonts w:ascii="Arial" w:cs="Arial" w:eastAsia="Arial" w:hAnsi="Arial"/>
          <w:sz w:val="14"/>
          <w:szCs w:val="14"/>
          <w:b w:val="1"/>
          <w:bCs w:val="1"/>
          <w:color w:val="auto"/>
        </w:rPr>
        <w:t>Being The Best</w:t>
      </w:r>
      <w:r>
        <w:rPr>
          <w:rFonts w:ascii="Arial" w:cs="Arial" w:eastAsia="Arial" w:hAnsi="Arial"/>
          <w:sz w:val="14"/>
          <w:szCs w:val="14"/>
          <w:color w:val="auto"/>
        </w:rPr>
        <w:t xml:space="preserve"> high-performance culture and operating framework. Our operations and business strategy are built upon the execution of the following three models:</w:t>
      </w:r>
    </w:p>
    <w:p>
      <w:pPr>
        <w:spacing w:after="0" w:line="12" w:lineRule="exact"/>
        <w:rPr>
          <w:sz w:val="20"/>
          <w:szCs w:val="20"/>
          <w:color w:val="auto"/>
        </w:rPr>
      </w:pPr>
    </w:p>
    <w:p>
      <w:pPr>
        <w:ind w:left="960" w:hanging="510"/>
        <w:spacing w:after="0"/>
        <w:tabs>
          <w:tab w:leader="none" w:pos="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Standards Operating Model;</w:t>
      </w:r>
    </w:p>
    <w:p>
      <w:pPr>
        <w:spacing w:after="0" w:line="61" w:lineRule="exact"/>
        <w:rPr>
          <w:rFonts w:ascii="Arial" w:cs="Arial" w:eastAsia="Arial" w:hAnsi="Arial"/>
          <w:sz w:val="14"/>
          <w:szCs w:val="14"/>
          <w:color w:val="auto"/>
        </w:rPr>
      </w:pPr>
    </w:p>
    <w:p>
      <w:pPr>
        <w:ind w:left="960" w:hanging="510"/>
        <w:spacing w:after="0"/>
        <w:tabs>
          <w:tab w:leader="none" w:pos="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4E Leadership Model; and</w:t>
      </w:r>
    </w:p>
    <w:p>
      <w:pPr>
        <w:spacing w:after="0" w:line="71" w:lineRule="exact"/>
        <w:rPr>
          <w:rFonts w:ascii="Arial" w:cs="Arial" w:eastAsia="Arial" w:hAnsi="Arial"/>
          <w:sz w:val="14"/>
          <w:szCs w:val="14"/>
          <w:color w:val="auto"/>
        </w:rPr>
      </w:pPr>
    </w:p>
    <w:p>
      <w:pPr>
        <w:ind w:left="960" w:hanging="510"/>
        <w:spacing w:after="0"/>
        <w:tabs>
          <w:tab w:leader="none" w:pos="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Strategic Acquisition Model.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Standards Operating Model</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Important elements of our Standards Operating Model include:</w:t>
      </w:r>
    </w:p>
    <w:p>
      <w:pPr>
        <w:spacing w:after="0" w:line="61" w:lineRule="exact"/>
        <w:rPr>
          <w:sz w:val="20"/>
          <w:szCs w:val="20"/>
          <w:color w:val="auto"/>
        </w:rPr>
      </w:pPr>
    </w:p>
    <w:p>
      <w:pPr>
        <w:jc w:val="both"/>
        <w:ind w:left="960" w:hanging="510"/>
        <w:spacing w:after="0" w:line="266" w:lineRule="auto"/>
        <w:tabs>
          <w:tab w:leader="none" w:pos="9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Balanced Operating Model </w:t>
      </w:r>
      <w:r>
        <w:rPr>
          <w:rFonts w:ascii="Arial" w:cs="Arial" w:eastAsia="Arial" w:hAnsi="Arial"/>
          <w:sz w:val="14"/>
          <w:szCs w:val="14"/>
          <w:color w:val="auto"/>
        </w:rPr>
        <w:t>– We believe a decentralized structure works best in the funeral and cemetery industry. Successful execution of our Standards Operating Model is highly</w:t>
      </w:r>
      <w:r>
        <w:rPr>
          <w:rFonts w:ascii="Arial" w:cs="Arial" w:eastAsia="Arial" w:hAnsi="Arial"/>
          <w:sz w:val="14"/>
          <w:szCs w:val="14"/>
          <w:i w:val="1"/>
          <w:iCs w:val="1"/>
          <w:color w:val="auto"/>
        </w:rPr>
        <w:t xml:space="preserve"> </w:t>
      </w:r>
      <w:r>
        <w:rPr>
          <w:rFonts w:ascii="Arial" w:cs="Arial" w:eastAsia="Arial" w:hAnsi="Arial"/>
          <w:sz w:val="14"/>
          <w:szCs w:val="14"/>
          <w:color w:val="auto"/>
        </w:rPr>
        <w:t>dependent on strong local leadership, intelligent risk taking, entrepreneurial drive and corporate support aligned with the key drivers of a successful operation organized around three primary areas - market share, high-value services and operating financial metrics.</w:t>
      </w:r>
    </w:p>
    <w:p>
      <w:pPr>
        <w:spacing w:after="0" w:line="36" w:lineRule="exact"/>
        <w:rPr>
          <w:rFonts w:ascii="Arial" w:cs="Arial" w:eastAsia="Arial" w:hAnsi="Arial"/>
          <w:sz w:val="14"/>
          <w:szCs w:val="14"/>
          <w:color w:val="auto"/>
        </w:rPr>
      </w:pPr>
    </w:p>
    <w:p>
      <w:pPr>
        <w:jc w:val="both"/>
        <w:ind w:left="960" w:hanging="510"/>
        <w:spacing w:after="0" w:line="325" w:lineRule="auto"/>
        <w:tabs>
          <w:tab w:leader="none" w:pos="956" w:val="left"/>
        </w:tabs>
        <w:numPr>
          <w:ilvl w:val="0"/>
          <w:numId w:val="10"/>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Incentives Aligned with Standards – </w:t>
      </w:r>
      <w:r>
        <w:rPr>
          <w:rFonts w:ascii="Arial" w:cs="Arial" w:eastAsia="Arial" w:hAnsi="Arial"/>
          <w:sz w:val="12"/>
          <w:szCs w:val="12"/>
          <w:color w:val="auto"/>
        </w:rPr>
        <w:t>Empowering local managers, who we call Managing Partners, to do the right things in their operations and local communities, and providing</w:t>
      </w:r>
      <w:r>
        <w:rPr>
          <w:rFonts w:ascii="Arial" w:cs="Arial" w:eastAsia="Arial" w:hAnsi="Arial"/>
          <w:sz w:val="12"/>
          <w:szCs w:val="12"/>
          <w:i w:val="1"/>
          <w:iCs w:val="1"/>
          <w:color w:val="auto"/>
        </w:rPr>
        <w:t xml:space="preserve"> </w:t>
      </w:r>
      <w:r>
        <w:rPr>
          <w:rFonts w:ascii="Arial" w:cs="Arial" w:eastAsia="Arial" w:hAnsi="Arial"/>
          <w:sz w:val="12"/>
          <w:szCs w:val="12"/>
          <w:color w:val="auto"/>
        </w:rPr>
        <w:t>appropriate support with operating and financial practices, will enable long-term growth and sustainable profitability. Each Managing Partner participates in a variable bonus plan whereby he or she earns a percentage of his or her respective business’ earnings based upon the actual standards achieved as long as the performance exceeds our minimum standards.</w:t>
      </w:r>
    </w:p>
    <w:p>
      <w:pPr>
        <w:ind w:left="960" w:hanging="510"/>
        <w:spacing w:after="0" w:line="280" w:lineRule="auto"/>
        <w:tabs>
          <w:tab w:leader="none" w:pos="95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Right Local Leadership </w:t>
      </w:r>
      <w:r>
        <w:rPr>
          <w:rFonts w:ascii="Arial" w:cs="Arial" w:eastAsia="Arial" w:hAnsi="Arial"/>
          <w:sz w:val="14"/>
          <w:szCs w:val="14"/>
          <w:color w:val="auto"/>
        </w:rPr>
        <w:t>– Successful execution of our operating model is highly dependent on strong local leadership as defined by our 4E Leadership Model, intelligent risk</w:t>
      </w:r>
      <w:r>
        <w:rPr>
          <w:rFonts w:ascii="Arial" w:cs="Arial" w:eastAsia="Arial" w:hAnsi="Arial"/>
          <w:sz w:val="14"/>
          <w:szCs w:val="14"/>
          <w:i w:val="1"/>
          <w:iCs w:val="1"/>
          <w:color w:val="auto"/>
        </w:rPr>
        <w:t xml:space="preserve"> </w:t>
      </w:r>
      <w:r>
        <w:rPr>
          <w:rFonts w:ascii="Arial" w:cs="Arial" w:eastAsia="Arial" w:hAnsi="Arial"/>
          <w:sz w:val="14"/>
          <w:szCs w:val="14"/>
          <w:color w:val="auto"/>
        </w:rPr>
        <w:t>taking and entrepreneurial empowerment. A Managing Partner’s performance is judged according to achievement of the standards for that business.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4E Leadership Model</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high-performance culture: </w:t>
      </w:r>
      <w:r>
        <w:rPr>
          <w:rFonts w:ascii="Arial" w:cs="Arial" w:eastAsia="Arial" w:hAnsi="Arial"/>
          <w:sz w:val="14"/>
          <w:szCs w:val="14"/>
          <w:i w:val="1"/>
          <w:iCs w:val="1"/>
          <w:color w:val="auto"/>
        </w:rPr>
        <w:t>Energy</w:t>
      </w:r>
      <w:r>
        <w:rPr>
          <w:rFonts w:ascii="Arial" w:cs="Arial" w:eastAsia="Arial" w:hAnsi="Arial"/>
          <w:sz w:val="14"/>
          <w:szCs w:val="14"/>
          <w:color w:val="auto"/>
        </w:rPr>
        <w:t xml:space="preserve"> to get the job done; the ability to </w:t>
      </w:r>
      <w:r>
        <w:rPr>
          <w:rFonts w:ascii="Arial" w:cs="Arial" w:eastAsia="Arial" w:hAnsi="Arial"/>
          <w:sz w:val="14"/>
          <w:szCs w:val="14"/>
          <w:i w:val="1"/>
          <w:iCs w:val="1"/>
          <w:color w:val="auto"/>
        </w:rPr>
        <w:t>Energize</w:t>
      </w:r>
      <w:r>
        <w:rPr>
          <w:rFonts w:ascii="Arial" w:cs="Arial" w:eastAsia="Arial" w:hAnsi="Arial"/>
          <w:sz w:val="14"/>
          <w:szCs w:val="14"/>
          <w:color w:val="auto"/>
        </w:rPr>
        <w:t xml:space="preserve"> others; the </w:t>
      </w:r>
      <w:r>
        <w:rPr>
          <w:rFonts w:ascii="Arial" w:cs="Arial" w:eastAsia="Arial" w:hAnsi="Arial"/>
          <w:sz w:val="14"/>
          <w:szCs w:val="14"/>
          <w:i w:val="1"/>
          <w:iCs w:val="1"/>
          <w:color w:val="auto"/>
        </w:rPr>
        <w:t>Edge</w:t>
      </w:r>
      <w:r>
        <w:rPr>
          <w:rFonts w:ascii="Arial" w:cs="Arial" w:eastAsia="Arial" w:hAnsi="Arial"/>
          <w:sz w:val="14"/>
          <w:szCs w:val="14"/>
          <w:color w:val="auto"/>
        </w:rPr>
        <w:t xml:space="preserve"> necessary to make difficult decisions; and the ability to </w:t>
      </w:r>
      <w:r>
        <w:rPr>
          <w:rFonts w:ascii="Arial" w:cs="Arial" w:eastAsia="Arial" w:hAnsi="Arial"/>
          <w:sz w:val="14"/>
          <w:szCs w:val="14"/>
          <w:i w:val="1"/>
          <w:iCs w:val="1"/>
          <w:color w:val="auto"/>
        </w:rPr>
        <w:t>Execute</w:t>
      </w:r>
      <w:r>
        <w:rPr>
          <w:rFonts w:ascii="Arial" w:cs="Arial" w:eastAsia="Arial" w:hAnsi="Arial"/>
          <w:sz w:val="14"/>
          <w:szCs w:val="14"/>
          <w:color w:val="auto"/>
        </w:rPr>
        <w:t xml:space="preserv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Acquisition Model</w:t>
      </w:r>
    </w:p>
    <w:p>
      <w:pPr>
        <w:spacing w:after="0" w:line="93"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4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5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3"/>
          <w:szCs w:val="13"/>
          <w:color w:val="auto"/>
        </w:rPr>
        <w:t xml:space="preserve">Our belief in our </w:t>
      </w:r>
      <w:r>
        <w:rPr>
          <w:rFonts w:ascii="Arial" w:cs="Arial" w:eastAsia="Arial" w:hAnsi="Arial"/>
          <w:sz w:val="13"/>
          <w:szCs w:val="13"/>
          <w:b w:val="1"/>
          <w:bCs w:val="1"/>
          <w:color w:val="auto"/>
        </w:rPr>
        <w:t>Mission Statement</w:t>
      </w:r>
      <w:r>
        <w:rPr>
          <w:rFonts w:ascii="Arial" w:cs="Arial" w:eastAsia="Arial" w:hAnsi="Arial"/>
          <w:sz w:val="13"/>
          <w:szCs w:val="13"/>
          <w:color w:val="auto"/>
        </w:rPr>
        <w:t xml:space="preserve"> and </w:t>
      </w:r>
      <w:r>
        <w:rPr>
          <w:rFonts w:ascii="Arial" w:cs="Arial" w:eastAsia="Arial" w:hAnsi="Arial"/>
          <w:sz w:val="13"/>
          <w:szCs w:val="13"/>
          <w:b w:val="1"/>
          <w:bCs w:val="1"/>
          <w:color w:val="auto"/>
        </w:rPr>
        <w:t>Guiding Principles</w:t>
      </w:r>
      <w:r>
        <w:rPr>
          <w:rFonts w:ascii="Arial" w:cs="Arial" w:eastAsia="Arial" w:hAnsi="Arial"/>
          <w:sz w:val="13"/>
          <w:szCs w:val="13"/>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operating environment in the funeral and cemetery industry has been highly competitive. The largest publicly held operators, in terms of revenue, of both funeral homes and cemeteries with operations in the United States are Service Corporation International (“SCI”), StoneMor, Inc. (“StoneMor”), Park Lawn Corporation (“Park Lawn”) and Carriage. We believe these four companies collectively represent approximately 20% of funeral and cemetery revenue in the United States. Independent businesses, along with a few privately-owned consolidators, represent the remaining amount of industry revenue, accounting for an estimated 80% share of revenue.</w:t>
      </w:r>
    </w:p>
    <w:p>
      <w:pPr>
        <w:spacing w:after="0" w:line="6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Our funeral home and cemetery operations face competition in the markets that they serve. Our primary competition in most of our markets is from local independent operators. We have observed new start-up competition in certain areas of the country, which may impact our profitability in certain markets.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are usually gained over a long period of time. The sale of preneed funeral services and cemetery property has increasingly been used by many companies as a marketing tool to build market share.</w:t>
      </w:r>
    </w:p>
    <w:p>
      <w:pPr>
        <w:spacing w:after="0" w:line="11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business can be affected by seasonal fluctuations in the death rate. Generally, the number of deaths is higher during the winter months because the incidences of death from influenza and pneumonia are higher during this period than other periods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Our operations are subject to regulations, supervision and licensing under numerous federal, state and local laws, ordinances and regulations, including extensive regulations concerning</w:t>
      </w:r>
      <w:r>
        <w:rPr>
          <w:rFonts w:ascii="Arial" w:cs="Arial" w:eastAsia="Arial" w:hAnsi="Arial"/>
          <w:sz w:val="14"/>
          <w:szCs w:val="14"/>
          <w:i w:val="1"/>
          <w:iCs w:val="1"/>
          <w:color w:val="auto"/>
        </w:rPr>
        <w:t xml:space="preserve"> </w:t>
      </w:r>
      <w:r>
        <w:rPr>
          <w:rFonts w:ascii="Arial" w:cs="Arial" w:eastAsia="Arial" w:hAnsi="Arial"/>
          <w:sz w:val="14"/>
          <w:szCs w:val="14"/>
          <w:color w:val="auto"/>
        </w:rPr>
        <w:t>trust funds, preneed sales of funeral and cemetery products and services and various other aspects of our business. We believe that we comply in all material respects with the provisions of these laws, ordinances and regulations. Legislative bodies and regulatory agencies frequently propose new laws and regulations, some of which could have a material impact on our business. We cannot predict the impact of any future laws and regulations or changes to existing laws and regulations.</w:t>
      </w:r>
    </w:p>
    <w:p>
      <w:pPr>
        <w:spacing w:after="0" w:line="62"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i w:val="1"/>
          <w:iCs w:val="1"/>
          <w:color w:val="auto"/>
        </w:rPr>
        <w:t xml:space="preserve">Federal Trade Commission. </w:t>
      </w:r>
      <w:r>
        <w:rPr>
          <w:rFonts w:ascii="Arial" w:cs="Arial" w:eastAsia="Arial" w:hAnsi="Arial"/>
          <w:sz w:val="13"/>
          <w:szCs w:val="13"/>
          <w:color w:val="auto"/>
        </w:rPr>
        <w:t>Our funeral home operations are comprehensively regulated by the Federal Trade Commission (“FTC”) under Section 5 of the Federal Trade Commission Act and a</w:t>
      </w:r>
      <w:r>
        <w:rPr>
          <w:rFonts w:ascii="Arial" w:cs="Arial" w:eastAsia="Arial" w:hAnsi="Arial"/>
          <w:sz w:val="13"/>
          <w:szCs w:val="13"/>
          <w:i w:val="1"/>
          <w:iCs w:val="1"/>
          <w:color w:val="auto"/>
        </w:rPr>
        <w:t xml:space="preserve"> </w:t>
      </w:r>
      <w:r>
        <w:rPr>
          <w:rFonts w:ascii="Arial" w:cs="Arial" w:eastAsia="Arial" w:hAnsi="Arial"/>
          <w:sz w:val="13"/>
          <w:szCs w:val="13"/>
          <w:color w:val="auto"/>
        </w:rPr>
        <w:t>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pricing information and various other disclosures about funeral goods and services and prohibit a funeral provider from: (i) misrepresenting legal, crematory and cemetery requirements; (ii) embalming for a fee without permission; (iii) requiring the purchase of a casket for direct cremation; (iv) requiring consumers to buy certain funeral goods or services as condition for furnishing other funeral goods or services; (v) misrepresenting state and local requirements for an outer burial container; and (vi) representing that funeral goods and services have preservative and protective value. Additionally, the Funeral Rule requires the disclosure of mark-ups, commissions, additional charges and rebates related to cash advance items. The FTC has announced that it is reviewing the Funeral Rule, which may result in changes to the Funeral Rule. Among the subjects under review by the FTC is whether the scope of the Funeral Rule should be expanded to cover cemetery sales and merchandise and mandated disclosure of online pricing. We cannot predict what changes, if any, may be made to the Funeral Rule or the impact of any such changes on our business.</w:t>
      </w:r>
    </w:p>
    <w:p>
      <w:pPr>
        <w:spacing w:after="0" w:line="51"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i w:val="1"/>
          <w:iCs w:val="1"/>
          <w:color w:val="auto"/>
        </w:rPr>
        <w:t xml:space="preserve">State Trust Laws. </w:t>
      </w:r>
      <w:r>
        <w:rPr>
          <w:rFonts w:ascii="Arial" w:cs="Arial" w:eastAsia="Arial" w:hAnsi="Arial"/>
          <w:sz w:val="13"/>
          <w:szCs w:val="13"/>
          <w:color w:val="auto"/>
        </w:rPr>
        <w:t>We have established a variety of trusts in connection with funeral home and cemetery operations as required under applicable state laws. Such trusts include (i) preneed funeral</w:t>
      </w:r>
      <w:r>
        <w:rPr>
          <w:rFonts w:ascii="Arial" w:cs="Arial" w:eastAsia="Arial" w:hAnsi="Arial"/>
          <w:sz w:val="13"/>
          <w:szCs w:val="13"/>
          <w:i w:val="1"/>
          <w:iCs w:val="1"/>
          <w:color w:val="auto"/>
        </w:rPr>
        <w:t xml:space="preserve"> </w:t>
      </w:r>
      <w:r>
        <w:rPr>
          <w:rFonts w:ascii="Arial" w:cs="Arial" w:eastAsia="Arial" w:hAnsi="Arial"/>
          <w:sz w:val="13"/>
          <w:szCs w:val="13"/>
          <w:color w:val="auto"/>
        </w:rPr>
        <w:t>trusts; (ii) preneed cemetery merchandise and service trusts; and (iii) cemetery perpetual care trusts. These trusts are typically administered by independent financial institutions which we select. Under state trust laws, our wholly owned registered investment advisor is allowed to charge the trust a fee for advising on the investment of the trust assets and these fees are recognized as income in the period in which services are provided. Preneed funeral sales generally require deposits to a trust or purchase of a third-party insurance product. In most states, we are not permitted to withdraw principal or investment income from such trusts until the funeral service is performed. Some states, however, allow for the retention of a percentage (generally 10%) of the receipts to offset any administrative and selling expenses. Additionally, we are generally required under applicable state laws to deposit a specified amount (which varies from state to state, generally 50% to 100% of the selling price) into a merchandise and service trust fund for preneed cemetery merchandise and services sales.</w:t>
      </w:r>
    </w:p>
    <w:p>
      <w:pPr>
        <w:spacing w:after="0" w:line="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2"/>
          <w:szCs w:val="12"/>
          <w:i w:val="1"/>
          <w:iCs w:val="1"/>
          <w:color w:val="auto"/>
        </w:rPr>
        <w:t xml:space="preserve">Environmental. </w:t>
      </w:r>
      <w:r>
        <w:rPr>
          <w:rFonts w:ascii="Arial" w:cs="Arial" w:eastAsia="Arial" w:hAnsi="Arial"/>
          <w:sz w:val="12"/>
          <w:szCs w:val="12"/>
          <w:color w:val="auto"/>
        </w:rPr>
        <w:t>Our operations are also subject to certain federal, regional, state and local laws and regulations relating to environmental protection, including legal requirements governing air</w:t>
      </w:r>
      <w:r>
        <w:rPr>
          <w:rFonts w:ascii="Arial" w:cs="Arial" w:eastAsia="Arial" w:hAnsi="Arial"/>
          <w:sz w:val="12"/>
          <w:szCs w:val="12"/>
          <w:i w:val="1"/>
          <w:iCs w:val="1"/>
          <w:color w:val="auto"/>
        </w:rPr>
        <w:t xml:space="preserve"> </w:t>
      </w:r>
      <w:r>
        <w:rPr>
          <w:rFonts w:ascii="Arial" w:cs="Arial" w:eastAsia="Arial" w:hAnsi="Arial"/>
          <w:sz w:val="12"/>
          <w:szCs w:val="12"/>
          <w:color w:val="auto"/>
        </w:rPr>
        <w:t>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current and past owners or operators of facilities where hazardous substance releases occurred and anyone who transported or disposed or arranged for the transportation or disposal of hazardous substances released into the environment from such sites. In addition, the Federal Water Pollution Control Act, also known as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federal Clean Water Act, and analogous state laws regulate discharges of pollutants to state and federal waters. Underground and above 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as well as potential liabilities for damages to properties or persons. Failure to comply with environmental laws and regulations could result in the assessment of sanctions, including administrative, civil, and criminal penalties, the imposition of investigatory, remedial and corrective action obligations, delays in permitting or performance of projects and the issuance of injunctions restricting or prohibiting some or all of our activities in affected areas. Moreover, accidental releases or spills may occur in the course of our operations, and we cannot assure that we will not incur significant costs and liabilities as a result of such releases or spills, including any third 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compliance with existing environmental laws and regulations, we cannot assure that we will not incur substantial costs in the future.</w:t>
      </w:r>
    </w:p>
    <w:p>
      <w:pPr>
        <w:spacing w:after="0" w:line="51"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i w:val="1"/>
          <w:iCs w:val="1"/>
          <w:color w:val="auto"/>
        </w:rPr>
        <w:t>Worker Health and Safety</w:t>
      </w:r>
      <w:r>
        <w:rPr>
          <w:rFonts w:ascii="Arial" w:cs="Arial" w:eastAsia="Arial" w:hAnsi="Arial"/>
          <w:sz w:val="13"/>
          <w:szCs w:val="13"/>
          <w:color w:val="auto"/>
        </w:rPr>
        <w:t>. We are subject to the requirements of the federal Occupational Safety and Health Act, as amended (“OSHA”), and comparable state statutes whose purpose is to</w:t>
      </w:r>
      <w:r>
        <w:rPr>
          <w:rFonts w:ascii="Arial" w:cs="Arial" w:eastAsia="Arial" w:hAnsi="Arial"/>
          <w:sz w:val="13"/>
          <w:szCs w:val="13"/>
          <w:i w:val="1"/>
          <w:iCs w:val="1"/>
          <w:color w:val="auto"/>
        </w:rPr>
        <w:t xml:space="preserve"> </w:t>
      </w:r>
      <w:r>
        <w:rPr>
          <w:rFonts w:ascii="Arial" w:cs="Arial" w:eastAsia="Arial" w:hAnsi="Arial"/>
          <w:sz w:val="13"/>
          <w:szCs w:val="13"/>
          <w:color w:val="auto"/>
        </w:rPr>
        <w:t>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compliance with all applicable laws and regulations relating to worker health and safety.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Our funeral homes and cemeteries are managed by entrepreneurially focused Managing Partners with extensive funeral and cemetery industry experience. They have responsibility for day-to-day operations and follow operating and financial metrics called “Standards” within our Standards Operating Model. Standards Achievement is the measure by which we judge the Managing Partner's performance and how we incentivize our Managing Partners and their teams. To achieve a high level within our Standards in a business year after year, we require local Managing Partners that have the 4E Leadership skills to entrepreneurially grow the business by hiring, training and developing highly motivated and productive local teams. See Part I, Item 1, Business Strategy for additional details about our Standards Operating Model and 4E Leadership Model.</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As of December 31, 2020, we and our subsidiaries employed 2,718 employees, of whom 1,126 were full-time and 1,592 were part-time. All of our funeral directors and embalmers possess licenses required by applicable regulatory agencies. None of our employees are represented by unions.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 xml:space="preserve">We file annual, quarterly and other reports, and any amendments to those reports, and information with the United States Securities and Exchange Commission (“SEC”). The SEC maintains a website at </w:t>
      </w:r>
      <w:r>
        <w:rPr>
          <w:rFonts w:ascii="Arial" w:cs="Arial" w:eastAsia="Arial" w:hAnsi="Arial"/>
          <w:sz w:val="13"/>
          <w:szCs w:val="13"/>
          <w:b w:val="1"/>
          <w:bCs w:val="1"/>
          <w:i w:val="1"/>
          <w:iCs w:val="1"/>
          <w:color w:val="auto"/>
        </w:rPr>
        <w:t>www.sec.gov</w:t>
      </w:r>
      <w:r>
        <w:rPr>
          <w:rFonts w:ascii="Arial" w:cs="Arial" w:eastAsia="Arial" w:hAnsi="Arial"/>
          <w:sz w:val="13"/>
          <w:szCs w:val="13"/>
          <w:color w:val="auto"/>
        </w:rPr>
        <w:t xml:space="preserve"> that contains reports, proxy and information statements, and other information regarding issuers that file electronically with the SEC, including us.</w:t>
      </w:r>
    </w:p>
    <w:p>
      <w:pPr>
        <w:spacing w:after="0" w:line="2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Our website address is </w:t>
      </w:r>
      <w:r>
        <w:rPr>
          <w:rFonts w:ascii="Arial" w:cs="Arial" w:eastAsia="Arial" w:hAnsi="Arial"/>
          <w:sz w:val="14"/>
          <w:szCs w:val="14"/>
          <w:b w:val="1"/>
          <w:bCs w:val="1"/>
          <w:i w:val="1"/>
          <w:iCs w:val="1"/>
          <w:color w:val="auto"/>
        </w:rPr>
        <w:t>www.carriageservices.com</w:t>
      </w:r>
      <w:r>
        <w:rPr>
          <w:rFonts w:ascii="Arial" w:cs="Arial" w:eastAsia="Arial" w:hAnsi="Arial"/>
          <w:sz w:val="14"/>
          <w:szCs w:val="14"/>
          <w:color w:val="auto"/>
        </w:rPr>
        <w:t>. Available on our website under “Investors – SEC Filings,” free of charge, are Carriage’s annual reports on Form 10-K, quarterly reports on Form 10-Q, proxy statements, current reports on Form 8-K, insider reports on Forms 3, 4 and 5 filed on behalf of directors and officers and amendments to those reports as soon as reasonably practicable after such materials are electronically filed with or furnished to the SEC.</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Also posted on our website, and available in print upon request, are charters for our Audit Committee, Compensation Committee and Corporate Governance Committee. Copies of the Code of Business Conduct and Ethics and the Corporate Governance Guidelines are also posted on our website under “Investors – Corporate Governance.” Within the time period required by the SEC and the New York Stock Exchange, we will post on our website any modifications to the charters and any waivers applicable to senior officers as defined in the applicable charters, as required by the Sarbanes-Oxley Act of 2002. Information contained on our website is not part of this Annual Report on Form 10-K.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Key Employees and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success of our businesses is typically dependent upon one or a few key employees for success because of the localized and personal nature of our business.</w:t>
      </w:r>
    </w:p>
    <w:p>
      <w:pPr>
        <w:spacing w:after="0" w:line="97"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Funeral home and cemetery businesses have built local heritage and tradition through successive generations, providing a foundation for ongoing business opportunities from established client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Managing Partners, sales force and other personnel is an important factor in achieving future success. We can give no assurance that we can retain these employees or that these relationships will drive market share. Our inability to attract and maintain qualified and productive Managing Partners and sales force could have a material adverse effect on our financial condition,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“Good To Great” incentive program could result in significant future payments to our Managing Partners.</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Our Good To Great incentive program rewards our Managing Partners for achieving an average net revenue compounded annual growth rate equal to at least 1% (the “Minimum Growth Rate”) over a five year performance period (the “Performance Period”) with respect to our funeral homes that they operate, which aligns our incentives with long-term value creation. Each Managing Partner that achieves the Minimum Growth Rate during the applicable Performance Period and remains continuously employed as a Managing Partner of the same business throughout the Performance Period will receive a one-time bonus, payable in a combination of cash and shares of our common stock, determined at our discretion. We believe this incentive program will result in improved field-level margins, market share and overall financial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Strategic Business Execution and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Improved performance in our funeral and cemetery segments is dependent upon successful execution of our Standards Operating Model.</w:t>
      </w:r>
    </w:p>
    <w:p>
      <w:pPr>
        <w:spacing w:after="0" w:line="9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We have implemented our Standards Operating Model to improve and better measure performance in our funeral and cemetery operations. We developed standards according to criteria, each with a different weighting, designed around market share, high-value services and operational and financial metrics. We also incentivize our location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improving field-level margins, market share, customer satisfaction and overall financial performance, but there is no assurance that these goals will be met. Failure to successfully implement our Standards Operating Model in our funeral and cemetery operations could have a material adverse effect on our financial condition, results of operations and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ability to execute our growth strategy is highly dependent upon our ability to successfully identify suitable acquisition candidates and negotiate transactions on favorable terms.</w:t>
      </w:r>
    </w:p>
    <w:p>
      <w:pPr>
        <w:spacing w:after="0" w:line="10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There is no assurance that we will be able to continue to identify acquisition candidates that meet our criteria or that we will be able to reach terms with identified candidates for transactions that are acceptable to us, and even if we do, we may not be able to successfully complete the transaction or integrate the new business into our existing business. We intend to apply standards established under our Strategic Acquisition Model to evaluate acquisition candidates, and there is no assurance that we will continue to be successful in doing so or that we will find attractive candidates that satisfy these standards. Due in part to the presence of competitors who have been in certain markets longer than we have, such acquisitions or investments may be more difficult or expensive than we anticipate.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Divestitures could negatively impact our business and retained liabilities from businesses that we sell could adversely affect our financial results.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As part of our growth strategy, we periodically review our businesses which may no longer be aligned with our strategic business plan and long-term objectives and, as a result of these reviews of our businesses we may pursue additional divestitures. From time to time, we engage in discussions with third parties about potential divestitures of one or more of our businesses that, if fully consummated, could result in the divestiture of a material amount of assets and contribution to our results of operations that have historically contributed to our results of operations. Divestitures pose risks and challenges that could negatively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impact our business, including disputes with buyers or potential impairment charges. For example, when we decide to sell a business, we may be unable to do so on our terms and within our anticipated time-frame, and even after reaching a definitive agreement to sell a business, the sale may be subject to satisfaction of pre-closing conditions, which may not be satisfied, as well as regulatory and governmental approvals, which may prevent us from completing a transaction on acceptable terms. If we do not realize the expected benefits of any divestiture transaction, our financial condition, results of operations, and cash flows could be materially adversely affected. For more information related to our divestitures, see Part II, Item 8, Financial Statements and Supplementary Data, Note 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Competitive Marketplace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funeral and cemetery industry is competitive.</w:t>
      </w:r>
    </w:p>
    <w:p>
      <w:pPr>
        <w:spacing w:after="0" w:line="97"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The funeral and cemetery industry is characterized by a large number of locally-owned, independent operations in the United States and a large number of operations owned by publicly and privately-held funeral home and cemetery consolidators. To compete successfully, our funeral service locations and cemeteries must maintain good reputations and high professional standards, as well as offer attractive products and services at competitive prices. In addition, we must market ourselves in such a manner as to distinguish us from our competitors. We have historically experienced price competition from independent and publicly held funeral service and cemetery operators, monument dealers, casket retailers, low-cost providers, and other nontraditional providers of merchandise and services. If we are unable to successfully compete, our financial condition, results of operations, and cash flows could be materially adversely affected.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 and sales activities by existing and new competitors could cause us to lose market share and lead to lower revenue and margins.</w:t>
      </w:r>
    </w:p>
    <w:p>
      <w:pPr>
        <w:spacing w:after="0" w:line="9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We face competition in all of our markets. Most of our competitors are independently owned, and some are relatively recent market entrants. Some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 The types of services and the prices offered for such services by our competitors may attract customers, causing us to lose market share and revenue as well as to incur costs in response to competition to vary the types or mix of products or services offered by us.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Price competition could also reduce our market share or cause us to reduce prices to retain or recapture market share, either of which could reduce revenue and margins.</w:t>
      </w:r>
    </w:p>
    <w:p>
      <w:pPr>
        <w:spacing w:after="0" w:line="10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have historically experienced price competition primarily from independent funeral home and cemetery operators, and from monument dealers, casket retailers, low-cost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 reducing profit margins in order to retain or recapture market share. Increased price competition in the future could further reduce revenue, profits and our preneed backlog.</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Preneed Sales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generate preneed sales depends on a number of factors, including sales incentives and local and general economic conditions.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Significant declines in preneed sales would reduce our backlog and revenue and could reduce our future market share. On the other hand, a significant increase in preneed sales can have a negative impact on cash flow as a result of commissions and other costs incurred initially without corresponding revenue.</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near term. In addition, economic conditions at the local or national level could cause declines in preneed sales either as a result of less discretionary income or lower consumer confidence. Declines in preneed cemetery property sales reduces current revenue, and declines in other preneed sales would reduce our backlog and future revenue and could reduce future market share.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Increased preneed sales could have a negative impact on our cash flows.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Preneed sales of funeral and cemetery products and services generally have an initial negative impact on our cash flows, as we are required in certain states to deposit a portion of the sales proceeds into trusts or escrow accounts and often incur other expenses at the time of sale. Furthermore, many preneed purchases are paid for in installments over a period of several years, further limiting our cash flows at the time of sale. Because preneed sales generally provide positive cash flows over the long term, we market the sale of such contracts at the local level. If our efforts to increase such sales are successful, however, our current cash flows could be materially and adversely affected, in the near term.</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Trust Fund and Life Insurance Contracts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funeral and cemetery trust funds own investments in equity securities, fixed income securities, and mutual funds, which are affected by market conditions that are beyond our control.</w:t>
      </w:r>
    </w:p>
    <w:p>
      <w:pPr>
        <w:spacing w:after="0" w:line="12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summarizes our investment returns (realized and unrealized), excluding certain fees, on our trust funds for the years ended December 31, 2018, 2019 and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2018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67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720" w:type="dxa"/>
            <w:vAlign w:val="bottom"/>
          </w:tcPr>
          <w:p>
            <w:pPr>
              <w:jc w:val="right"/>
              <w:ind w:right="711"/>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Preneed funeral trust funds</w:t>
            </w:r>
          </w:p>
        </w:tc>
        <w:tc>
          <w:tcPr>
            <w:tcW w:w="9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13.5 %</w:t>
            </w:r>
          </w:p>
        </w:tc>
      </w:tr>
      <w:tr>
        <w:trPr>
          <w:trHeight w:val="180"/>
        </w:trPr>
        <w:tc>
          <w:tcPr>
            <w:tcW w:w="7240" w:type="dxa"/>
            <w:vAlign w:val="bottom"/>
            <w:gridSpan w:val="2"/>
          </w:tcPr>
          <w:p>
            <w:pPr>
              <w:ind w:left="20"/>
              <w:spacing w:after="0"/>
              <w:rPr>
                <w:sz w:val="20"/>
                <w:szCs w:val="20"/>
                <w:color w:val="auto"/>
              </w:rPr>
            </w:pPr>
            <w:r>
              <w:rPr>
                <w:rFonts w:ascii="Arial" w:cs="Arial" w:eastAsia="Arial" w:hAnsi="Arial"/>
                <w:sz w:val="14"/>
                <w:szCs w:val="14"/>
                <w:color w:val="auto"/>
              </w:rPr>
              <w:t>Preneed cemetery trust funds</w:t>
            </w:r>
          </w:p>
        </w:tc>
        <w:tc>
          <w:tcPr>
            <w:tcW w:w="5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26.0 %</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15.5 %</w:t>
            </w:r>
          </w:p>
        </w:tc>
      </w:tr>
      <w:tr>
        <w:trPr>
          <w:trHeight w:val="18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Perpetual care trust funds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25.2 %</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r>
    </w:tbl>
    <w:p>
      <w:pPr>
        <w:spacing w:after="0" w:line="14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recurring and sustained declines in subsequent years, there could be insufficient funds in the trusts to cover the costs of delivering services and merchandise or maintaining cemeteries in the future. We may be required to cover any such shortfall with cash flows from operations or other sources of cash, which could have a material adverse effect on our financial condition, results of operations or cash flows. For more information related to our trust investments, see Part II, Item 8, Financial Statements and Supplementary Data, Note 7.</w:t>
      </w:r>
    </w:p>
    <w:p>
      <w:pPr>
        <w:spacing w:after="0" w:line="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If the fair market value of these trusts, plus any other amount due to us upon delivery of the associated contracts, were to decline below the estimated costs to deliver the underlying products and services at maturity, we would record a charge to earnings for the expected losses on the delivery of the associated contracts. For additional information, see Part II, Item 7, Management’s Discussion and Analysis of Financial Condition and Results of Operations, Critical Accounting Policies and Estimates.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from and principal of trust funds could be reduced by changes in financial markets and the mix of securities owned.</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 while declines in earnings from other trust funds could cause a decline in future cash flows and revenue.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be required to replenish our funeral and cemetery trust funds in order to meet minimum funding requirements, which would have a negative effect on our earnings and cash flow.</w:t>
      </w:r>
    </w:p>
    <w:p>
      <w:pPr>
        <w:spacing w:after="0" w:line="12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Increasing death benefits related to preneed funeral contracts funded through life insurance contracts may not cover future increases in the cost of providing a price-guaranteed funeral service.</w:t>
      </w:r>
    </w:p>
    <w:p>
      <w:pPr>
        <w:spacing w:after="0" w:line="4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sell price-guaranteed preneed funeral contracts through various programs providing for future funeral services at prices prevailing when the agreements are signed. For preneed funeral contracts funded through life insurance contracts,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 and operating margins.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financial condition of third-party insurance companies that fund our preneed funeral contracts may impact our future revenue.</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Where permitted by state law, our customers may arrange their preneed funeral contract by purchasing a life insurance policy from third-party insurance companies. The customer/policy holder assigns the policy benefits to our funeral home to pay for the preneed 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 Changes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4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make judgments regarding the utilization of existing income tax credits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our tax positions. Changes in federal, state, or local tax laws, adverse tax audit results, or adverse tax rulings on positions taken could have a material adverse effect on the results of our operations, financial condition, or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or revised tax regulations could have a material effect on our financial statements</w:t>
      </w:r>
    </w:p>
    <w:p>
      <w:pPr>
        <w:spacing w:after="0" w:line="97"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New tax laws or regulations could be enacted at any time, and existing tax laws or regulations could be interpreted, amended, or applied in a manner that has a material effect on us, which could materially impact our business and financial condition. For example, on March 27, 2020, the CARES Act was enacted in response to the macroeconomic environment conditions posed by COVID-19. The CARES Act is a sweeping stimulus bill intended to bolster the U.S. economy, among other things, and provide emergency assistance to qualifying businesses and individuals. Based on available guidance, we anticipate that the legislative changes will have a positive impact on our earnings and cash flow. As the enacted legislation includes provisions that would expire after certain periods of time, the fact that our business has the potential to change its operating situation, and the existence of potential changes by state tax authorities related to conformity with federal tax regulations, the possibility exists that the future benefit of the legislation could change. In addition, it is uncertain if, and to what extent, various states will conform to the CARES Act, or any newly enacted or revised federal tax legislation. Under the CARES Act, the primary areas that should be considered for future earnings and cash impact are the changes to the interest expense limitation threshold and the technical correction to the Tax Cuts and Jobs Act regarding the qualified improvement property now being eligible for full expensing. For more information related to the CARES Act, see Part II, Item 8, Financial Statements and Supplementary Data, Note 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and Claims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Unfavorable results of litigation could have a material adverse impact on our financial statements.</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are subject to a variety of claims and lawsuits in the ordinary course of our business. Adverse outcomes in potential litigation related to our business may result in significant monetary damages or injunctive relief against us, as litigation and other claims are subject to inherent uncertainties. Any such adverse outcomes that may arise in the future, could have a material adverse impact on our financial position, results of operations, and cash flows.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FUNERAL AND CEMETERY INDUSTRY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Death Rates and Consumer Preferences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Declines in the number of deaths in our markets can cause a decrease in revenue. Changes in the number of deaths are not predictable from market to market or over the short term.</w:t>
      </w:r>
    </w:p>
    <w:p>
      <w:pPr>
        <w:spacing w:after="0" w:line="10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Declines in the number of deaths could cause atneed sales of funeral and cemetery services, property and merchandise to decline, which could decrease revenue. Although the United States Bureau of the Census estimates that the number of deaths in the United States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For example, we have seen the COVID-19 pandemic affect the death rate, with a result of increased deaths. These variations may cause our revenue to fluctuate and our results of operations to lack predictability.</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The increasing number of cremations in the United States could cause revenue to decline because we could lose market share to firms specializing in cremations and because our average revenue for cremations is lower than that for traditional burials.</w:t>
      </w:r>
    </w:p>
    <w:p>
      <w:pPr>
        <w:spacing w:after="0" w:line="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Our traditional cemetery and funeral service operations face competition from the increasing number of cremations in the United States. Industry studies indicate that the percentage of cremations has increased every year and this trend is expected to continue into the future. The trend toward cremation could cause cemeteries and traditional funeral homes to lose market share and revenue to firms specializing in cremations. Additionally, our average revenue for cremations is lower than that for traditional burials. If we are unable to continue to expand our cremation memorialization products and services, and cremations remain or increase as a significant percentage of our services, our financial condition, results of operations, and cash flows could be materially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are not able to respond effectively to changing consumer preferences, our market share, revenue and profitability could decrease.</w:t>
      </w:r>
    </w:p>
    <w:p>
      <w:pPr>
        <w:spacing w:after="0" w:line="97"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Future market share, revenue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 preferences, or we may identify them later than our competitors. In addition, any strategies we may implement to address these trends may prove incorrect or ineffective.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Because the funeral and cemetery businesses are high fixed-cost businesses, changes in revenue can have a disproportionately large effect on cash flow and profits.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Funeral home and cemetery businesses incur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those declines can cause margins, profits and cash flow to decrease at a greater rate than the decline in revenue.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Changes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or increases in, or failure to comply with, regulations applicable to our business could increase costs or decrease cash flows.</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The funeral and cemetery industry is subject to extensive and evolving regulation and licensing requirements under federal, state and local laws. For example, the funeral industry is regulated by the FTC, which requires funeral homes to take actions designed to protect consumers. State laws impose licensing requirements and regulate preneed sales. As such, we are subject to state trust fund and preneed sales practice audits, which could result in audit adjustments as a result of non-compliance. In addition, we may assume the liability for any audit adjustments for our acquired businesses for periods under audit that were prior to our ownership of the business depending upon the obligations outlined in the agreement. These audit adjustments could have a material adverse impact on our financial condition, results of operations and cash flows.</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In addition, from time to time, governments and agencies propose to amend or add regulations, which could increase costs or decrease cash flows.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funeral and cemetery industry, see Part I, Item 1, Business, Regulation.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environmental and worker health and safety laws and regulations that may expose us to significant costs and liabilities.</w:t>
      </w:r>
    </w:p>
    <w:p>
      <w:pPr>
        <w:spacing w:after="0" w:line="9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Our cemetery and funeral home operations are subject to certain federal, regional,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sanctions, including administrative, civil and criminal penalties, imposition of investigatory, remedial or corrective action obligations, delays in permitting or performance of projects and the issuance of injunctions restricting or prohibiting our activities. Failure to appropriately transport and dispose of generated wastes, used chemicals or other regulated substances, or any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non-compliant activities or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regulations and enforcement policies occur frequently, and any changes that result in more stringent or costly emissions control or waste handling, storage, transport, disposal or cleanup requirements could require us to make significant expenditures to attain and maintain compliance and may otherwise have a material adverse effect on our results of operations, competitive position or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CREDIT FACILITY AND FINANCIAL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 and Debt Obligations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spacing w:after="0" w:line="4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transactions with affiliates; enter into sale-leaseback transactions; sell or dispose assets; and acquire the assets of, or merge or consolidate with, other companies.</w:t>
      </w:r>
    </w:p>
    <w:p>
      <w:pPr>
        <w:spacing w:after="0" w:line="62"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4"/>
          <w:szCs w:val="14"/>
          <w:color w:val="auto"/>
        </w:rPr>
        <w:t>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will depend on our future performance, which may be affected by events beyond our control. Our failure 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Pursuant to the terms of our Credit Facility, we must comply with, amongst other things, a maximum Total Leverage Ratio covenant which is measured quarterly. If we are unable to comply with the maximum Total Leverage Ratio, we will be in immediate default under the Credit Facility. The COVID-19 pandemic may have a future impact on our business which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w:t>
      </w:r>
    </w:p>
    <w:p>
      <w:pPr>
        <w:spacing w:after="0" w:line="45"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level of indebtedness could adversely affect our financial condition and prevent us from fulfilling our debt obligations.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Our indebtedness requires significant interest and principal payments. As of December 31, 2020, we had $455.3 million of total debt (excluding debt issuance costs, debt discounts, debt premium and lease obligations), consisting of $5.5 million of acquisition debt (consisting of deferred purchase price and promissory notes payable to sellers of businesses we purchased), $2.6 million of our Convertible Notes, $400.0 million of our Senior Notes and $47.2 million of outstanding borrowings under our Credit Facility, with $140.7 million of availability under our Credit Facility after giving effect to $2.1 million of outstanding letters of credit.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and our subsidiaries’ level of indebtedness could have important consequences to us, including:</w:t>
      </w:r>
    </w:p>
    <w:p>
      <w:pPr>
        <w:spacing w:after="0" w:line="93" w:lineRule="exact"/>
        <w:rPr>
          <w:sz w:val="20"/>
          <w:szCs w:val="20"/>
          <w:color w:val="auto"/>
        </w:rPr>
      </w:pPr>
    </w:p>
    <w:p>
      <w:pPr>
        <w:ind w:left="960" w:right="280" w:hanging="510"/>
        <w:spacing w:after="0" w:line="280" w:lineRule="auto"/>
        <w:tabs>
          <w:tab w:leader="none" w:pos="9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continuing to require us and certain of our subsidiaries to dedicate a substantial portion of our cash flow from operations to the payment of our indebtedness, thereby reducing the funds available for operations and any future business opportunities;</w:t>
      </w:r>
    </w:p>
    <w:p>
      <w:pPr>
        <w:spacing w:after="0" w:line="5" w:lineRule="exact"/>
        <w:rPr>
          <w:rFonts w:ascii="Arial" w:cs="Arial" w:eastAsia="Arial" w:hAnsi="Arial"/>
          <w:sz w:val="14"/>
          <w:szCs w:val="14"/>
          <w:color w:val="auto"/>
        </w:rPr>
      </w:pPr>
    </w:p>
    <w:p>
      <w:pPr>
        <w:ind w:left="960" w:hanging="510"/>
        <w:spacing w:after="0"/>
        <w:tabs>
          <w:tab w:leader="none" w:pos="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limiting flexibility in planning for, or reacting to, changes in our business or the industry in which we operate;</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placing us at a competitive disadvantage compared to our competitors that have less indebtedness;</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increasing our vulnerability to adverse general economic or industry conditions;</w:t>
      </w:r>
    </w:p>
    <w:p>
      <w:pPr>
        <w:spacing w:after="0" w:line="50" w:lineRule="exact"/>
        <w:rPr>
          <w:rFonts w:ascii="Arial" w:cs="Arial" w:eastAsia="Arial" w:hAnsi="Arial"/>
          <w:sz w:val="14"/>
          <w:szCs w:val="14"/>
          <w:color w:val="auto"/>
        </w:rPr>
      </w:pPr>
    </w:p>
    <w:p>
      <w:pPr>
        <w:ind w:left="960" w:hanging="510"/>
        <w:spacing w:after="0"/>
        <w:tabs>
          <w:tab w:leader="none" w:pos="9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making us and our subsidiaries more vulnerable to increases in interest rates, as borrowings under our Credit Facility are at variable rates; and</w:t>
      </w:r>
    </w:p>
    <w:p>
      <w:pPr>
        <w:spacing w:after="0" w:line="50" w:lineRule="exact"/>
        <w:rPr>
          <w:rFonts w:ascii="Arial" w:cs="Arial" w:eastAsia="Arial" w:hAnsi="Arial"/>
          <w:sz w:val="14"/>
          <w:szCs w:val="14"/>
          <w:color w:val="auto"/>
        </w:rPr>
      </w:pPr>
    </w:p>
    <w:p>
      <w:pPr>
        <w:ind w:left="960" w:right="500" w:hanging="510"/>
        <w:spacing w:after="0" w:line="280" w:lineRule="auto"/>
        <w:tabs>
          <w:tab w:leader="none" w:pos="9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working capital, capital expenditures, acquisitions or other general corporate requirements and increasing our cost of borrowing.</w:t>
      </w:r>
    </w:p>
    <w:p>
      <w:pPr>
        <w:spacing w:after="0" w:line="4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Our ability to make payments on and to refinance our indebtedness will depend on our ability to generate cash in the future from operations, financings or asset sales. Our ability to generate cash is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certain actions, including reducing spending on day-to-day operations, reducing future financing for working capital, capital expenditures and general corporate purposes, selling assets or dedicating an 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including the notes.</w:t>
      </w:r>
    </w:p>
    <w:p>
      <w:pPr>
        <w:spacing w:after="0" w:line="64"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Additionally,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Despite our current levels of indebtedness, we may still incur additional indebtedness. This could further exacerbate the risks associated with our indebtedness.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may incur additional indebtedness in the future. The terms of our Credit Facility and the Indenture governing our Senior Notes will limit, but not prohibit, us from incurring additional indebtedness. Additional indebtedness incurred in compliance with these restrictions could be substantial. These restrictions also do not prevent us or our subsidiaries from incurring obligations, such as trade payables, that do not constitute indebtedness as defined under our debt agreements. To the extent new debt is added to our current debt levels, the leverage risks associated with our indebtedness would increase.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Unfavorable economic conditions, including those resulting from health and safety concerns, could adversely affect our business, financial condition or results of operations.</w:t>
      </w:r>
    </w:p>
    <w:p>
      <w:pPr>
        <w:spacing w:after="0" w:line="10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color w:val="auto"/>
        </w:rPr>
        <w:t>Our business and operational results could be adversely affected by general conditions in the U.S. economy, including conditions that are outside of our control, such as the impact of health and safety concerns from the COVID-19 pandemic. The initial U.S. and global economic and financial conditions related to COVID-19 resulted in extreme volatility and disruptions in the capital and credit markets. A severe or prolonged economic downturn,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the outbreak of pandemic diseases such as COVID-19, we may lose the services of a number of our key employees or experience system interruptions, which could lead to impacts to our regular business operations, inefficiencies and reputational harm. Due to the uncertainty around the ultimate impact of COVID-19 to our business and operations, the impact on our business and operational results cannot be reasonably estimated at this time. Any of the foregoing could harm our business and we cannot anticipate all the ways in which the current COVID-19 pandemic and financial market conditions could adversely impact our business.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Economic, financial and stock market fluctuations could affect future potential earnings and cash flows and could result in future goodwill, intangible assets and long-lived asset impairments.</w:t>
      </w:r>
    </w:p>
    <w:p>
      <w:pPr>
        <w:spacing w:after="0" w:line="44"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In addition to an annual review, we assess the impairment of goodwill, intangible assets and other long-lived assets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an impairment of our goodwill. As a result of economic conditions caused by COVID-19, we performed a quantitative assessment of our goodwill at March 31, 2020 and we recorded an impairment for goodwill of $13.6 million during the quarter ended March 31, 2020, as the carrying amount of our funeral homes in the Eastern Region Reporting Unit exceeded the fair value. We also performed a quantitative assessment of our tradenames at March 31, 2020 and we recorded an impairment for certain of our tradenames of $1.1 million during the quarter ended March 31, 2020 as the carrying amount of these tradenames exceeded the fair value. In connection with the goodwill impairment recorded for the Eastern Region Reporting Unit during the quarter ended March 31, 2020, we also evaluated the long-lived assets and leases of our funeral homes in the Eastern Region Reporting Unit and concluded that there was no impairment to our long-lived assets and leases. Based on the results of our annual goodwill and intangible assets impairment test we performed as of August 31, 2020 and our annual review of long-lived assets and leases as of December 31, 2020, we concluded that there were no additional impairments of our goodwill, intangible assets or other long-lived assets and leases. Additionally, if current economic conditions weaken causing deterioration in our operating revenue, operating margins and cash flows, we may have a triggering event that could result in a material impairment of our goodwill, intangible assets and/or long-lived assets and leases.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Technology and Internal Controls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color w:val="auto"/>
        </w:rPr>
        <w:t>We rely significantly on information technology and any failure, inadequacy, interruption or security lapse of that technology, including any cybersecurity incidents could harm our ability to operate our business effectively.</w:t>
      </w:r>
    </w:p>
    <w:p>
      <w:pPr>
        <w:spacing w:after="0" w:line="4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In the ordinary course of our business, we receive certain personal information, in both physical and electronic formats, about our customers, their loved ones, our employees, and our vendors. We maintain security measures and data backup systems to protect, store, and prevent unauthorized access to such information. Nevertheless, it is possible that computer hackers and others (through increasingly sophisticated cyberattacks or by other means) might circumvent our security measures in the future and obtain the personal information of customers, their loved ones, our employees or our vendors.</w:t>
      </w:r>
    </w:p>
    <w:p>
      <w:pPr>
        <w:spacing w:after="0" w:line="6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example, in January 2021, we detected that our information technology system was affected by a ransomware attack. Upon learning of the incident, we undertook immediate steps to address the incident, including engaging information technology security and forensics experts and working diligently with these experts to assess the impact on our information technology systems, implement additional and enhanced security measures to help prevent a similar incident in the future,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to restore any of our information technology systems that were impacted by the incident. The restoration of any impacted systems is complete. We maintain insurance coverage for various cybersecurity risks, which covered the costs associated with the January 2021 ransomware attack, but it is possible that such insurance coverage may not fully insure all future costs or losses associated with other cybersecurity incidents. For additional information regarding the January 2021 ransomware incident, see Part II, Item 8, Financial Statements and Supplementary Data, Note 25.</w:t>
      </w:r>
    </w:p>
    <w:p>
      <w:pPr>
        <w:spacing w:after="0" w:line="22"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While we determined, based on our assessment of the information known to us, that the January 2021 ransomware incident did not have, nor do we expect it will have, a material impact on our business, operations or financial results, if we fail to protect our own information from any future breaches in data security, we could experience significant costs and expenses as well as damage to our reputation. Additionally, as the sophistication and frequency of attacks increase, our information technology security costs, including cybersecurity insurance, which are significant, may rise.</w:t>
      </w:r>
    </w:p>
    <w:p>
      <w:pPr>
        <w:spacing w:after="0" w:line="2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3"/>
          <w:szCs w:val="13"/>
          <w:color w:val="auto"/>
        </w:rPr>
        <w:t>Additionally, legislation relating to cyber security threats could impose additional requirements on our operations. Various state governments, notably California, New York and Nevada, have enacted or enhanced data privacy regulations, and other state governments are considering establishing similar or stronger protections. These regulations impose certain obligations for securing, and potentially removing, specified personal information in our systems, and for apprising individuals of the information we have collected about them. We have incurred costs in an effort to comply with these data privacy risks and requirements, and our costs may increase significantly as risks become increasingly complex or if new or changing requirements are enacted, and based on how individuals exercise their rights. For example, in November 2020, California voters approved Proposition 24 (Consumer Personal Information Law and Agency Initiative), which will increase data privacy requirements for our business when its provisions take effect in 2023. Despite our efforts, any noncompliance could result in our incurring substantial penalties and reputational damage.</w:t>
      </w:r>
    </w:p>
    <w:p>
      <w:pPr>
        <w:spacing w:after="0" w:line="5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Our ability to manage and maintain our internal reports effectively and integration of new business acquisitions depends significantly on our enterprise resource planning system and other information systems. Some of our information technology systems may experience interruptions, delays or cessations of service or produce errors in connection with ongoing systems implementation work. The failure of our systems to operate effectively or to integrate with other systems, or a breach in security or other unauthorized access of these systems, may also result in reduced efficiency of our operations and could require significant capital investments to remediate any such failure, problem or breach and to comply with applicable regulations, all of which could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maintain effective internal control over financial reporting could adversely affect our results of operations, investor confidence, and our stock price.</w:t>
      </w:r>
    </w:p>
    <w:p>
      <w:pPr>
        <w:spacing w:after="0" w:line="9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If we do not maintain effective internal control over financial reporting or implement controls sufficient to provide reasonable assurance with respect to the preparation and fair presentation of our financial statements, we could be unable to file accurate financial reports on a timely basis, and our results of operations, investor confidence, and stock price could be materially adversely affected.</w:t>
      </w:r>
    </w:p>
    <w:p>
      <w:pPr>
        <w:spacing w:after="0" w:line="157"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1B.</w:t>
        <w:tab/>
        <w:t>UNRESOLVED STAFF COMMENTS.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At December 31, 2020, we operated 178 funeral homes in 26 states and 32 cemeteries in 12 states. We own the real estate and buildings for 157 of our funeral homes and lease 21 facilities. We own 31 cemeteries and operate one cemetery under a long-term contract with a municipality, which we refer to as a managed property. We operate 19 funeral homes in combination with cemeteries as these locations are physically located on the same property or in very close proximity and are under the same leadership.</w:t>
      </w:r>
    </w:p>
    <w:p>
      <w:pPr>
        <w:spacing w:after="0" w:line="58" w:lineRule="exact"/>
        <w:rPr>
          <w:sz w:val="20"/>
          <w:szCs w:val="20"/>
          <w:color w:val="auto"/>
        </w:rPr>
      </w:pPr>
    </w:p>
    <w:p>
      <w:pPr>
        <w:jc w:val="both"/>
        <w:ind w:firstLine="318"/>
        <w:spacing w:after="0" w:line="367" w:lineRule="auto"/>
        <w:rPr>
          <w:sz w:val="20"/>
          <w:szCs w:val="20"/>
          <w:color w:val="auto"/>
        </w:rPr>
      </w:pPr>
      <w:r>
        <w:rPr>
          <w:rFonts w:ascii="Arial" w:cs="Arial" w:eastAsia="Arial" w:hAnsi="Arial"/>
          <w:sz w:val="12"/>
          <w:szCs w:val="12"/>
          <w:color w:val="auto"/>
        </w:rPr>
        <w:t>The 32 cemeteries that we operate have developed cemetery property of approximately 152,000 and 155,000 units available-for-sale at December 31, 2019 and 2020, respectively. In addition, we own approximately 500 acres that are available for future development or sale. We anticipate having a sufficient inventory of lots to maintain our property sales for the foreseeable future.</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sets forth certain information as of December 31, 2020, regarding our properties used by the funeral home segment and by the cemetery segment identified by state: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880" w:type="dxa"/>
            <w:vAlign w:val="bottom"/>
            <w:gridSpan w:val="3"/>
          </w:tcPr>
          <w:p>
            <w:pPr>
              <w:jc w:val="center"/>
              <w:ind w:left="931"/>
              <w:spacing w:after="0"/>
              <w:rPr>
                <w:sz w:val="20"/>
                <w:szCs w:val="20"/>
                <w:color w:val="auto"/>
              </w:rPr>
            </w:pPr>
            <w:r>
              <w:rPr>
                <w:rFonts w:ascii="Arial" w:cs="Arial" w:eastAsia="Arial" w:hAnsi="Arial"/>
                <w:sz w:val="11"/>
                <w:szCs w:val="11"/>
                <w:b w:val="1"/>
                <w:bCs w:val="1"/>
                <w:color w:val="auto"/>
                <w:w w:val="94"/>
              </w:rPr>
              <w:t>Number of</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3"/>
          </w:tcPr>
          <w:p>
            <w:pPr>
              <w:ind w:left="1180"/>
              <w:spacing w:after="0"/>
              <w:rPr>
                <w:sz w:val="20"/>
                <w:szCs w:val="20"/>
                <w:color w:val="auto"/>
              </w:rPr>
            </w:pPr>
            <w:r>
              <w:rPr>
                <w:rFonts w:ascii="Arial" w:cs="Arial" w:eastAsia="Arial" w:hAnsi="Arial"/>
                <w:sz w:val="11"/>
                <w:szCs w:val="11"/>
                <w:b w:val="1"/>
                <w:bCs w:val="1"/>
                <w:color w:val="auto"/>
              </w:rPr>
              <w:t>Number of</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80" w:type="dxa"/>
            <w:vAlign w:val="bottom"/>
            <w:gridSpan w:val="3"/>
          </w:tcPr>
          <w:p>
            <w:pPr>
              <w:jc w:val="center"/>
              <w:ind w:left="911"/>
              <w:spacing w:after="0"/>
              <w:rPr>
                <w:sz w:val="20"/>
                <w:szCs w:val="20"/>
                <w:color w:val="auto"/>
              </w:rPr>
            </w:pPr>
            <w:r>
              <w:rPr>
                <w:rFonts w:ascii="Arial" w:cs="Arial" w:eastAsia="Arial" w:hAnsi="Arial"/>
                <w:sz w:val="11"/>
                <w:szCs w:val="11"/>
                <w:b w:val="1"/>
                <w:bCs w:val="1"/>
                <w:color w:val="auto"/>
                <w:w w:val="93"/>
              </w:rPr>
              <w:t>Funeral Homes</w:t>
            </w:r>
          </w:p>
        </w:tc>
        <w:tc>
          <w:tcPr>
            <w:tcW w:w="1000" w:type="dxa"/>
            <w:vAlign w:val="bottom"/>
            <w:vMerge w:val="restart"/>
          </w:tcPr>
          <w:p>
            <w:pPr>
              <w:jc w:val="right"/>
              <w:ind w:right="390"/>
              <w:spacing w:after="0"/>
              <w:rPr>
                <w:sz w:val="20"/>
                <w:szCs w:val="20"/>
                <w:color w:val="auto"/>
              </w:rPr>
            </w:pPr>
            <w:r>
              <w:rPr>
                <w:rFonts w:ascii="Arial" w:cs="Arial" w:eastAsia="Arial" w:hAnsi="Arial"/>
                <w:sz w:val="11"/>
                <w:szCs w:val="11"/>
                <w:b w:val="1"/>
                <w:bCs w:val="1"/>
                <w:color w:val="auto"/>
                <w:w w:val="98"/>
              </w:rPr>
              <w:t>Leased</w:t>
            </w:r>
            <w:r>
              <w:rPr>
                <w:rFonts w:ascii="Arial" w:cs="Arial" w:eastAsia="Arial" w:hAnsi="Arial"/>
                <w:sz w:val="18"/>
                <w:szCs w:val="18"/>
                <w:b w:val="1"/>
                <w:bCs w:val="1"/>
                <w:color w:val="auto"/>
                <w:w w:val="98"/>
                <w:vertAlign w:val="superscript"/>
              </w:rPr>
              <w:t>(1)</w:t>
            </w:r>
          </w:p>
        </w:tc>
        <w:tc>
          <w:tcPr>
            <w:tcW w:w="160" w:type="dxa"/>
            <w:vAlign w:val="bottom"/>
          </w:tcPr>
          <w:p>
            <w:pPr>
              <w:spacing w:after="0"/>
              <w:rPr>
                <w:sz w:val="12"/>
                <w:szCs w:val="12"/>
                <w:color w:val="auto"/>
              </w:rPr>
            </w:pPr>
          </w:p>
        </w:tc>
        <w:tc>
          <w:tcPr>
            <w:tcW w:w="184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Cemeteries</w:t>
            </w: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20" w:type="dxa"/>
            <w:vAlign w:val="bottom"/>
            <w:gridSpan w:val="2"/>
          </w:tcPr>
          <w:p>
            <w:pPr>
              <w:spacing w:after="0" w:line="109" w:lineRule="exact"/>
              <w:rPr>
                <w:sz w:val="20"/>
                <w:szCs w:val="20"/>
                <w:color w:val="auto"/>
              </w:rPr>
            </w:pPr>
            <w:r>
              <w:rPr>
                <w:rFonts w:ascii="Arial" w:cs="Arial" w:eastAsia="Arial" w:hAnsi="Arial"/>
                <w:sz w:val="11"/>
                <w:szCs w:val="11"/>
                <w:b w:val="1"/>
                <w:bCs w:val="1"/>
                <w:color w:val="auto"/>
              </w:rPr>
              <w:t>State</w:t>
            </w:r>
          </w:p>
        </w:tc>
        <w:tc>
          <w:tcPr>
            <w:tcW w:w="1880" w:type="dxa"/>
            <w:vAlign w:val="bottom"/>
            <w:gridSpan w:val="3"/>
          </w:tcPr>
          <w:p>
            <w:pPr>
              <w:ind w:left="500"/>
              <w:spacing w:after="0" w:line="109" w:lineRule="exact"/>
              <w:rPr>
                <w:sz w:val="20"/>
                <w:szCs w:val="20"/>
                <w:color w:val="auto"/>
              </w:rPr>
            </w:pPr>
            <w:r>
              <w:rPr>
                <w:rFonts w:ascii="Arial" w:cs="Arial" w:eastAsia="Arial" w:hAnsi="Arial"/>
                <w:sz w:val="11"/>
                <w:szCs w:val="11"/>
                <w:b w:val="1"/>
                <w:bCs w:val="1"/>
                <w:color w:val="auto"/>
              </w:rPr>
              <w:t>Owned</w:t>
            </w:r>
          </w:p>
        </w:tc>
        <w:tc>
          <w:tcPr>
            <w:tcW w:w="1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gridSpan w:val="3"/>
          </w:tcPr>
          <w:p>
            <w:pPr>
              <w:ind w:left="500"/>
              <w:spacing w:after="0" w:line="109" w:lineRule="exact"/>
              <w:rPr>
                <w:sz w:val="20"/>
                <w:szCs w:val="20"/>
                <w:color w:val="auto"/>
              </w:rPr>
            </w:pPr>
            <w:r>
              <w:rPr>
                <w:rFonts w:ascii="Arial" w:cs="Arial" w:eastAsia="Arial" w:hAnsi="Arial"/>
                <w:sz w:val="11"/>
                <w:szCs w:val="11"/>
                <w:b w:val="1"/>
                <w:bCs w:val="1"/>
                <w:color w:val="auto"/>
              </w:rPr>
              <w:t>Owned</w:t>
            </w:r>
          </w:p>
        </w:tc>
        <w:tc>
          <w:tcPr>
            <w:tcW w:w="1040" w:type="dxa"/>
            <w:vAlign w:val="bottom"/>
          </w:tcPr>
          <w:p>
            <w:pPr>
              <w:jc w:val="right"/>
              <w:ind w:right="390"/>
              <w:spacing w:after="0" w:line="109" w:lineRule="exact"/>
              <w:rPr>
                <w:sz w:val="20"/>
                <w:szCs w:val="20"/>
                <w:color w:val="auto"/>
              </w:rPr>
            </w:pPr>
            <w:r>
              <w:rPr>
                <w:rFonts w:ascii="Arial" w:cs="Arial" w:eastAsia="Arial" w:hAnsi="Arial"/>
                <w:sz w:val="11"/>
                <w:szCs w:val="11"/>
                <w:b w:val="1"/>
                <w:bCs w:val="1"/>
                <w:color w:val="auto"/>
              </w:rPr>
              <w:t>Managed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32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California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Connecticut</w:t>
            </w:r>
          </w:p>
        </w:tc>
        <w:tc>
          <w:tcPr>
            <w:tcW w:w="13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5"/>
                <w:szCs w:val="15"/>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Florida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Georgia</w:t>
            </w:r>
          </w:p>
        </w:tc>
        <w:tc>
          <w:tcPr>
            <w:tcW w:w="136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Idaho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Illinois</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Kansas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Kentucky</w:t>
            </w:r>
          </w:p>
        </w:tc>
        <w:tc>
          <w:tcPr>
            <w:tcW w:w="13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Louisiana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Massachusetts</w:t>
            </w:r>
          </w:p>
        </w:tc>
        <w:tc>
          <w:tcPr>
            <w:tcW w:w="13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Michigan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Montana</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Nevada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New Jersey</w:t>
            </w: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Mexico</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New York</w:t>
            </w: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North Carolina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Ohio</w:t>
            </w:r>
          </w:p>
        </w:tc>
        <w:tc>
          <w:tcPr>
            <w:tcW w:w="13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Oklahoma</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Pennsylvania</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Rhode Island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Tennessee</w:t>
            </w: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Virginia</w:t>
            </w:r>
          </w:p>
        </w:tc>
        <w:tc>
          <w:tcPr>
            <w:tcW w:w="136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color w:val="auto"/>
              </w:rPr>
              <w:t>Wisconsin</w:t>
            </w: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320" w:type="dxa"/>
            <w:vAlign w:val="bottom"/>
            <w:tcBorders>
              <w:top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-3227070</wp:posOffset>
            </wp:positionV>
            <wp:extent cx="182943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9435" cy="698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80645</wp:posOffset>
            </wp:positionV>
            <wp:extent cx="71285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8510" cy="6985"/>
                    </a:xfrm>
                    <a:prstGeom prst="rect">
                      <a:avLst/>
                    </a:prstGeom>
                    <a:noFill/>
                  </pic:spPr>
                </pic:pic>
              </a:graphicData>
            </a:graphic>
          </wp:anchor>
        </w:drawing>
      </w:r>
    </w:p>
    <w:p>
      <w:pPr>
        <w:spacing w:after="0" w:line="122" w:lineRule="exact"/>
        <w:rPr>
          <w:sz w:val="20"/>
          <w:szCs w:val="20"/>
          <w:color w:val="auto"/>
        </w:rPr>
      </w:pPr>
    </w:p>
    <w:p>
      <w:pPr>
        <w:ind w:left="400" w:right="40" w:hanging="355"/>
        <w:spacing w:after="0" w:line="182" w:lineRule="auto"/>
        <w:tabs>
          <w:tab w:leader="none" w:pos="400" w:val="left"/>
        </w:tabs>
        <w:numPr>
          <w:ilvl w:val="0"/>
          <w:numId w:val="12"/>
        </w:numPr>
        <w:rPr>
          <w:rFonts w:ascii="Arial" w:cs="Arial" w:eastAsia="Arial" w:hAnsi="Arial"/>
          <w:sz w:val="21"/>
          <w:szCs w:val="21"/>
          <w:color w:val="auto"/>
          <w:vertAlign w:val="superscript"/>
        </w:rPr>
      </w:pPr>
      <w:r>
        <w:rPr>
          <w:rFonts w:ascii="Arial" w:cs="Arial" w:eastAsia="Arial" w:hAnsi="Arial"/>
          <w:sz w:val="12"/>
          <w:szCs w:val="12"/>
          <w:color w:val="auto"/>
        </w:rPr>
        <w:t>The leases, with respect to these funeral homes, generally have remaining terms ranging from one to fifteen years, and generally, we have the right to renew past the initial terms and have a right of first refusal on any proposed sale of the property where these funeral homes are located.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support center occupies approximately 48,000 square feet of leased office space in Houston, Texas. At December 31, 2020, we owned and operated 788 vehicles.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number of funeral homes and cemeteries owned and operated by us for the periods presented: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154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Funeral homes at beginning of period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Divestitures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Mergers of funeral homes</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6300" w:type="dxa"/>
            <w:vAlign w:val="bottom"/>
            <w:tcBorders>
              <w:top w:val="single" w:sz="8" w:color="CCEEFF"/>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Funeral homes at end of period</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Cemeteries at beginning of period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Divestitures</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6300" w:type="dxa"/>
            <w:vAlign w:val="bottom"/>
          </w:tcPr>
          <w:p>
            <w:pPr>
              <w:ind w:left="20"/>
              <w:spacing w:after="0" w:line="160" w:lineRule="exact"/>
              <w:rPr>
                <w:sz w:val="20"/>
                <w:szCs w:val="20"/>
                <w:color w:val="auto"/>
              </w:rPr>
            </w:pPr>
            <w:r>
              <w:rPr>
                <w:rFonts w:ascii="Arial" w:cs="Arial" w:eastAsia="Arial" w:hAnsi="Arial"/>
                <w:sz w:val="14"/>
                <w:szCs w:val="14"/>
                <w:color w:val="auto"/>
              </w:rPr>
              <w:t>Cemeteries at end of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6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LEGAL PROCEEDINGS.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more information regarding legal proceedings see Part II, Item 8, Financial Statements and Supplementary Data, Note 16.</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358" w:lineRule="exact"/>
        <w:rPr>
          <w:sz w:val="20"/>
          <w:szCs w:val="20"/>
          <w:color w:val="auto"/>
        </w:rPr>
      </w:pPr>
    </w:p>
    <w:p>
      <w:pPr>
        <w:ind w:right="1120"/>
        <w:spacing w:after="0" w:line="476"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Our common stock is traded on the New York Stock Exchange under the symbol “CSV.” As of February 26, 2021, there were 17,994,717 shares of our common stock outstanding. The shares of common stock outstanding are held by approximately 320 stockholders of record. Each share is entitled to one vote on matters requiring the vote of stockholders. We believe there are approximately 5,300 beneficial owners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year ended December 31, 2020, we did not have any sales of securities in transactions that were not registered under the Securities Act that have not been reported in a Form 8-K or Form 10-Q.</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While we intend to pay regular quarterly cash dividends for the foreseeable future, covenant restrictions under our Credit Facility and the Indenture governing our Senior Notes may limit our ability to pay dividends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PLANS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information regarding securities authorized for issuance under our equity compensation plans, see Part III, Item 12, Security Ownership of Certain Beneficial Owners and Management and Related Stockholder Matters.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During the year ended December 31, 2018, we repurchased 1,101,969 shares of common stock for a total cost of $17.7 million at an average cost of $16.03 per share pursuant to our share repurchase program. On July 31, 2019, our Board approved an additional $25.0 million under our share repurchase program in accordance with Rule 10b-18 of the Securities Exchange Act of 1934, as amended (the “Exchange Act”).</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During the year ended December 31, 2019, we repurchased 400,000 shares of common stock for a total cost of $7.8 million at an average cost of $19.39 per share pursuant to our share repurchase program. 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year ended December 31, 2020, we did not repurchase any common shares. At December 31, 2020, we had approximately $25.6 million available for repurchase under our share repurchase program.</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certain information with respect to repurchases of our common stock during the quarter ended December 31, 2020: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240" w:type="dxa"/>
            <w:vAlign w:val="bottom"/>
          </w:tcPr>
          <w:p>
            <w:pPr>
              <w:spacing w:after="0"/>
              <w:rPr>
                <w:sz w:val="13"/>
                <w:szCs w:val="13"/>
                <w:color w:val="auto"/>
              </w:rPr>
            </w:pPr>
          </w:p>
        </w:tc>
        <w:tc>
          <w:tcPr>
            <w:tcW w:w="1360" w:type="dxa"/>
            <w:vAlign w:val="bottom"/>
          </w:tcPr>
          <w:p>
            <w:pPr>
              <w:jc w:val="center"/>
              <w:ind w:right="33"/>
              <w:spacing w:after="0"/>
              <w:rPr>
                <w:sz w:val="20"/>
                <w:szCs w:val="20"/>
                <w:color w:val="auto"/>
              </w:rPr>
            </w:pPr>
            <w:r>
              <w:rPr>
                <w:rFonts w:ascii="Arial" w:cs="Arial" w:eastAsia="Arial" w:hAnsi="Arial"/>
                <w:sz w:val="13"/>
                <w:szCs w:val="13"/>
                <w:b w:val="1"/>
                <w:bCs w:val="1"/>
                <w:color w:val="auto"/>
                <w:w w:val="88"/>
              </w:rPr>
              <w:t>Dollar Value of Shares</w:t>
            </w:r>
          </w:p>
        </w:tc>
        <w:tc>
          <w:tcPr>
            <w:tcW w:w="0" w:type="dxa"/>
            <w:vAlign w:val="bottom"/>
          </w:tcPr>
          <w:p>
            <w:pPr>
              <w:spacing w:after="0"/>
              <w:rPr>
                <w:sz w:val="1"/>
                <w:szCs w:val="1"/>
                <w:color w:val="auto"/>
              </w:rPr>
            </w:pPr>
          </w:p>
        </w:tc>
      </w:tr>
      <w:tr>
        <w:trPr>
          <w:trHeight w:val="127"/>
        </w:trPr>
        <w:tc>
          <w:tcPr>
            <w:tcW w:w="5280" w:type="dxa"/>
            <w:vAlign w:val="bottom"/>
          </w:tcPr>
          <w:p>
            <w:pPr>
              <w:spacing w:after="0"/>
              <w:rPr>
                <w:sz w:val="11"/>
                <w:szCs w:val="11"/>
                <w:color w:val="auto"/>
              </w:rPr>
            </w:pPr>
          </w:p>
        </w:tc>
        <w:tc>
          <w:tcPr>
            <w:tcW w:w="144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Average Price Paid</w:t>
            </w:r>
          </w:p>
        </w:tc>
        <w:tc>
          <w:tcPr>
            <w:tcW w:w="14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6"/>
              </w:rPr>
              <w:t>Purchased as Part of</w:t>
            </w:r>
          </w:p>
        </w:tc>
        <w:tc>
          <w:tcPr>
            <w:tcW w:w="240" w:type="dxa"/>
            <w:vAlign w:val="bottom"/>
          </w:tcPr>
          <w:p>
            <w:pPr>
              <w:spacing w:after="0"/>
              <w:rPr>
                <w:sz w:val="11"/>
                <w:szCs w:val="11"/>
                <w:color w:val="auto"/>
              </w:rPr>
            </w:pPr>
          </w:p>
        </w:tc>
        <w:tc>
          <w:tcPr>
            <w:tcW w:w="1360" w:type="dxa"/>
            <w:vAlign w:val="bottom"/>
          </w:tcPr>
          <w:p>
            <w:pPr>
              <w:jc w:val="center"/>
              <w:ind w:right="13"/>
              <w:spacing w:after="0" w:line="128" w:lineRule="exact"/>
              <w:rPr>
                <w:sz w:val="20"/>
                <w:szCs w:val="20"/>
                <w:color w:val="auto"/>
              </w:rPr>
            </w:pPr>
            <w:r>
              <w:rPr>
                <w:rFonts w:ascii="Arial" w:cs="Arial" w:eastAsia="Arial" w:hAnsi="Arial"/>
                <w:sz w:val="13"/>
                <w:szCs w:val="13"/>
                <w:b w:val="1"/>
                <w:bCs w:val="1"/>
                <w:color w:val="auto"/>
                <w:w w:val="91"/>
              </w:rPr>
              <w:t>That May Yet Be</w:t>
            </w:r>
          </w:p>
        </w:tc>
        <w:tc>
          <w:tcPr>
            <w:tcW w:w="0" w:type="dxa"/>
            <w:vAlign w:val="bottom"/>
          </w:tcPr>
          <w:p>
            <w:pPr>
              <w:spacing w:after="0"/>
              <w:rPr>
                <w:sz w:val="1"/>
                <w:szCs w:val="1"/>
                <w:color w:val="auto"/>
              </w:rPr>
            </w:pPr>
          </w:p>
        </w:tc>
      </w:tr>
      <w:tr>
        <w:trPr>
          <w:trHeight w:val="127"/>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Publicly Announced</w:t>
            </w:r>
          </w:p>
        </w:tc>
        <w:tc>
          <w:tcPr>
            <w:tcW w:w="240" w:type="dxa"/>
            <w:vAlign w:val="bottom"/>
          </w:tcPr>
          <w:p>
            <w:pPr>
              <w:spacing w:after="0"/>
              <w:rPr>
                <w:sz w:val="11"/>
                <w:szCs w:val="11"/>
                <w:color w:val="auto"/>
              </w:rPr>
            </w:pPr>
          </w:p>
        </w:tc>
        <w:tc>
          <w:tcPr>
            <w:tcW w:w="136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7"/>
              </w:rPr>
              <w:t>Purchased Under the</w:t>
            </w:r>
          </w:p>
        </w:tc>
        <w:tc>
          <w:tcPr>
            <w:tcW w:w="0" w:type="dxa"/>
            <w:vAlign w:val="bottom"/>
          </w:tcPr>
          <w:p>
            <w:pPr>
              <w:spacing w:after="0"/>
              <w:rPr>
                <w:sz w:val="1"/>
                <w:szCs w:val="1"/>
                <w:color w:val="auto"/>
              </w:rPr>
            </w:pPr>
          </w:p>
        </w:tc>
      </w:tr>
      <w:tr>
        <w:trPr>
          <w:trHeight w:val="169"/>
        </w:trPr>
        <w:tc>
          <w:tcPr>
            <w:tcW w:w="5280" w:type="dxa"/>
            <w:vAlign w:val="bottom"/>
            <w:vMerge w:val="continue"/>
          </w:tcPr>
          <w:p>
            <w:pPr>
              <w:spacing w:after="0"/>
              <w:rPr>
                <w:sz w:val="14"/>
                <w:szCs w:val="14"/>
                <w:color w:val="auto"/>
              </w:rPr>
            </w:pPr>
          </w:p>
        </w:tc>
        <w:tc>
          <w:tcPr>
            <w:tcW w:w="1440" w:type="dxa"/>
            <w:vAlign w:val="bottom"/>
          </w:tcPr>
          <w:p>
            <w:pPr>
              <w:ind w:left="300"/>
              <w:spacing w:after="0"/>
              <w:rPr>
                <w:sz w:val="20"/>
                <w:szCs w:val="20"/>
                <w:color w:val="auto"/>
              </w:rPr>
            </w:pPr>
            <w:r>
              <w:rPr>
                <w:rFonts w:ascii="Arial" w:cs="Arial" w:eastAsia="Arial" w:hAnsi="Arial"/>
                <w:sz w:val="13"/>
                <w:szCs w:val="13"/>
                <w:b w:val="1"/>
                <w:bCs w:val="1"/>
                <w:color w:val="auto"/>
                <w:w w:val="98"/>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Per Share</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9"/>
              </w:rPr>
              <w:t>Program</w:t>
            </w:r>
          </w:p>
        </w:tc>
        <w:tc>
          <w:tcPr>
            <w:tcW w:w="240" w:type="dxa"/>
            <w:vAlign w:val="bottom"/>
          </w:tcPr>
          <w:p>
            <w:pPr>
              <w:spacing w:after="0"/>
              <w:rPr>
                <w:sz w:val="14"/>
                <w:szCs w:val="14"/>
                <w:color w:val="auto"/>
              </w:rPr>
            </w:pPr>
          </w:p>
        </w:tc>
        <w:tc>
          <w:tcPr>
            <w:tcW w:w="1360" w:type="dxa"/>
            <w:vAlign w:val="bottom"/>
          </w:tcPr>
          <w:p>
            <w:pPr>
              <w:jc w:val="center"/>
              <w:ind w:right="33"/>
              <w:spacing w:after="0" w:line="170" w:lineRule="exact"/>
              <w:rPr>
                <w:sz w:val="20"/>
                <w:szCs w:val="20"/>
                <w:color w:val="auto"/>
              </w:rPr>
            </w:pPr>
            <w:r>
              <w:rPr>
                <w:rFonts w:ascii="Arial" w:cs="Arial" w:eastAsia="Arial" w:hAnsi="Arial"/>
                <w:sz w:val="13"/>
                <w:szCs w:val="13"/>
                <w:b w:val="1"/>
                <w:bCs w:val="1"/>
                <w:color w:val="auto"/>
                <w:w w:val="88"/>
              </w:rPr>
              <w:t xml:space="preserve">Program </w:t>
            </w:r>
            <w:r>
              <w:rPr>
                <w:rFonts w:ascii="Arial" w:cs="Arial" w:eastAsia="Arial" w:hAnsi="Arial"/>
                <w:sz w:val="16"/>
                <w:szCs w:val="16"/>
                <w:b w:val="1"/>
                <w:bCs w:val="1"/>
                <w:color w:val="auto"/>
                <w:w w:val="88"/>
                <w:vertAlign w:val="superscript"/>
              </w:rPr>
              <w:t>(1)</w:t>
            </w:r>
          </w:p>
        </w:tc>
        <w:tc>
          <w:tcPr>
            <w:tcW w:w="0" w:type="dxa"/>
            <w:vAlign w:val="bottom"/>
          </w:tcPr>
          <w:p>
            <w:pPr>
              <w:spacing w:after="0"/>
              <w:rPr>
                <w:sz w:val="1"/>
                <w:szCs w:val="1"/>
                <w:color w:val="auto"/>
              </w:rPr>
            </w:pPr>
          </w:p>
        </w:tc>
      </w:tr>
      <w:tr>
        <w:trPr>
          <w:trHeight w:val="65"/>
        </w:trPr>
        <w:tc>
          <w:tcPr>
            <w:tcW w:w="5280" w:type="dxa"/>
            <w:vAlign w:val="bottom"/>
            <w:tcBorders>
              <w:top w:val="single" w:sz="8" w:color="auto"/>
            </w:tcBorders>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1, 2020 - October 31, 2020</w:t>
            </w:r>
          </w:p>
        </w:tc>
        <w:tc>
          <w:tcPr>
            <w:tcW w:w="144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25,601,446</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November 1, 2020 - November 30, 2020</w:t>
            </w:r>
          </w:p>
        </w:tc>
        <w:tc>
          <w:tcPr>
            <w:tcW w:w="1440" w:type="dxa"/>
            <w:vAlign w:val="bottom"/>
          </w:tcPr>
          <w:p>
            <w:pPr>
              <w:ind w:left="12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25,601,446</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2020 - December 31, 2020</w:t>
            </w:r>
          </w:p>
        </w:tc>
        <w:tc>
          <w:tcPr>
            <w:tcW w:w="144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25,601,446</w:t>
            </w:r>
          </w:p>
        </w:tc>
        <w:tc>
          <w:tcPr>
            <w:tcW w:w="0" w:type="dxa"/>
            <w:vAlign w:val="bottom"/>
          </w:tcPr>
          <w:p>
            <w:pPr>
              <w:spacing w:after="0"/>
              <w:rPr>
                <w:sz w:val="1"/>
                <w:szCs w:val="1"/>
                <w:color w:val="auto"/>
              </w:rPr>
            </w:pPr>
          </w:p>
        </w:tc>
      </w:tr>
      <w:tr>
        <w:trPr>
          <w:trHeight w:val="170"/>
        </w:trPr>
        <w:tc>
          <w:tcPr>
            <w:tcW w:w="5280" w:type="dxa"/>
            <w:vAlign w:val="bottom"/>
          </w:tcPr>
          <w:p>
            <w:pPr>
              <w:ind w:left="440"/>
              <w:spacing w:after="0"/>
              <w:rPr>
                <w:sz w:val="20"/>
                <w:szCs w:val="20"/>
                <w:color w:val="auto"/>
              </w:rPr>
            </w:pPr>
            <w:r>
              <w:rPr>
                <w:rFonts w:ascii="Arial" w:cs="Arial" w:eastAsia="Arial" w:hAnsi="Arial"/>
                <w:sz w:val="14"/>
                <w:szCs w:val="14"/>
                <w:color w:val="auto"/>
              </w:rPr>
              <w:t>Total for quarter ended December 31, 2020</w:t>
            </w:r>
          </w:p>
        </w:tc>
        <w:tc>
          <w:tcPr>
            <w:tcW w:w="1440" w:type="dxa"/>
            <w:vAlign w:val="bottom"/>
          </w:tcPr>
          <w:p>
            <w:pPr>
              <w:ind w:left="1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114300</wp:posOffset>
            </wp:positionV>
            <wp:extent cx="711454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171" w:lineRule="exact"/>
        <w:rPr>
          <w:sz w:val="20"/>
          <w:szCs w:val="20"/>
          <w:color w:val="auto"/>
        </w:rPr>
      </w:pPr>
    </w:p>
    <w:p>
      <w:pPr>
        <w:ind w:left="440" w:hanging="384"/>
        <w:spacing w:after="0"/>
        <w:tabs>
          <w:tab w:leader="none" w:pos="4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See the first paragraph under the caption </w:t>
      </w:r>
      <w:r>
        <w:rPr>
          <w:rFonts w:ascii="Arial" w:cs="Arial" w:eastAsia="Arial" w:hAnsi="Arial"/>
          <w:sz w:val="14"/>
          <w:szCs w:val="14"/>
          <w:color w:val="auto"/>
        </w:rPr>
        <w:t>“</w:t>
      </w:r>
      <w:r>
        <w:rPr>
          <w:rFonts w:ascii="Arial" w:cs="Arial" w:eastAsia="Arial" w:hAnsi="Arial"/>
          <w:sz w:val="13"/>
          <w:szCs w:val="13"/>
          <w:color w:val="auto"/>
        </w:rPr>
        <w:t>Purchases of Equity Securities by the Issuer</w:t>
      </w:r>
      <w:r>
        <w:rPr>
          <w:rFonts w:ascii="Arial" w:cs="Arial" w:eastAsia="Arial" w:hAnsi="Arial"/>
          <w:sz w:val="14"/>
          <w:szCs w:val="14"/>
          <w:color w:val="auto"/>
        </w:rPr>
        <w:t>”</w:t>
      </w:r>
      <w:r>
        <w:rPr>
          <w:rFonts w:ascii="Arial" w:cs="Arial" w:eastAsia="Arial" w:hAnsi="Arial"/>
          <w:sz w:val="13"/>
          <w:szCs w:val="13"/>
          <w:color w:val="auto"/>
        </w:rPr>
        <w:t xml:space="preserve"> for more information on our publicly announced share repurchase program.</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6" w:lineRule="exact"/>
        <w:rPr>
          <w:rFonts w:ascii="Arial" w:cs="Arial" w:eastAsia="Arial" w:hAnsi="Arial"/>
          <w:sz w:val="13"/>
          <w:szCs w:val="13"/>
          <w:color w:val="auto"/>
        </w:rPr>
      </w:pPr>
    </w:p>
    <w:p>
      <w:pPr>
        <w:ind w:left="5580"/>
        <w:spacing w:after="0"/>
        <w:rPr>
          <w:rFonts w:ascii="Arial" w:cs="Arial" w:eastAsia="Arial" w:hAnsi="Arial"/>
          <w:sz w:val="13"/>
          <w:szCs w:val="13"/>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w:t>
      </w:r>
    </w:p>
    <w:p>
      <w:pPr>
        <w:spacing w:after="0" w:line="9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2"/>
          <w:szCs w:val="12"/>
          <w:color w:val="auto"/>
        </w:rPr>
        <w:t>The following graph compares the cumulative 5-year total shareholder return on our common stock relative to the cumulative total returns of the Russell 3000 Index, and a peer group selected by the Company comprising SCI and StoneMor (the “Peer Group”). The returns of each member of the Peer Group are weighted according to their respective stock market capitalization as of the beginning of each period measured. The graph assumes that the value of the investment in our common stock, the Russell 3000 Index and the peer group was $100 on the last trading day of December 2015, and that all dividends were reinvested. Performance data for Carriage, the Russell 3000 Index and the Peer Group is provided as of the last trading day of each of our last five fiscal years.</w:t>
      </w:r>
    </w:p>
    <w:p>
      <w:pPr>
        <w:spacing w:after="0" w:line="31"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following graph and related information shall not be deemed “soliciting material” or “filed” with the SEC, nor shall such information be incorporated by reference into any future filing under the Securities Act of 1933, as amended, or the Securities Exchange Act except to the extent that we specifically incorporate it by reference.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5 YEAR CUMULATIVE TOTAL RETURN</w:t>
      </w:r>
      <w:r>
        <w:rPr>
          <w:rFonts w:ascii="Arial" w:cs="Arial" w:eastAsia="Arial" w:hAnsi="Arial"/>
          <w:sz w:val="18"/>
          <w:szCs w:val="18"/>
          <w:color w:val="auto"/>
          <w:vertAlign w:val="superscript"/>
        </w:rPr>
        <w:t>(1)</w:t>
      </w:r>
    </w:p>
    <w:p>
      <w:pPr>
        <w:jc w:val="center"/>
        <w:spacing w:after="0"/>
        <w:rPr>
          <w:sz w:val="20"/>
          <w:szCs w:val="20"/>
          <w:color w:val="auto"/>
        </w:rPr>
      </w:pPr>
      <w:r>
        <w:rPr>
          <w:rFonts w:ascii="Arial" w:cs="Arial" w:eastAsia="Arial" w:hAnsi="Arial"/>
          <w:sz w:val="14"/>
          <w:szCs w:val="14"/>
          <w:color w:val="auto"/>
        </w:rPr>
        <w:t>Among Carriage, the Russell 3000 Index and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4445</wp:posOffset>
            </wp:positionV>
            <wp:extent cx="3819525" cy="2541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19525" cy="254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12/15</w:t>
            </w: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12/16</w:t>
            </w: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12/17</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12/18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12/19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12/20</w:t>
            </w:r>
          </w:p>
        </w:tc>
      </w:tr>
      <w:tr>
        <w:trPr>
          <w:trHeight w:val="175"/>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Carriage Services, Inc.</w:t>
            </w:r>
          </w:p>
        </w:tc>
        <w:tc>
          <w:tcPr>
            <w:tcW w:w="640" w:type="dxa"/>
            <w:vAlign w:val="bottom"/>
            <w:shd w:val="clear" w:color="auto" w:fill="CCEEFF"/>
          </w:tcPr>
          <w:p>
            <w:pPr>
              <w:jc w:val="right"/>
              <w:ind w:right="476"/>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3"/>
              </w:rPr>
              <w:t>100.00</w:t>
            </w: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8"/>
              </w:rPr>
              <w:t>119.60</w:t>
            </w:r>
          </w:p>
        </w:tc>
        <w:tc>
          <w:tcPr>
            <w:tcW w:w="2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108.32</w:t>
            </w:r>
          </w:p>
        </w:tc>
        <w:tc>
          <w:tcPr>
            <w:tcW w:w="3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137.73</w:t>
            </w:r>
          </w:p>
        </w:tc>
      </w:tr>
      <w:tr>
        <w:trPr>
          <w:trHeight w:val="180"/>
        </w:trPr>
        <w:tc>
          <w:tcPr>
            <w:tcW w:w="4160" w:type="dxa"/>
            <w:vAlign w:val="bottom"/>
          </w:tcPr>
          <w:p>
            <w:pPr>
              <w:spacing w:after="0"/>
              <w:rPr>
                <w:sz w:val="20"/>
                <w:szCs w:val="20"/>
                <w:color w:val="auto"/>
              </w:rPr>
            </w:pPr>
            <w:r>
              <w:rPr>
                <w:rFonts w:ascii="Arial" w:cs="Arial" w:eastAsia="Arial" w:hAnsi="Arial"/>
                <w:sz w:val="14"/>
                <w:szCs w:val="14"/>
                <w:color w:val="auto"/>
              </w:rPr>
              <w:t>Russell 3000</w:t>
            </w:r>
          </w:p>
        </w:tc>
        <w:tc>
          <w:tcPr>
            <w:tcW w:w="64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3"/>
              </w:rPr>
              <w:t>100.00</w:t>
            </w:r>
          </w:p>
        </w:tc>
        <w:tc>
          <w:tcPr>
            <w:tcW w:w="70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w w:val="88"/>
              </w:rPr>
              <w:t>112.72</w:t>
            </w:r>
          </w:p>
        </w:tc>
        <w:tc>
          <w:tcPr>
            <w:tcW w:w="280" w:type="dxa"/>
            <w:vAlign w:val="bottom"/>
          </w:tcPr>
          <w:p>
            <w:pPr>
              <w:spacing w:after="0"/>
              <w:rPr>
                <w:sz w:val="15"/>
                <w:szCs w:val="15"/>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136.53</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129.37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204.86</w:t>
            </w:r>
          </w:p>
        </w:tc>
      </w:tr>
      <w:tr>
        <w:trPr>
          <w:trHeight w:val="180"/>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Peer Group</w:t>
            </w: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3"/>
              </w:rPr>
              <w:t>100.00</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8"/>
              </w:rPr>
              <w:t>107.22</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144.69</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1348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32" w:lineRule="exact"/>
        <w:rPr>
          <w:sz w:val="20"/>
          <w:szCs w:val="20"/>
          <w:color w:val="auto"/>
        </w:rPr>
      </w:pPr>
    </w:p>
    <w:p>
      <w:pPr>
        <w:ind w:left="500" w:right="40" w:hanging="460"/>
        <w:spacing w:after="0" w:line="182" w:lineRule="auto"/>
        <w:tabs>
          <w:tab w:leader="none" w:pos="500" w:val="left"/>
        </w:tabs>
        <w:numPr>
          <w:ilvl w:val="0"/>
          <w:numId w:val="14"/>
        </w:numPr>
        <w:rPr>
          <w:rFonts w:ascii="Arial" w:cs="Arial" w:eastAsia="Arial" w:hAnsi="Arial"/>
          <w:sz w:val="21"/>
          <w:szCs w:val="21"/>
          <w:color w:val="auto"/>
          <w:vertAlign w:val="superscript"/>
        </w:rPr>
      </w:pPr>
      <w:r>
        <w:rPr>
          <w:rFonts w:ascii="Arial" w:cs="Arial" w:eastAsia="Arial" w:hAnsi="Arial"/>
          <w:sz w:val="12"/>
          <w:szCs w:val="12"/>
          <w:color w:val="auto"/>
        </w:rPr>
        <w:t>Fiscal year ending December 31. $100 invested on December 31, 2015 in stock or index, including reinvestment of dividends. Peer Group above includes SCI and StoneMor.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6.</w:t>
        <w:tab/>
        <w:t>SELECTED FINANCIAL DATA.</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Omitted pursuant to amendments to Item 301 of Regulations S-K effective February 10, 2021.</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7.</w:t>
        <w:tab/>
        <w:t>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operate in two business segments: funeral home operations, which accounts for approximately 75% of our revenue, and cemetery operations, which accounts for approximately 25% of our revenue. 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we operated 178 funeral homes in 26 states and 32 cemeteries in 12 states within the United States. For additional discussion about our overall business strategy, see Part I, Item 1, Business – Business Strategy.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Funeral Home Operations</w:t>
      </w:r>
    </w:p>
    <w:p>
      <w:pPr>
        <w:spacing w:after="0" w:line="9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related to our atneed business to increase average revenue per contract. In simple terms, volume and price are the two variables that affect funeral revenue. The average revenue per contract is influenced by the mix of traditional and cremation services because our average cremation service revenue is approximately one-third of the average revenue earned from a traditional burial service. Funeral homes have a relatively fixed cost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Cemetery Operations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Factors affecting our cemetery operating results include: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primary sources of liquidity and capital resources are internally generated cash flows from operating activities and availability under our Credit Facility.</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to obtain additional funding. Further, to the extent operating cash flow or access to and cost of financing sources are materially different than expected, future liquidity may be adversely affected. Please read Part I, Item 1A, Risk Factors.</w:t>
      </w:r>
    </w:p>
    <w:p>
      <w:pPr>
        <w:spacing w:after="0" w:line="6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For 2021, our plan is to remain focused on integrating our newly acquired businesses and to use cash on hand and borrowings under our Credit Facility primarily for general corporate purposes, payment of dividends and debt obligations and the redemption of our Convertible Notes due March 2021. However, if we were to refinance our Senior Notes when they become callable, it may provide us the ability, from a capital allocation perspective, to potentially resume strategic acquisitions, internal growth capital expenditures, share repurchases, dividend increases and further debt repayments. We also expect continued divestiture activity for the next 6-12 months, which could yield approximately $10-11 million of cash from the proceeds of the sale. From time to time we may also use available cash resources (including borrowings under our Credit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Facility) to repurchase shares of our common stock, subject to satisfying certain financial covenants in our Credit Facility. We believe that our existing and anticipated cash resources will be sufficient to meet our anticipated working capital requirements, capital expenditures, scheduled debt payments, commitments and dividends for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began 2020 with $0.7 million in cash and ended the year with $0.9 million in cash. At December 31, 2020, we had borrowings of $47.2 million outstanding on our Credit Facility compared to $83.8 million as of December 31, 2019 and $27.1 million as of December 31, 2018.</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elements of cash flow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at beginning of year</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169"/>
        </w:trPr>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48,994</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43,216</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82,915</w:t>
            </w:r>
          </w:p>
        </w:tc>
      </w:tr>
      <w:tr>
        <w:trPr>
          <w:trHeight w:val="169"/>
        </w:trPr>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(37,970)</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(140,907)</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(28,011)</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Deposit on pending acquisition</w:t>
            </w:r>
          </w:p>
        </w:tc>
        <w:tc>
          <w:tcPr>
            <w:tcW w:w="5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insurance reimbursements</w:t>
            </w:r>
          </w:p>
        </w:tc>
        <w:tc>
          <w:tcPr>
            <w:tcW w:w="5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Proceeds from divestiture and sale of other assets</w:t>
            </w:r>
          </w:p>
        </w:tc>
        <w:tc>
          <w:tcPr>
            <w:tcW w:w="5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967</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8,541</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5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(13,526)</w:t>
            </w:r>
          </w:p>
        </w:tc>
        <w:tc>
          <w:tcPr>
            <w:tcW w:w="1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(15,379)</w:t>
            </w: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(15,198)</w:t>
            </w:r>
          </w:p>
        </w:tc>
      </w:tr>
      <w:tr>
        <w:trPr>
          <w:trHeight w:val="170"/>
        </w:trPr>
        <w:tc>
          <w:tcPr>
            <w:tcW w:w="6300" w:type="dxa"/>
            <w:vAlign w:val="bottom"/>
          </w:tcPr>
          <w:p>
            <w:pPr>
              <w:ind w:left="180"/>
              <w:spacing w:after="0" w:line="160" w:lineRule="exact"/>
              <w:rPr>
                <w:sz w:val="20"/>
                <w:szCs w:val="20"/>
                <w:color w:val="auto"/>
              </w:rPr>
            </w:pPr>
            <w:r>
              <w:rPr>
                <w:rFonts w:ascii="Arial" w:cs="Arial" w:eastAsia="Arial" w:hAnsi="Arial"/>
                <w:sz w:val="14"/>
                <w:szCs w:val="14"/>
                <w:color w:val="auto"/>
              </w:rPr>
              <w:t>Net cash used in investing activities</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(51,496)</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(158,886)</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(34,420)</w:t>
            </w:r>
          </w:p>
        </w:tc>
      </w:tr>
      <w:tr>
        <w:trPr>
          <w:trHeight w:val="170"/>
        </w:trPr>
        <w:tc>
          <w:tcPr>
            <w:tcW w:w="6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Net borrowings (payments) on our Credit Facility, acquisition debt and finance lease obligations</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(194,340)</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54,413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(38,345)</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debt issuance costs related to long-term debt</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Repurchase of Convertible Notes</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(98,266)</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(4,563)</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transaction costs related to the repurchase of Convertible Notes</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Proceeds from the issuance of the Senior Notes</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320,125</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76,688</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debt issuance costs related to the Senior Notes</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Dividends paid on common stock</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(5,513)</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(5,398)</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(6,048)</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employee equity plans</w:t>
            </w: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(16,266)</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(9,152)</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costs</w:t>
            </w:r>
          </w:p>
        </w:tc>
        <w:tc>
          <w:tcPr>
            <w:tcW w:w="5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70"/>
        </w:trPr>
        <w:tc>
          <w:tcPr>
            <w:tcW w:w="6300" w:type="dxa"/>
            <w:vAlign w:val="bottom"/>
          </w:tcPr>
          <w:p>
            <w:pPr>
              <w:ind w:left="180"/>
              <w:spacing w:after="0" w:line="160" w:lineRule="exact"/>
              <w:rPr>
                <w:sz w:val="20"/>
                <w:szCs w:val="20"/>
                <w:color w:val="auto"/>
              </w:rPr>
            </w:pPr>
            <w:r>
              <w:rPr>
                <w:rFonts w:ascii="Arial" w:cs="Arial" w:eastAsia="Arial" w:hAnsi="Arial"/>
                <w:sz w:val="14"/>
                <w:szCs w:val="14"/>
                <w:color w:val="auto"/>
              </w:rPr>
              <w:t>Net cash provided by (used in) financing activities</w:t>
            </w: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115,742</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(48,322)</w:t>
            </w:r>
          </w:p>
        </w:tc>
      </w:tr>
      <w:tr>
        <w:trPr>
          <w:trHeight w:val="170"/>
        </w:trPr>
        <w:tc>
          <w:tcPr>
            <w:tcW w:w="63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r>
      <w:tr>
        <w:trPr>
          <w:trHeight w:val="170"/>
        </w:trPr>
        <w:tc>
          <w:tcPr>
            <w:tcW w:w="6300" w:type="dxa"/>
            <w:vAlign w:val="bottom"/>
          </w:tcPr>
          <w:p>
            <w:pPr>
              <w:ind w:left="20"/>
              <w:spacing w:after="0" w:line="160" w:lineRule="exact"/>
              <w:rPr>
                <w:sz w:val="20"/>
                <w:szCs w:val="20"/>
                <w:color w:val="auto"/>
              </w:rPr>
            </w:pPr>
            <w:r>
              <w:rPr>
                <w:rFonts w:ascii="Arial" w:cs="Arial" w:eastAsia="Arial" w:hAnsi="Arial"/>
                <w:sz w:val="14"/>
                <w:szCs w:val="14"/>
                <w:color w:val="auto"/>
              </w:rPr>
              <w:t>Cash at end of year</w:t>
            </w: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w:t>
            </w:r>
          </w:p>
        </w:tc>
      </w:tr>
      <w:tr>
        <w:trPr>
          <w:trHeight w:val="20"/>
        </w:trPr>
        <w:tc>
          <w:tcPr>
            <w:tcW w:w="6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For the year ended December 31, 2020, cash provided by operating activities was $82.9 million compared to $43.2 million for the year ended December 31, 2019 and $49.0 million for the year ended December 31, 2018. The increase of $39.7 million for the year ended December 31, 2020 compared to the year ended December 31, 2019 is a reflection of the resilient cash generating ability of our portfolio of high-quality funeral home and cemetery operations. Our operating income (excluding the non-cash impact of the divestitures and impairment charges) increased $26.4 million in addition to other favorable working capital changes.</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decrease of $5.8 million for the year ended December 31, 2019 compared to the year ended December 31, 2018 was primarily due to approximately $5.0 million in more cash interest paid in 2019 compared to 2018, as well as additional unfavorable working capital changes.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investing activities resulted in a net cash outflow of $34.4 million for the year ended December 31, 2020 compared to $158.9 million for the year ended December 31, 2019 and $51.5 million for the year ended December 31, 2018.</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Acquisition and Divestiture Activity</w:t>
      </w:r>
    </w:p>
    <w:p>
      <w:pPr>
        <w:spacing w:after="0" w:line="93"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During the year ended December 31, 2020, we acquired one funeral home and cemetery combination business in Lafayette, California for $33.0 million in cash, of which $5.0 million was deposited in escrow in 2019 and $28.0 million was paid at closing in 2020. In addition, we sold eight funeral homes for $8.4 million and we sold real property for $0.1 million.</w:t>
      </w:r>
    </w:p>
    <w:p>
      <w:pPr>
        <w:spacing w:after="0" w:line="2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During the year ended December 31, 2019, we acquired, in three separate transactions, two funeral home and cemetery combination businesses, seven funeral home businesses and three ancillary service businesses for an aggregate purchase price of $140.9 million. In addition, we also paid a $5.0 million deposit for a funeral home and cemetery combination business that we acquired in January 2020. In addition, we sold a funeral home business for $0.9 million and we sold real property for $0.1 million related to a funeral home we merged with another business in an existing market.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the year ended December 31, 2018, we acquired four funeral home businesses for an aggregate purchase price of $38.0 million.</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Capital Expenditures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the year ended December 31, 2020, our capital expenditures (comprising of growth and maintenance spend) totaled $15.2 million compared to $15.4 million for the year ended December 31, 2019, and $13.5 million for the year ended December 31, 2018.</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tables present our growth and maintenance capital expenditures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62"/>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Growth</w:t>
            </w: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Cemetery development</w:t>
            </w: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3,149</w:t>
            </w:r>
          </w:p>
        </w:tc>
        <w:tc>
          <w:tcPr>
            <w:tcW w:w="180" w:type="dxa"/>
            <w:vAlign w:val="bottom"/>
          </w:tcPr>
          <w:p>
            <w:pPr>
              <w:spacing w:after="0"/>
              <w:rPr>
                <w:sz w:val="15"/>
                <w:szCs w:val="15"/>
                <w:color w:val="auto"/>
              </w:rPr>
            </w:pPr>
          </w:p>
        </w:tc>
        <w:tc>
          <w:tcPr>
            <w:tcW w:w="620" w:type="dxa"/>
            <w:vAlign w:val="bottom"/>
          </w:tcPr>
          <w:p>
            <w:pPr>
              <w:jc w:val="right"/>
              <w:ind w:right="47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4,111</w:t>
            </w:r>
          </w:p>
        </w:tc>
        <w:tc>
          <w:tcPr>
            <w:tcW w:w="180" w:type="dxa"/>
            <w:vAlign w:val="bottom"/>
          </w:tcPr>
          <w:p>
            <w:pPr>
              <w:spacing w:after="0"/>
              <w:rPr>
                <w:sz w:val="15"/>
                <w:szCs w:val="15"/>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4,705</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for new funeral facilities</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Live streaming equipment</w:t>
            </w:r>
          </w:p>
        </w:tc>
        <w:tc>
          <w:tcPr>
            <w:tcW w:w="6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636</w:t>
            </w:r>
          </w:p>
        </w:tc>
      </w:tr>
      <w:tr>
        <w:trPr>
          <w:trHeight w:val="180"/>
        </w:trPr>
        <w:tc>
          <w:tcPr>
            <w:tcW w:w="630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Renovations at certain businesses</w:t>
            </w:r>
            <w:r>
              <w:rPr>
                <w:rFonts w:ascii="Arial" w:cs="Arial" w:eastAsia="Arial" w:hAnsi="Arial"/>
                <w:sz w:val="18"/>
                <w:szCs w:val="18"/>
                <w:color w:val="auto"/>
                <w:vertAlign w:val="superscript"/>
              </w:rPr>
              <w:t>(1)</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Other</w:t>
            </w:r>
          </w:p>
        </w:tc>
        <w:tc>
          <w:tcPr>
            <w:tcW w:w="6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96"/>
        </w:trPr>
        <w:tc>
          <w:tcPr>
            <w:tcW w:w="6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Growth</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87630</wp:posOffset>
            </wp:positionV>
            <wp:extent cx="71481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32" w:lineRule="exact"/>
        <w:rPr>
          <w:sz w:val="20"/>
          <w:szCs w:val="20"/>
          <w:color w:val="auto"/>
        </w:rPr>
      </w:pPr>
    </w:p>
    <w:p>
      <w:pPr>
        <w:ind w:left="400" w:right="20" w:hanging="371"/>
        <w:spacing w:after="0" w:line="182" w:lineRule="auto"/>
        <w:tabs>
          <w:tab w:leader="none" w:pos="400" w:val="left"/>
        </w:tabs>
        <w:numPr>
          <w:ilvl w:val="0"/>
          <w:numId w:val="15"/>
        </w:numPr>
        <w:rPr>
          <w:rFonts w:ascii="Arial" w:cs="Arial" w:eastAsia="Arial" w:hAnsi="Arial"/>
          <w:sz w:val="21"/>
          <w:szCs w:val="21"/>
          <w:color w:val="auto"/>
          <w:vertAlign w:val="superscript"/>
        </w:rPr>
      </w:pPr>
      <w:r>
        <w:rPr>
          <w:rFonts w:ascii="Arial" w:cs="Arial" w:eastAsia="Arial" w:hAnsi="Arial"/>
          <w:sz w:val="12"/>
          <w:szCs w:val="12"/>
          <w:color w:val="auto"/>
        </w:rPr>
        <w:t>During the year ended December 31, 2019, we spent $1.6 million for renovations on four businesses that were affected by Hurricane Michael, of which $1.4 million was reimbursed by our property insurance policy.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2"/>
        </w:trPr>
        <w:tc>
          <w:tcPr>
            <w:tcW w:w="63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r>
      <w:tr>
        <w:trPr>
          <w:trHeight w:val="160"/>
        </w:trPr>
        <w:tc>
          <w:tcPr>
            <w:tcW w:w="6300" w:type="dxa"/>
            <w:vAlign w:val="bottom"/>
          </w:tcPr>
          <w:p>
            <w:pPr>
              <w:ind w:left="20"/>
              <w:spacing w:after="0" w:line="160" w:lineRule="exact"/>
              <w:rPr>
                <w:sz w:val="20"/>
                <w:szCs w:val="20"/>
                <w:color w:val="auto"/>
              </w:rPr>
            </w:pPr>
            <w:r>
              <w:rPr>
                <w:rFonts w:ascii="Arial" w:cs="Arial" w:eastAsia="Arial" w:hAnsi="Arial"/>
                <w:sz w:val="14"/>
                <w:szCs w:val="14"/>
                <w:i w:val="1"/>
                <w:iCs w:val="1"/>
                <w:color w:val="auto"/>
              </w:rPr>
              <w:t>Maintenance</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Facility repairs and improvements</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General equipment and furniture</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2,247</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3,032</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2,892</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Paving roads and parking lots</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674</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795</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731</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Information technology infrastructure improvements</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r>
      <w:tr>
        <w:trPr>
          <w:trHeight w:val="18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r>
      <w:tr>
        <w:trPr>
          <w:trHeight w:val="196"/>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Maintenance</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9,266</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8,795</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financing activities resulted in a net cash outflow of $48.3 million for the year ended December 31, 2020 compared to net cash inflow of $115.7 million for the year ended December 31,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2019 and net cash inflow of $2.2 million for the year ended December 31, 2018.</w:t>
      </w:r>
    </w:p>
    <w:p>
      <w:pPr>
        <w:spacing w:after="0" w:line="8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the year ended December 31, 2020, we had net payments on our Credit Facility, acquisition debt and finance leases of $38.3 million. In addition, we paid $6.0 million in dividends and $4.6 million for the repurchase of a portion of our Convertibles Notes.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the year ended December 31, 2019, we had net proceeds related to the issuance of our Additional Senior Notes of $75.7 million and net borrowing on our long-term debt obligations of $53.5 million. In addition, we purchased treasury stock for $9.2 million and paid $5.4 million in dividends on our common stock.</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the year ended December 31, 2018, we had net proceeds related to the issuance of our Initial Senior Notes of $318.8 million, offset by net payments on our long-term debt obligations of $196.1 million and payments of $99.2 million in connection with our exchange of a portion of our Convertible Notes. In addition, we purchased treasury stock for $16.3 million and paid $5.5 million in dividends on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May 19, 2020, the Board approved an increase of $0.05 per share to our annual dividend beginning with the dividend declaration in the third quarter. On October 27, 2020, the Board approved an additional increase of $0.0125 per share for a total annual dividend of $0.40 per share beginning with the dividend declaration in the fourth quarter.</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Board declared the following dividends payable on the dates below (in thousands, except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gridSpan w:val="3"/>
          </w:tcPr>
          <w:p>
            <w:pPr>
              <w:ind w:left="20"/>
              <w:spacing w:after="0"/>
              <w:rPr>
                <w:sz w:val="20"/>
                <w:szCs w:val="20"/>
                <w:color w:val="auto"/>
              </w:rPr>
            </w:pPr>
            <w:r>
              <w:rPr>
                <w:rFonts w:ascii="Arial" w:cs="Arial" w:eastAsia="Arial" w:hAnsi="Arial"/>
                <w:sz w:val="11"/>
                <w:szCs w:val="11"/>
                <w:b w:val="1"/>
                <w:bCs w:val="1"/>
                <w:color w:val="auto"/>
              </w:rPr>
              <w:t>2020</w:t>
            </w:r>
          </w:p>
        </w:tc>
        <w:tc>
          <w:tcPr>
            <w:tcW w:w="300" w:type="dxa"/>
            <w:vAlign w:val="bottom"/>
          </w:tcPr>
          <w:p>
            <w:pPr>
              <w:spacing w:after="0"/>
              <w:rPr>
                <w:sz w:val="10"/>
                <w:szCs w:val="10"/>
                <w:color w:val="auto"/>
              </w:rPr>
            </w:pPr>
          </w:p>
        </w:tc>
        <w:tc>
          <w:tcPr>
            <w:tcW w:w="1320" w:type="dxa"/>
            <w:vAlign w:val="bottom"/>
          </w:tcPr>
          <w:p>
            <w:pPr>
              <w:jc w:val="right"/>
              <w:ind w:right="552"/>
              <w:spacing w:after="0"/>
              <w:rPr>
                <w:sz w:val="20"/>
                <w:szCs w:val="20"/>
                <w:color w:val="auto"/>
              </w:rPr>
            </w:pPr>
            <w:r>
              <w:rPr>
                <w:rFonts w:ascii="Arial" w:cs="Arial" w:eastAsia="Arial" w:hAnsi="Arial"/>
                <w:sz w:val="11"/>
                <w:szCs w:val="11"/>
                <w:b w:val="1"/>
                <w:bCs w:val="1"/>
                <w:color w:val="auto"/>
              </w:rPr>
              <w:t>Per Share</w:t>
            </w:r>
          </w:p>
        </w:tc>
        <w:tc>
          <w:tcPr>
            <w:tcW w:w="380" w:type="dxa"/>
            <w:vAlign w:val="bottom"/>
          </w:tcPr>
          <w:p>
            <w:pPr>
              <w:spacing w:after="0"/>
              <w:rPr>
                <w:sz w:val="10"/>
                <w:szCs w:val="10"/>
                <w:color w:val="auto"/>
              </w:rPr>
            </w:pPr>
          </w:p>
        </w:tc>
        <w:tc>
          <w:tcPr>
            <w:tcW w:w="1260" w:type="dxa"/>
            <w:vAlign w:val="bottom"/>
          </w:tcPr>
          <w:p>
            <w:pPr>
              <w:jc w:val="right"/>
              <w:ind w:right="392"/>
              <w:spacing w:after="0"/>
              <w:rPr>
                <w:sz w:val="20"/>
                <w:szCs w:val="20"/>
                <w:color w:val="auto"/>
              </w:rPr>
            </w:pPr>
            <w:r>
              <w:rPr>
                <w:rFonts w:ascii="Arial" w:cs="Arial" w:eastAsia="Arial" w:hAnsi="Arial"/>
                <w:sz w:val="11"/>
                <w:szCs w:val="11"/>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0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March 1st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r>
      <w:tr>
        <w:trPr>
          <w:trHeight w:val="180"/>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June 1st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1,343</w:t>
            </w:r>
          </w:p>
        </w:tc>
      </w:tr>
      <w:tr>
        <w:trPr>
          <w:trHeight w:val="180"/>
        </w:trPr>
        <w:tc>
          <w:tcPr>
            <w:tcW w:w="20" w:type="dxa"/>
            <w:vAlign w:val="bottom"/>
            <w:shd w:val="clear" w:color="auto" w:fill="CCEEFF"/>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1st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0.0875</w:t>
            </w:r>
          </w:p>
        </w:tc>
        <w:tc>
          <w:tcPr>
            <w:tcW w:w="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r>
      <w:tr>
        <w:trPr>
          <w:trHeight w:val="180"/>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December 1st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0.1000</w:t>
            </w:r>
          </w:p>
        </w:tc>
        <w:tc>
          <w:tcPr>
            <w:tcW w:w="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1,797</w:t>
            </w:r>
          </w:p>
        </w:tc>
      </w:tr>
      <w:tr>
        <w:trPr>
          <w:trHeight w:val="201"/>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16"/>
        </w:trPr>
        <w:tc>
          <w:tcPr>
            <w:tcW w:w="802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2019</w:t>
            </w:r>
          </w:p>
        </w:tc>
        <w:tc>
          <w:tcPr>
            <w:tcW w:w="300" w:type="dxa"/>
            <w:vAlign w:val="bottom"/>
          </w:tcPr>
          <w:p>
            <w:pPr>
              <w:spacing w:after="0"/>
              <w:rPr>
                <w:sz w:val="10"/>
                <w:szCs w:val="10"/>
                <w:color w:val="auto"/>
              </w:rPr>
            </w:pPr>
          </w:p>
        </w:tc>
        <w:tc>
          <w:tcPr>
            <w:tcW w:w="1320" w:type="dxa"/>
            <w:vAlign w:val="bottom"/>
          </w:tcPr>
          <w:p>
            <w:pPr>
              <w:jc w:val="right"/>
              <w:ind w:right="552"/>
              <w:spacing w:after="0" w:line="117" w:lineRule="exact"/>
              <w:rPr>
                <w:sz w:val="20"/>
                <w:szCs w:val="20"/>
                <w:color w:val="auto"/>
              </w:rPr>
            </w:pPr>
            <w:r>
              <w:rPr>
                <w:rFonts w:ascii="Arial" w:cs="Arial" w:eastAsia="Arial" w:hAnsi="Arial"/>
                <w:sz w:val="11"/>
                <w:szCs w:val="11"/>
                <w:b w:val="1"/>
                <w:bCs w:val="1"/>
                <w:color w:val="auto"/>
              </w:rPr>
              <w:t>Per Share</w:t>
            </w:r>
          </w:p>
        </w:tc>
        <w:tc>
          <w:tcPr>
            <w:tcW w:w="380" w:type="dxa"/>
            <w:vAlign w:val="bottom"/>
          </w:tcPr>
          <w:p>
            <w:pPr>
              <w:spacing w:after="0"/>
              <w:rPr>
                <w:sz w:val="10"/>
                <w:szCs w:val="10"/>
                <w:color w:val="auto"/>
              </w:rPr>
            </w:pPr>
          </w:p>
        </w:tc>
        <w:tc>
          <w:tcPr>
            <w:tcW w:w="1260" w:type="dxa"/>
            <w:vAlign w:val="bottom"/>
          </w:tcPr>
          <w:p>
            <w:pPr>
              <w:jc w:val="right"/>
              <w:ind w:right="392"/>
              <w:spacing w:after="0" w:line="117" w:lineRule="exact"/>
              <w:rPr>
                <w:sz w:val="20"/>
                <w:szCs w:val="20"/>
                <w:color w:val="auto"/>
              </w:rPr>
            </w:pPr>
            <w:r>
              <w:rPr>
                <w:rFonts w:ascii="Arial" w:cs="Arial" w:eastAsia="Arial" w:hAnsi="Arial"/>
                <w:sz w:val="11"/>
                <w:szCs w:val="11"/>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0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March 1st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r>
      <w:tr>
        <w:trPr>
          <w:trHeight w:val="180"/>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June 1st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1,365</w:t>
            </w:r>
          </w:p>
        </w:tc>
      </w:tr>
      <w:tr>
        <w:trPr>
          <w:trHeight w:val="180"/>
        </w:trPr>
        <w:tc>
          <w:tcPr>
            <w:tcW w:w="20" w:type="dxa"/>
            <w:vAlign w:val="bottom"/>
            <w:shd w:val="clear" w:color="auto" w:fill="CCEEFF"/>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1st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r>
      <w:tr>
        <w:trPr>
          <w:trHeight w:val="180"/>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December 1st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1,337</w:t>
            </w:r>
          </w:p>
        </w:tc>
      </w:tr>
      <w:tr>
        <w:trPr>
          <w:trHeight w:val="201"/>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16"/>
        </w:trPr>
        <w:tc>
          <w:tcPr>
            <w:tcW w:w="802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2018</w:t>
            </w:r>
          </w:p>
        </w:tc>
        <w:tc>
          <w:tcPr>
            <w:tcW w:w="300" w:type="dxa"/>
            <w:vAlign w:val="bottom"/>
          </w:tcPr>
          <w:p>
            <w:pPr>
              <w:spacing w:after="0"/>
              <w:rPr>
                <w:sz w:val="10"/>
                <w:szCs w:val="10"/>
                <w:color w:val="auto"/>
              </w:rPr>
            </w:pPr>
          </w:p>
        </w:tc>
        <w:tc>
          <w:tcPr>
            <w:tcW w:w="1320" w:type="dxa"/>
            <w:vAlign w:val="bottom"/>
          </w:tcPr>
          <w:p>
            <w:pPr>
              <w:jc w:val="right"/>
              <w:ind w:right="552"/>
              <w:spacing w:after="0" w:line="117" w:lineRule="exact"/>
              <w:rPr>
                <w:sz w:val="20"/>
                <w:szCs w:val="20"/>
                <w:color w:val="auto"/>
              </w:rPr>
            </w:pPr>
            <w:r>
              <w:rPr>
                <w:rFonts w:ascii="Arial" w:cs="Arial" w:eastAsia="Arial" w:hAnsi="Arial"/>
                <w:sz w:val="11"/>
                <w:szCs w:val="11"/>
                <w:b w:val="1"/>
                <w:bCs w:val="1"/>
                <w:color w:val="auto"/>
              </w:rPr>
              <w:t>Per Share</w:t>
            </w:r>
          </w:p>
        </w:tc>
        <w:tc>
          <w:tcPr>
            <w:tcW w:w="380" w:type="dxa"/>
            <w:vAlign w:val="bottom"/>
          </w:tcPr>
          <w:p>
            <w:pPr>
              <w:spacing w:after="0"/>
              <w:rPr>
                <w:sz w:val="10"/>
                <w:szCs w:val="10"/>
                <w:color w:val="auto"/>
              </w:rPr>
            </w:pPr>
          </w:p>
        </w:tc>
        <w:tc>
          <w:tcPr>
            <w:tcW w:w="1260" w:type="dxa"/>
            <w:vAlign w:val="bottom"/>
          </w:tcPr>
          <w:p>
            <w:pPr>
              <w:jc w:val="right"/>
              <w:ind w:right="392"/>
              <w:spacing w:after="0" w:line="117" w:lineRule="exact"/>
              <w:rPr>
                <w:sz w:val="20"/>
                <w:szCs w:val="20"/>
                <w:color w:val="auto"/>
              </w:rPr>
            </w:pPr>
            <w:r>
              <w:rPr>
                <w:rFonts w:ascii="Arial" w:cs="Arial" w:eastAsia="Arial" w:hAnsi="Arial"/>
                <w:sz w:val="11"/>
                <w:szCs w:val="11"/>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80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March 1st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r>
      <w:tr>
        <w:trPr>
          <w:trHeight w:val="180"/>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June 1st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1,433</w:t>
            </w:r>
          </w:p>
        </w:tc>
      </w:tr>
      <w:tr>
        <w:trPr>
          <w:trHeight w:val="180"/>
        </w:trPr>
        <w:tc>
          <w:tcPr>
            <w:tcW w:w="20" w:type="dxa"/>
            <w:vAlign w:val="bottom"/>
            <w:shd w:val="clear" w:color="auto" w:fill="CCEEFF"/>
          </w:tcPr>
          <w:p>
            <w:pPr>
              <w:spacing w:after="0"/>
              <w:rPr>
                <w:sz w:val="15"/>
                <w:szCs w:val="15"/>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1st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r>
      <w:tr>
        <w:trPr>
          <w:trHeight w:val="180"/>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Arial" w:cs="Arial" w:eastAsia="Arial" w:hAnsi="Arial"/>
                <w:sz w:val="14"/>
                <w:szCs w:val="14"/>
                <w:color w:val="auto"/>
              </w:rPr>
              <w:t>December 1st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0.0750</w:t>
            </w:r>
          </w:p>
        </w:tc>
        <w:tc>
          <w:tcPr>
            <w:tcW w:w="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Repurchases</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During the year ended December 31, 2018, we repurchased 1,101,969 shares of common stock for a total cost of $17.7 million at an average cost of $16.03 per share pursuant to our share repurchase program. On July 31, 2019, our Board approved an additional $25.0 million under our share repurchase program in accordance with Rule 10b-18 of the Exchange Act. During the year ended December 31, 2019, we repurchased 400,000 shares of common stock for a total cost of $7.8 million at an average cost of $19.39 per share pursuant to our share repurchase program. 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year ended December 31, 2020, we did not repurchase any common shares. At December 31, 2020, we had approximately $25.6 million available for repurchase under our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Facility, Lease Obligations and Acquisition Debt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outstanding principal of our long-term debt and lease obligations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b w:val="1"/>
                <w:bCs w:val="1"/>
                <w:color w:val="auto"/>
              </w:rPr>
              <w:t>December 31, 2019</w:t>
            </w:r>
          </w:p>
        </w:tc>
        <w:tc>
          <w:tcPr>
            <w:tcW w:w="4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7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Facility</w:t>
            </w:r>
          </w:p>
        </w:tc>
        <w:tc>
          <w:tcPr>
            <w:tcW w:w="4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83,800</w:t>
            </w: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47,200</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4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6,144</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5,854</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4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23,087</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22,384</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Acquisition debt</w:t>
            </w:r>
          </w:p>
        </w:tc>
        <w:tc>
          <w:tcPr>
            <w:tcW w:w="4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6,964</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w:t>
            </w:r>
          </w:p>
        </w:tc>
        <w:tc>
          <w:tcPr>
            <w:tcW w:w="4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119,995</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80,947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Arial" w:cs="Arial" w:eastAsia="Arial" w:hAnsi="Arial"/>
                <w:sz w:val="14"/>
                <w:szCs w:val="14"/>
                <w:color w:val="auto"/>
              </w:rPr>
              <w:t>27</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26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December 19, 2019, we entered into a third amendment and commitment increase to our $150.0 million senior secured revolving credit facility (“Credit Facility”) with the financial institutions party thereto, as lenders, and Bank of America, N.A., as administrative agent (in such capacity, the “Administrative Agent”) to increase our commitment to $190.0 million and incurred $0.9 million in transactions costs, which were capitalized and will be amortized over the remaining term of the related debt using the straight-line method.</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At December 31, 2020, our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Company’s obligations under the Credit Facility are unconditionally guaranteed on a joint and several basis by the same subsidiaries which guarantee the Senior Notes (as defined in Part II, Item 8, Financial Statements and Supplementary Data, Note 14) and certain of the Company’s Credit Facility Guarantors.</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4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In addition, the Credit Facility also contains customary negative covenants, including, but not limited to, covenants that restrict (subject to certain exceptions) the ability of the Company and its subsidiaries and party thereto as guarantors (the “Credit Facility Guarantors”) to incur additional indebtedness, grant liens on assets, make investments, engage in mergers and acquisitions, and pay dividends and other restricted payments, and certain financial covenants. At December 31, 2020, we were subject to the following financial covenants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6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18 2020, we received a limited waiver under our Credit Facility for the failure to comply with the Total Leverage Ratio covenant for the fiscal quarter ended March 31, 2020. In connection with the waiver, we also entered into a fourth amendment to the Credit Facility which increased the interest rate margin applicable to borrowings by up to 0.625% at each pricing level based on the Total Leverage Ratio. We did not incur any transaction costs related to the limited waiver and fourth amendment to the Credit Facility.</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August 7, 2020, we obtained a limited consent from the lenders under our Credit Facility in connection with our privately-negotiated repurchases of our Convertible Notes (as defined in Part II, Item 8, Financial Statements and Supplementary Data, Note 13). See Part II, Item 8, Financial Statements and Supplementary Data, Note 13 for a discussion of our privately-negotiated repurchases.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were in compliance with the total leverage ratio, fixed charge coverage ratio and senior secured leverage ratio covenants contained in our Credit Facility at December 31, 2020.</w:t>
      </w:r>
    </w:p>
    <w:p>
      <w:pPr>
        <w:spacing w:after="0" w:line="10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At December 31, 2020, we had outstanding borrowings under the Credit Facility of $47.2 million. We had one letter of credit for $2.0 million issued on November 30, 2019 and outstanding under the Credit Facility, which was increased to $2.1 million on September 29, 2020. The letter of credit bears interest at 3.125% and will expire on November 26, 2021. The letter of credit automatically renews annually and secures our obligations under our various self-insured policies. Outstanding borrowings under our Credit Facility bear interest at either a prime rate or a LIBOR rate, plus an applicable margin based upon our leverage ratio. At December 31, 2020, the prime rate margin was equivalent to 1.5% and the LIBOR rate margin was 2.5%. The weighted average interest rate on our Credit Facility for the years ended December 31, 2019 and 2020 was 2.9% and 3.8%, respectively.</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have no material assets or operations independent of our subsidiaries. All assets and operations are held and conducted by subsidiaries, each of which have fully and unconditionally guaranteed our obligations under the Credit Facility.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do not currently have any significant restrictions on our ability to receive dividends or loans from any Credit Facility Guarantors.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interest expense and amortization of debt issuance costs related to our Credit Facility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 interest expense</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4,351</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3"/>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Credit Facility amortization of debt issuance costs</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482</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Obligations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lease cost related to our operating leases and short-term leases and depreciation expense and interest expense related to our finance leases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3"/>
                <w:szCs w:val="13"/>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Short-term lease cost</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277</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27"/>
        </w:trPr>
        <w:tc>
          <w:tcPr>
            <w:tcW w:w="8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Finance lease cost:</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of leased assets</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Interest on lease liabilities</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Debt</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imputed interest expense related to our acquisition debt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89"/>
              </w:rPr>
              <w:t>2019</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w w:val="82"/>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debt imputed interest expense</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791</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489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Subordinated Notes due 2021</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March 19, 2014, we issued $143.75 million aggregate principal amount of our 2.75% convertible subordinated notes due 2021 (the “Convertible Notes”). The Convertible Notes are due on March 15, 2021 and bear interest at 2.75% per year, which is payable semi-annually in arrears on March 15 and September 15 of each year.</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7, 2018, we completed our exchange of approximately $115.0 million in aggregate principal amount of Convertible Notes in a privately-negotiated exchange agreement with a limited number of convertible noteholders. On December 24, 2018, we completed privately-negotiated repurchases of an additional $22.4 million in aggregate principal amount of Convertible Notes. On April 4, 2019, we completed a privately-negotiated repurchase of $25,000 in aggregate principal amount of Convertible Notes then outstanding for $27,163.</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On September 9, 2020, we completed privately-negotiated repurchases of $3.8 million in aggregate principal amount of our Convertible Notes for $4.6 million in cash (which included accrued interest of $0.1 million) and recorded $0.8 million for the reacquisition of the equity component. The September 2020 repurchases represented approximately 60% of the aggregate principal amount of Convertible Notes then outstanding. Following the settlement of the September 2020 repurchases, the aggregate principal amount of the Convertible Notes was reduced to approximately $2.6 million.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 of the Convertible Notes, which are Level 2 measurements, was $3.7 million at December 31, 2020.</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the adjusted conversion rate of the Convertible Notes is 45.9712 shares of our common stock per $1,000 principal amount of Convertible Notes, equivalent to an adjusted conversion price of $21.75 per share of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interest expense and accretion of debt discount and debt issuance costs related to our Convertible Notes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interest expense</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Convertible Notes accretion of debt discount</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2,192</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241</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amortization of debt issuance costs</w:t>
            </w: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bl>
    <w:p>
      <w:pPr>
        <w:spacing w:after="0" w:line="1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remaining unamortized debt discount and the remaining unamortized debt issuance costs are being amortized using the effective interest method over the remaining term of approximately two months of the Convertible Notes. The effective interest rate on the unamortized debt discount for both years ended December 31, 2019 and 2020 was 11.4%. The effective interest rate on the debt issuance costs for the years ended December 31, 2019 and 2020 was 3.2% and 3.1%,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 due 2026</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31, 2018, we issued $325.0 million in aggregate principal amount of our 6.625% senior notes due 2026 (the “Initial Senior Notes”) and related guarantees in a private offering under Rule 144A and Regulations S under the Securities Act. The Initial Senior Notes were issued under an indenture, dated as of May 31, 2018 (the “Indenture”), among us, certain of our existing subsidiaries (collectively, the “Subsidiary Guarantors”), as guarantors, and Wilmington Trust, National Association., as trustee.</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December 19, 2019, we issued an additional $75.0 million in aggregate principal amount of our Initial Senior Notes (the “Additional Senior Notes” and, together with the Initial Senior Notes, the “Senior Notes”) and related guarantees by the Subsidiary Guarantors in a private offering under Rule 144A and Regulation S of the Securities Act. The Additional Senior Notes were issued as additional securities under the Indenture.</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received proceeds of $76.9 million from the issuance of Additional Senior Notes, net of a debt premium of $1.7 million (plus accrued interest of $0.2 million). We incurred $1.0 million in debt issuance costs related to the Additional Senior Notes. The Senior Notes are treated as a single class of securities under the Indenture, and the Additional Senior Notes have identical terms to the Initial Senior Notes, except with respect to the date of issuance, the issue price, the initial interest accrual date and the initial interest payment date.</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Senior Notes bear interest at 6.625% per year. Interest on the Senior Notes began to accrue on May 31, 2018 and is payable semi-annually in arrears on June 1 and December 1 of each year, beginning on December 1, 2018 with respect to the Initial Senior Notes and June 1, 2020 with respect to the Additional Senior Notes to holders of record on each May 15 and November 15 preceding an interest payment date. The Senior Notes mature on June 1, 2026, unless earlier redeemed or repurchased. The Senior Notes are unsecured, senior obligations and are fully and unconditionally guaranteed on a senior unsecured basis, jointly and severally, by each of the Subsidiary Guarantors.</w:t>
      </w:r>
    </w:p>
    <w:p>
      <w:pPr>
        <w:spacing w:after="0" w:line="6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Additionally, at any time before June 1, 2021, we may redeem up to 40% of the aggregate principal amount of the Senior Notes issued with an amount equal to the net proceeds of certain equity offerings, at a price equal to 106.625% of the principal amount of the Senior Notes, plus accrued and unpaid interest, if any, to the date of redemption; provided that (1) at least 60% of the aggregate principal amount of the Senior Notes (including any additional Senior Notes ) originally issued under the Indenture remain outstanding immediately after the occurrence of such redemption (excluding Senior Notes held by us); and (2) each such redemption must occur within 180 days of the date of the closing of each such equity offering.</w:t>
      </w:r>
    </w:p>
    <w:p>
      <w:pPr>
        <w:spacing w:after="0" w:line="64"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2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interest expense and amortization of debt discount, debt premium and debt issuance costs related to our Senior Notes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interest expense</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3"/>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21,711</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26,500</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Senior Notes amortization of debt discount</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amortization of debt premium</w:t>
            </w: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Senior Notes amortization of debt issuance costs</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w:t>
            </w: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 of the Senior Notes, which are Level 2 measurements, was $427.9 million at December 31, 2020.</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debt discount, the debt premium and the debt issuance costs are being amortized using the effective interest method over the remaining term of approximately 65 months of the Senior Notes. The effective interest rate on the unamortized debt discount and the unamortized debt issuance costs for the Initial Senior Notes (issued in May 2018) was 6.87% and 6.69%, respectively, for the year ended December 31, 2020. The effective interest rate on the unamortized debt premium and the unamortized debt issuance costs for the Additional Senior Notes (issued in December 2019) was 6.20% and 6.90%, respectively, for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4"/>
          <w:szCs w:val="14"/>
          <w:color w:val="auto"/>
        </w:rPr>
        <w:t>The following table summarizes the known future payments required for the debt on our Consolidated Balance Sheet as of December 31, 2020. Where appropriate we have indicated the footnote in Part II, Item 8, Financial Statements and Supplementary Data, Notes to Consolidated Financial Statements where additional information is available.</w:t>
      </w:r>
    </w:p>
    <w:tbl>
      <w:tblPr>
        <w:tblLayout w:type="fixed"/>
        <w:tblInd w:w="0" w:type="dxa"/>
        <w:tblCellMar>
          <w:top w:w="0" w:type="dxa"/>
          <w:left w:w="0" w:type="dxa"/>
          <w:bottom w:w="0" w:type="dxa"/>
          <w:right w:w="0" w:type="dxa"/>
        </w:tblCellMar>
      </w:tblPr>
      <w:tr>
        <w:trPr>
          <w:trHeight w:val="124"/>
        </w:trPr>
        <w:tc>
          <w:tcPr>
            <w:tcW w:w="3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tcBorders>
              <w:bottom w:val="single" w:sz="8" w:color="auto"/>
            </w:tcBorders>
            <w:gridSpan w:val="6"/>
          </w:tcPr>
          <w:p>
            <w:pPr>
              <w:jc w:val="right"/>
              <w:spacing w:after="0" w:line="124" w:lineRule="exact"/>
              <w:rPr>
                <w:sz w:val="20"/>
                <w:szCs w:val="20"/>
                <w:color w:val="auto"/>
              </w:rPr>
            </w:pPr>
            <w:r>
              <w:rPr>
                <w:rFonts w:ascii="Arial" w:cs="Arial" w:eastAsia="Arial" w:hAnsi="Arial"/>
                <w:sz w:val="11"/>
                <w:szCs w:val="11"/>
                <w:b w:val="1"/>
                <w:bCs w:val="1"/>
                <w:color w:val="auto"/>
                <w:w w:val="91"/>
              </w:rPr>
              <w:t>Payments Due By Period (in thousands)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60" w:type="dxa"/>
            <w:vAlign w:val="bottom"/>
          </w:tcPr>
          <w:p>
            <w:pPr>
              <w:spacing w:after="0"/>
              <w:rPr>
                <w:sz w:val="10"/>
                <w:szCs w:val="10"/>
                <w:color w:val="auto"/>
              </w:rPr>
            </w:pPr>
          </w:p>
        </w:tc>
        <w:tc>
          <w:tcPr>
            <w:tcW w:w="1000" w:type="dxa"/>
            <w:vAlign w:val="bottom"/>
            <w:gridSpan w:val="2"/>
          </w:tcPr>
          <w:p>
            <w:pPr>
              <w:jc w:val="center"/>
              <w:ind w:right="100"/>
              <w:spacing w:after="0" w:line="118" w:lineRule="exact"/>
              <w:rPr>
                <w:sz w:val="20"/>
                <w:szCs w:val="20"/>
                <w:color w:val="auto"/>
              </w:rPr>
            </w:pPr>
            <w:r>
              <w:rPr>
                <w:rFonts w:ascii="Arial" w:cs="Arial" w:eastAsia="Arial" w:hAnsi="Arial"/>
                <w:sz w:val="11"/>
                <w:szCs w:val="11"/>
                <w:b w:val="1"/>
                <w:bCs w:val="1"/>
                <w:color w:val="auto"/>
                <w:w w:val="93"/>
              </w:rPr>
              <w:t>Financial Note</w:t>
            </w:r>
          </w:p>
        </w:tc>
        <w:tc>
          <w:tcPr>
            <w:tcW w:w="280" w:type="dxa"/>
            <w:vAlign w:val="bottom"/>
          </w:tcPr>
          <w:p>
            <w:pPr>
              <w:spacing w:after="0"/>
              <w:rPr>
                <w:sz w:val="10"/>
                <w:szCs w:val="10"/>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After 5 Years</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Reference</w:t>
            </w: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Facility and acquisition debt obligations</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47,741</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138"/>
        </w:trPr>
        <w:tc>
          <w:tcPr>
            <w:tcW w:w="3260" w:type="dxa"/>
            <w:vAlign w:val="bottom"/>
          </w:tcPr>
          <w:p>
            <w:pPr>
              <w:ind w:left="20"/>
              <w:spacing w:after="0" w:line="138" w:lineRule="exact"/>
              <w:rPr>
                <w:sz w:val="20"/>
                <w:szCs w:val="20"/>
                <w:color w:val="auto"/>
              </w:rPr>
            </w:pPr>
            <w:r>
              <w:rPr>
                <w:rFonts w:ascii="Arial" w:cs="Arial" w:eastAsia="Arial" w:hAnsi="Arial"/>
                <w:sz w:val="14"/>
                <w:szCs w:val="14"/>
                <w:color w:val="auto"/>
              </w:rPr>
              <w:t>Interest obligation on Credit Facility and acquisition</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6,154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line="180"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(a)</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 xml:space="preserve">Convertible Notes </w:t>
            </w:r>
            <w:r>
              <w:rPr>
                <w:rFonts w:ascii="Arial" w:cs="Arial" w:eastAsia="Arial" w:hAnsi="Arial"/>
                <w:sz w:val="18"/>
                <w:szCs w:val="18"/>
                <w:color w:val="auto"/>
                <w:vertAlign w:val="superscript"/>
              </w:rPr>
              <w:t>(b)</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Interest on Convertible Notes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 xml:space="preserve">Senior Notes </w:t>
            </w:r>
            <w:r>
              <w:rPr>
                <w:rFonts w:ascii="Arial" w:cs="Arial" w:eastAsia="Arial" w:hAnsi="Arial"/>
                <w:sz w:val="18"/>
                <w:szCs w:val="18"/>
                <w:color w:val="auto"/>
                <w:vertAlign w:val="superscript"/>
              </w:rPr>
              <w:t>(c)</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Interest on Senior Notes</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143,542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26,500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26,500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11,042</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including interest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obligations, including interest</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15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33,153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16,188</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contractual obligations</w:t>
            </w: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647,770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36,642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33,159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79,333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31,355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31,165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436,116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481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22" w:lineRule="exact"/>
        <w:rPr>
          <w:sz w:val="20"/>
          <w:szCs w:val="20"/>
          <w:color w:val="auto"/>
        </w:rPr>
      </w:pPr>
    </w:p>
    <w:p>
      <w:pPr>
        <w:ind w:left="480" w:hanging="461"/>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interest rates in effect at December 31, 2020.</w:t>
      </w:r>
    </w:p>
    <w:p>
      <w:pPr>
        <w:spacing w:after="0" w:line="19" w:lineRule="exact"/>
        <w:rPr>
          <w:rFonts w:ascii="Arial" w:cs="Arial" w:eastAsia="Arial" w:hAnsi="Arial"/>
          <w:sz w:val="13"/>
          <w:szCs w:val="13"/>
          <w:color w:val="auto"/>
        </w:rPr>
      </w:pPr>
    </w:p>
    <w:p>
      <w:pPr>
        <w:ind w:left="480" w:hanging="461"/>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Matures March 15, 2021.</w:t>
      </w:r>
    </w:p>
    <w:p>
      <w:pPr>
        <w:spacing w:after="0" w:line="19" w:lineRule="exact"/>
        <w:rPr>
          <w:rFonts w:ascii="Arial" w:cs="Arial" w:eastAsia="Arial" w:hAnsi="Arial"/>
          <w:sz w:val="13"/>
          <w:szCs w:val="13"/>
          <w:color w:val="auto"/>
        </w:rPr>
      </w:pPr>
    </w:p>
    <w:p>
      <w:pPr>
        <w:ind w:left="480" w:hanging="461"/>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Matures June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7"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The following table summarizes our off-balance sheet arrangements as of December 31, 2020. Where appropriate, we have indicated the footnote in Part II, Item 8, Financial Statements and Supplementary Data, Notes to the Consolidated Financial Statements where additional information is available. We have various non-compete agreements with former owners and employees of businesses we have acquired. These agreements are generally for one to ten years and provide for periodic payments over the term of the agreements. We have various consulting agreements with former owners of businesses we have acquired. Payments for such agreements are generally not made in advance. These agreements are generally for one to five years and provide for bi-weekly or monthly payments. We have employment agreements with our executive officers and certain senior leadership. These agreements are generally for three to five years and provide for participation in various incentive compensation arrangements. These agreements generally renew automatically on an annual basis after their initial term has expired.</w:t>
      </w:r>
    </w:p>
    <w:tbl>
      <w:tblPr>
        <w:tblLayout w:type="fixed"/>
        <w:tblInd w:w="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40" w:type="dxa"/>
            <w:vAlign w:val="bottom"/>
            <w:gridSpan w:val="9"/>
          </w:tcPr>
          <w:p>
            <w:pPr>
              <w:ind w:left="20"/>
              <w:spacing w:after="0"/>
              <w:rPr>
                <w:sz w:val="20"/>
                <w:szCs w:val="20"/>
                <w:color w:val="auto"/>
              </w:rPr>
            </w:pPr>
            <w:r>
              <w:rPr>
                <w:rFonts w:ascii="Arial" w:cs="Arial" w:eastAsia="Arial" w:hAnsi="Arial"/>
                <w:sz w:val="11"/>
                <w:szCs w:val="11"/>
                <w:b w:val="1"/>
                <w:bCs w:val="1"/>
                <w:color w:val="auto"/>
              </w:rPr>
              <w:t>Payments Due By Period (in thousands)</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1000" w:type="dxa"/>
            <w:vAlign w:val="bottom"/>
            <w:gridSpan w:val="2"/>
          </w:tcPr>
          <w:p>
            <w:pPr>
              <w:jc w:val="center"/>
              <w:ind w:right="140"/>
              <w:spacing w:after="0" w:line="118" w:lineRule="exact"/>
              <w:rPr>
                <w:sz w:val="20"/>
                <w:szCs w:val="20"/>
                <w:color w:val="auto"/>
              </w:rPr>
            </w:pPr>
            <w:r>
              <w:rPr>
                <w:rFonts w:ascii="Arial" w:cs="Arial" w:eastAsia="Arial" w:hAnsi="Arial"/>
                <w:sz w:val="11"/>
                <w:szCs w:val="11"/>
                <w:b w:val="1"/>
                <w:bCs w:val="1"/>
                <w:color w:val="auto"/>
                <w:w w:val="93"/>
              </w:rPr>
              <w:t>Financial Note</w:t>
            </w:r>
          </w:p>
        </w:tc>
        <w:tc>
          <w:tcPr>
            <w:tcW w:w="220" w:type="dxa"/>
            <w:vAlign w:val="bottom"/>
          </w:tcPr>
          <w:p>
            <w:pPr>
              <w:spacing w:after="0"/>
              <w:rPr>
                <w:sz w:val="10"/>
                <w:szCs w:val="10"/>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Total</w:t>
            </w:r>
          </w:p>
        </w:tc>
        <w:tc>
          <w:tcPr>
            <w:tcW w:w="2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vMerge w:val="restart"/>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After 5 Years</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Reference</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Non-compete agreements</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4"/>
                <w:szCs w:val="14"/>
                <w:color w:val="auto"/>
              </w:rPr>
              <w:t>691</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Consulting agreements</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 xml:space="preserve">Employment agreements </w:t>
            </w:r>
            <w:r>
              <w:rPr>
                <w:rFonts w:ascii="Arial" w:cs="Arial" w:eastAsia="Arial" w:hAnsi="Arial"/>
                <w:sz w:val="18"/>
                <w:szCs w:val="18"/>
                <w:color w:val="auto"/>
                <w:vertAlign w:val="superscript"/>
              </w:rPr>
              <w:t>(a)</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w:t>
            </w: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4"/>
                <w:szCs w:val="14"/>
                <w:color w:val="auto"/>
              </w:rPr>
              <w:t>900</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170"/>
        </w:trPr>
        <w:tc>
          <w:tcPr>
            <w:tcW w:w="3820" w:type="dxa"/>
            <w:vAlign w:val="bottom"/>
          </w:tcPr>
          <w:p>
            <w:pPr>
              <w:ind w:left="20"/>
              <w:spacing w:after="0" w:line="160" w:lineRule="exact"/>
              <w:rPr>
                <w:sz w:val="20"/>
                <w:szCs w:val="20"/>
                <w:color w:val="auto"/>
              </w:rPr>
            </w:pPr>
            <w:r>
              <w:rPr>
                <w:rFonts w:ascii="Arial" w:cs="Arial" w:eastAsia="Arial" w:hAnsi="Arial"/>
                <w:sz w:val="14"/>
                <w:szCs w:val="14"/>
                <w:color w:val="auto"/>
              </w:rPr>
              <w:t>Total contractual cash obligations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20,221</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6,711</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2,510</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color w:val="auto"/>
              </w:rPr>
              <w:t>1,705</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13486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32" w:lineRule="exact"/>
        <w:rPr>
          <w:sz w:val="20"/>
          <w:szCs w:val="20"/>
          <w:color w:val="auto"/>
        </w:rPr>
      </w:pPr>
    </w:p>
    <w:p>
      <w:pPr>
        <w:ind w:left="440" w:right="40" w:hanging="400"/>
        <w:spacing w:after="0" w:line="231" w:lineRule="auto"/>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Melvin C. Payne, our Chairman of the Board and Chief Executive Officer, has an employment agreement that does not renew after the initial term. See Part II, Item 8, Financial Statements and Supplementary Data, Note 16 for additional information regarding Mr. Payne's employment agreement.</w:t>
      </w:r>
    </w:p>
    <w:p>
      <w:pPr>
        <w:spacing w:after="0" w:line="14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Credit Facility, both of which may be more difficult to access.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HIGHLIGHTS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Below are our financial highlights (in thousands except for volumes and averages):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267,992</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274,107</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329,448</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Funeral contracts</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36,816</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38,940</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47,190</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revenue per funeral contract</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5,674</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5,499</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Preneed interment rights (property) sold</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7,063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7,205</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9,503</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price per interment right sold</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4,033</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75,947</w:t>
            </w:r>
          </w:p>
        </w:tc>
        <w:tc>
          <w:tcPr>
            <w:tcW w:w="180" w:type="dxa"/>
            <w:vAlign w:val="bottom"/>
          </w:tcPr>
          <w:p>
            <w:pPr>
              <w:spacing w:after="0"/>
              <w:rPr>
                <w:sz w:val="15"/>
                <w:szCs w:val="15"/>
                <w:color w:val="auto"/>
              </w:rPr>
            </w:pP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79,585</w:t>
            </w:r>
          </w:p>
        </w:tc>
        <w:tc>
          <w:tcPr>
            <w:tcW w:w="180" w:type="dxa"/>
            <w:vAlign w:val="bottom"/>
          </w:tcPr>
          <w:p>
            <w:pPr>
              <w:spacing w:after="0"/>
              <w:rPr>
                <w:sz w:val="15"/>
                <w:szCs w:val="15"/>
                <w:color w:val="auto"/>
              </w:rPr>
            </w:pP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105,923</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11,645</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14,533</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16,090</w:t>
            </w:r>
          </w:p>
        </w:tc>
      </w:tr>
    </w:tbl>
    <w:p>
      <w:pPr>
        <w:spacing w:after="0" w:line="1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Revenue in 2020 increased $55.3 million compared to 2019, as we experienced a 21.2% increase in total funeral contracts primarily due to the funeral home acquisitions made in the fourth quarter of 2019 and first quarter of 2020, as well as increases from broad market share gains and increases in the number of deaths related to the COVID-19 pandemic. Volume growth was offset by a decrease in the average revenue per funeral contract of 6.4% primarily due to the decrease in services performed as restrictions mandated by state and local governments were placed on social gatherings. In addition, we experienced an increase of 31.9% in the number of preneed interment rights (property) sold primarily due to the cemetery acquisitions made in the fourth quarter of 2019 and first quarter of 2020, as well as an increase of 10.4% in the average price per interment right sold.</w:t>
      </w:r>
    </w:p>
    <w:p>
      <w:pPr>
        <w:spacing w:after="0" w:line="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Revenue in 2019 increased $6.1 million compared to 2018, as we experienced a 5.8% increase in total funeral contracts, offset by a decrease in the average revenue per funeral contract of 3.1%. In addition, the average price per interment right (property) sold increased 5.2% and we experienced an increase of 2.0% in the number of preneed interment rights sold. Further discussion of Revenue for our funeral home and cemetery segments is presented herein under “Results of Operations.”</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Gross profit in 2020 increased $26.3 million compared to 2019, primarily due to the increase in revenue from both our funeral home and cemetery segments due to the acquisitions made in the fourth quarter of 2019 and first quarter of 2020, as well disciplined expense and cost management by leaders at each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Gross profit in 2019 increased $3.6 million compared to 2018, primarily due to an increase in revenue from our funeral home segment due to the acquisitions made in the fourth quarter of 2019 and the second half of 2018. Further discussion of the components of Gross profit for our funeral home and cemetery segments, is presented herein under “Results of Operations.”</w:t>
      </w:r>
    </w:p>
    <w:p>
      <w:pPr>
        <w:spacing w:after="0" w:line="2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Net income in 2020 increased $1.6 million compared to 2019 primarily due to the increase in gross profit, offset by the $16.6 million increase in charges related to the net loss on divestitures and impairments and $7.0 million increase in interest expense related to our Senior Notes and Credit Facility.</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Net income in 2019 increased $2.9 million compared to 2018 primarily due to the increase in gross profit, as well as a $5.0 million decrease in general and administrative expenses, offset by a $2.5 million increase in interest expense primarily related to our Senior Notes and a $2.9 million increase in the loss on divested businesses.</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Further discussion of General, administrative and other expenses, Home office depreciation and amortization expense, Interest expense, Income taxes and other components of income and expenses are presented herein under “Other Financial Statement Items.”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REPORTING AND NON-GAAP FINANCIAL MEASURES</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also present our financial performance in our “Operating and Financial Trend Report” (“Trend Report”) as reported in our earnings release for the year ending December 31, 2020, dated February 17, 2021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Below is a reconciliation of Net income (a GAAP measure) to Adjusted net income (a non-GAAP measure)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11,645</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14,533</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16,090</w:t>
            </w:r>
          </w:p>
        </w:tc>
      </w:tr>
      <w:tr>
        <w:trPr>
          <w:trHeight w:val="180"/>
        </w:trPr>
        <w:tc>
          <w:tcPr>
            <w:tcW w:w="6300" w:type="dxa"/>
            <w:vAlign w:val="bottom"/>
          </w:tcPr>
          <w:p>
            <w:pPr>
              <w:ind w:left="20"/>
              <w:spacing w:after="0" w:line="180" w:lineRule="exact"/>
              <w:rPr>
                <w:sz w:val="20"/>
                <w:szCs w:val="20"/>
                <w:color w:val="auto"/>
              </w:rPr>
            </w:pPr>
            <w:r>
              <w:rPr>
                <w:rFonts w:ascii="Arial" w:cs="Arial" w:eastAsia="Arial" w:hAnsi="Arial"/>
                <w:sz w:val="14"/>
                <w:szCs w:val="14"/>
                <w:color w:val="auto"/>
              </w:rPr>
              <w:t>Special items, net of tax except for items noted by</w:t>
            </w:r>
            <w:r>
              <w:rPr>
                <w:rFonts w:ascii="Arial" w:cs="Arial" w:eastAsia="Arial" w:hAnsi="Arial"/>
                <w:sz w:val="18"/>
                <w:szCs w:val="18"/>
                <w:color w:val="auto"/>
                <w:vertAlign w:val="superscript"/>
              </w:rPr>
              <w:t>(1)</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and divestiture expenses</w:t>
            </w: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Severance and separation costs</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Performance awards cancellation and exchange</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0"/>
        </w:trPr>
        <w:tc>
          <w:tcPr>
            <w:tcW w:w="6300" w:type="dxa"/>
            <w:vAlign w:val="bottom"/>
          </w:tcPr>
          <w:p>
            <w:pPr>
              <w:ind w:left="180"/>
              <w:spacing w:after="0" w:line="180" w:lineRule="exact"/>
              <w:rPr>
                <w:sz w:val="20"/>
                <w:szCs w:val="20"/>
                <w:color w:val="auto"/>
              </w:rPr>
            </w:pPr>
            <w:r>
              <w:rPr>
                <w:rFonts w:ascii="Arial" w:cs="Arial" w:eastAsia="Arial" w:hAnsi="Arial"/>
                <w:sz w:val="14"/>
                <w:szCs w:val="14"/>
                <w:color w:val="auto"/>
              </w:rPr>
              <w:t>Accretion of discount on Convertible Notes</w:t>
            </w:r>
            <w:r>
              <w:rPr>
                <w:rFonts w:ascii="Arial" w:cs="Arial" w:eastAsia="Arial" w:hAnsi="Arial"/>
                <w:sz w:val="18"/>
                <w:szCs w:val="18"/>
                <w:color w:val="auto"/>
                <w:vertAlign w:val="superscript"/>
              </w:rPr>
              <w:t>(1)</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on early extinguishment of debt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tcPr>
          <w:p>
            <w:pPr>
              <w:ind w:left="180"/>
              <w:spacing w:after="0" w:line="180" w:lineRule="exact"/>
              <w:rPr>
                <w:sz w:val="20"/>
                <w:szCs w:val="20"/>
                <w:color w:val="auto"/>
              </w:rPr>
            </w:pPr>
            <w:r>
              <w:rPr>
                <w:rFonts w:ascii="Arial" w:cs="Arial" w:eastAsia="Arial" w:hAnsi="Arial"/>
                <w:sz w:val="14"/>
                <w:szCs w:val="14"/>
                <w:color w:val="auto"/>
              </w:rPr>
              <w:t>Net loss on divestitures and other costs</w:t>
            </w:r>
            <w:r>
              <w:rPr>
                <w:rFonts w:ascii="Arial" w:cs="Arial" w:eastAsia="Arial" w:hAnsi="Arial"/>
                <w:sz w:val="18"/>
                <w:szCs w:val="18"/>
                <w:color w:val="auto"/>
                <w:vertAlign w:val="superscript"/>
              </w:rPr>
              <w:t>(2)</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4,562</w:t>
            </w:r>
          </w:p>
        </w:tc>
      </w:tr>
      <w:tr>
        <w:trPr>
          <w:trHeight w:val="180"/>
        </w:trPr>
        <w:tc>
          <w:tcPr>
            <w:tcW w:w="6300" w:type="dxa"/>
            <w:vAlign w:val="bottom"/>
            <w:shd w:val="clear" w:color="auto" w:fill="CCEEFF"/>
          </w:tcPr>
          <w:p>
            <w:pPr>
              <w:ind w:left="180"/>
              <w:spacing w:after="0" w:line="180" w:lineRule="exact"/>
              <w:rPr>
                <w:sz w:val="20"/>
                <w:szCs w:val="20"/>
                <w:color w:val="auto"/>
              </w:rPr>
            </w:pPr>
            <w:r>
              <w:rPr>
                <w:rFonts w:ascii="Arial" w:cs="Arial" w:eastAsia="Arial" w:hAnsi="Arial"/>
                <w:sz w:val="14"/>
                <w:szCs w:val="14"/>
                <w:color w:val="auto"/>
              </w:rPr>
              <w:t>Net impact of impairment of goodwill and other intangibles</w:t>
            </w:r>
            <w:r>
              <w:rPr>
                <w:rFonts w:ascii="Arial" w:cs="Arial" w:eastAsia="Arial" w:hAnsi="Arial"/>
                <w:sz w:val="18"/>
                <w:szCs w:val="18"/>
                <w:color w:val="auto"/>
                <w:vertAlign w:val="superscript"/>
              </w:rPr>
              <w:t>(2)</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9,932</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Litigation reserve</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6300" w:type="dxa"/>
            <w:vAlign w:val="bottom"/>
            <w:shd w:val="clear" w:color="auto" w:fill="CCEEFF"/>
          </w:tcPr>
          <w:p>
            <w:pPr>
              <w:ind w:left="180"/>
              <w:spacing w:after="0" w:line="180" w:lineRule="exact"/>
              <w:rPr>
                <w:sz w:val="20"/>
                <w:szCs w:val="20"/>
                <w:color w:val="auto"/>
              </w:rPr>
            </w:pPr>
            <w:r>
              <w:rPr>
                <w:rFonts w:ascii="Arial" w:cs="Arial" w:eastAsia="Arial" w:hAnsi="Arial"/>
                <w:sz w:val="14"/>
                <w:szCs w:val="14"/>
                <w:color w:val="auto"/>
              </w:rPr>
              <w:t>Tax expense related to divested business</w:t>
            </w:r>
            <w:r>
              <w:rPr>
                <w:rFonts w:ascii="Arial" w:cs="Arial" w:eastAsia="Arial" w:hAnsi="Arial"/>
                <w:sz w:val="18"/>
                <w:szCs w:val="18"/>
                <w:color w:val="auto"/>
                <w:vertAlign w:val="superscript"/>
              </w:rPr>
              <w:t>(1)</w:t>
            </w: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Gain on insurance reimbursements</w:t>
            </w:r>
          </w:p>
        </w:tc>
        <w:tc>
          <w:tcPr>
            <w:tcW w:w="5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disaster and pandemic costs</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Other special items</w:t>
            </w:r>
          </w:p>
        </w:tc>
        <w:tc>
          <w:tcPr>
            <w:tcW w:w="5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180"/>
        </w:trPr>
        <w:tc>
          <w:tcPr>
            <w:tcW w:w="6300" w:type="dxa"/>
            <w:vAlign w:val="bottom"/>
            <w:shd w:val="clear" w:color="auto" w:fill="CCEEFF"/>
          </w:tcPr>
          <w:p>
            <w:pPr>
              <w:ind w:left="180"/>
              <w:spacing w:after="0" w:line="180" w:lineRule="exact"/>
              <w:rPr>
                <w:sz w:val="20"/>
                <w:szCs w:val="20"/>
                <w:color w:val="auto"/>
              </w:rPr>
            </w:pPr>
            <w:r>
              <w:rPr>
                <w:rFonts w:ascii="Arial" w:cs="Arial" w:eastAsia="Arial" w:hAnsi="Arial"/>
                <w:sz w:val="14"/>
                <w:szCs w:val="14"/>
                <w:color w:val="auto"/>
              </w:rPr>
              <w:t>Tax adjustment related to certain discrete items</w:t>
            </w:r>
            <w:r>
              <w:rPr>
                <w:rFonts w:ascii="Arial" w:cs="Arial" w:eastAsia="Arial" w:hAnsi="Arial"/>
                <w:sz w:val="18"/>
                <w:szCs w:val="18"/>
                <w:color w:val="auto"/>
                <w:vertAlign w:val="superscript"/>
              </w:rPr>
              <w:t>(1)</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r>
      <w:tr>
        <w:trPr>
          <w:trHeight w:val="171"/>
        </w:trPr>
        <w:tc>
          <w:tcPr>
            <w:tcW w:w="6300" w:type="dxa"/>
            <w:vAlign w:val="bottom"/>
          </w:tcPr>
          <w:p>
            <w:pPr>
              <w:ind w:left="20"/>
              <w:spacing w:after="0" w:line="170"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(3)</w:t>
            </w: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21,566</w:t>
            </w:r>
          </w:p>
        </w:tc>
        <w:tc>
          <w:tcPr>
            <w:tcW w:w="1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22,532</w:t>
            </w:r>
          </w:p>
        </w:tc>
        <w:tc>
          <w:tcPr>
            <w:tcW w:w="1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33,683</w:t>
            </w:r>
          </w:p>
        </w:tc>
      </w:tr>
      <w:tr>
        <w:trPr>
          <w:trHeight w:val="20"/>
        </w:trPr>
        <w:tc>
          <w:tcPr>
            <w:tcW w:w="6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1348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32" w:lineRule="exact"/>
        <w:rPr>
          <w:sz w:val="20"/>
          <w:szCs w:val="20"/>
          <w:color w:val="auto"/>
        </w:rPr>
      </w:pPr>
    </w:p>
    <w:p>
      <w:pPr>
        <w:jc w:val="both"/>
        <w:ind w:left="420" w:right="40" w:hanging="380"/>
        <w:spacing w:after="0" w:line="217" w:lineRule="auto"/>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21.0% for the years ended December 31, 2018, 2019 and 2020, except for the Accretion of the discount on the Convertible Notes and the Tax adjustment related to certain discrete items and the Tax expense related to divested business, as these are non-tax deductible items and the Net impact of impairment of goodwill and other intangibles and the Net loss on divestitures and other costs (described below).</w:t>
      </w:r>
    </w:p>
    <w:p>
      <w:pPr>
        <w:spacing w:after="0" w:line="10" w:lineRule="exact"/>
        <w:rPr>
          <w:rFonts w:ascii="Arial" w:cs="Arial" w:eastAsia="Arial" w:hAnsi="Arial"/>
          <w:sz w:val="13"/>
          <w:szCs w:val="13"/>
          <w:color w:val="auto"/>
        </w:rPr>
      </w:pPr>
    </w:p>
    <w:p>
      <w:pPr>
        <w:ind w:left="420" w:right="40" w:hanging="380"/>
        <w:spacing w:after="0" w:line="231" w:lineRule="auto"/>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Net loss on divestitures and other costs and the Net impact of impairment of goodwill and other intangibles special items are net of the federal statutory rate of 21.0% in 2018 and 2019 and are net of the operating tax rate of 32.4% in 2020.</w:t>
      </w:r>
    </w:p>
    <w:p>
      <w:pPr>
        <w:spacing w:after="0" w:line="8" w:lineRule="exact"/>
        <w:rPr>
          <w:rFonts w:ascii="Arial" w:cs="Arial" w:eastAsia="Arial" w:hAnsi="Arial"/>
          <w:sz w:val="13"/>
          <w:szCs w:val="13"/>
          <w:color w:val="auto"/>
        </w:rPr>
      </w:pPr>
    </w:p>
    <w:p>
      <w:pPr>
        <w:ind w:left="420" w:right="40" w:hanging="380"/>
        <w:spacing w:after="0" w:line="231" w:lineRule="auto"/>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Below is a reconciliation of Gross profit (a GAAP measure) to Operating profit (a non-GAAP measure)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75,947</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79,585</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105,923</w:t>
            </w:r>
          </w:p>
        </w:tc>
      </w:tr>
      <w:tr>
        <w:trPr>
          <w:trHeight w:val="201"/>
        </w:trPr>
        <w:tc>
          <w:tcPr>
            <w:tcW w:w="6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Cemetery property amortization</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3,985</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Field depreciation expense</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12,015</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12,370</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13,006</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Regional and unallocated funeral and cemetery costs</w:t>
            </w:r>
          </w:p>
        </w:tc>
        <w:tc>
          <w:tcPr>
            <w:tcW w:w="5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12,749</w:t>
            </w: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13,827</w:t>
            </w:r>
          </w:p>
        </w:tc>
        <w:tc>
          <w:tcPr>
            <w:tcW w:w="1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18,057</w:t>
            </w:r>
          </w:p>
        </w:tc>
      </w:tr>
      <w:tr>
        <w:trPr>
          <w:trHeight w:val="171"/>
        </w:trPr>
        <w:tc>
          <w:tcPr>
            <w:tcW w:w="6300" w:type="dxa"/>
            <w:vAlign w:val="bottom"/>
          </w:tcPr>
          <w:p>
            <w:pPr>
              <w:ind w:left="20"/>
              <w:spacing w:after="0" w:line="170" w:lineRule="exact"/>
              <w:rPr>
                <w:sz w:val="20"/>
                <w:szCs w:val="20"/>
                <w:color w:val="auto"/>
              </w:rPr>
            </w:pPr>
            <w:r>
              <w:rPr>
                <w:rFonts w:ascii="Arial" w:cs="Arial" w:eastAsia="Arial" w:hAnsi="Arial"/>
                <w:sz w:val="14"/>
                <w:szCs w:val="14"/>
                <w:color w:val="auto"/>
              </w:rPr>
              <w:t>Operating profit</w:t>
            </w:r>
            <w:r>
              <w:rPr>
                <w:rFonts w:ascii="Arial" w:cs="Arial" w:eastAsia="Arial" w:hAnsi="Arial"/>
                <w:sz w:val="18"/>
                <w:szCs w:val="18"/>
                <w:color w:val="auto"/>
                <w:vertAlign w:val="superscript"/>
              </w:rPr>
              <w:t>(1)</w:t>
            </w: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104,313</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109,767</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141,942</w:t>
            </w:r>
          </w:p>
        </w:tc>
      </w:tr>
      <w:tr>
        <w:trPr>
          <w:trHeight w:val="20"/>
        </w:trPr>
        <w:tc>
          <w:tcPr>
            <w:tcW w:w="6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1348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32" w:lineRule="exact"/>
        <w:rPr>
          <w:sz w:val="20"/>
          <w:szCs w:val="20"/>
          <w:color w:val="auto"/>
        </w:rPr>
      </w:pPr>
    </w:p>
    <w:p>
      <w:pPr>
        <w:ind w:left="420" w:hanging="380"/>
        <w:spacing w:after="0"/>
        <w:tabs>
          <w:tab w:leader="none" w:pos="4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Operating profit is defined as Gross profit less Cemetery property amortization, Field depreciation expense and Regional and unallocated funeral and cemetery costs.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operations are reported in two business segments: Funeral Home and Cemetery. Below is a breakdown of Operating profit (a non-GAAP measure) by Segment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Funeral Home</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82,154</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85,737</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104,998</w:t>
            </w:r>
          </w:p>
        </w:tc>
      </w:tr>
      <w:tr>
        <w:trPr>
          <w:trHeight w:val="18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Cemetery</w:t>
            </w: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22,159</w:t>
            </w: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24,030</w:t>
            </w: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36,944</w:t>
            </w:r>
          </w:p>
        </w:tc>
      </w:tr>
      <w:tr>
        <w:trPr>
          <w:trHeight w:val="196"/>
        </w:trPr>
        <w:tc>
          <w:tcPr>
            <w:tcW w:w="63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Operating profit</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104,313</w:t>
            </w: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109,767</w:t>
            </w:r>
          </w:p>
        </w:tc>
        <w:tc>
          <w:tcPr>
            <w:tcW w:w="1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141,942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0"/>
        </w:trPr>
        <w:tc>
          <w:tcPr>
            <w:tcW w:w="6300" w:type="dxa"/>
            <w:vAlign w:val="bottom"/>
            <w:shd w:val="clear" w:color="auto" w:fill="CCEEFF"/>
          </w:tcPr>
          <w:p>
            <w:pPr>
              <w:ind w:left="20"/>
              <w:spacing w:after="0" w:line="180" w:lineRule="exact"/>
              <w:rPr>
                <w:sz w:val="20"/>
                <w:szCs w:val="20"/>
                <w:color w:val="auto"/>
              </w:rPr>
            </w:pPr>
            <w:r>
              <w:rPr>
                <w:rFonts w:ascii="Arial" w:cs="Arial" w:eastAsia="Arial" w:hAnsi="Arial"/>
                <w:sz w:val="14"/>
                <w:szCs w:val="14"/>
                <w:color w:val="auto"/>
              </w:rPr>
              <w:t>Operating profit margin</w:t>
            </w:r>
            <w:r>
              <w:rPr>
                <w:rFonts w:ascii="Arial" w:cs="Arial" w:eastAsia="Arial" w:hAnsi="Arial"/>
                <w:sz w:val="18"/>
                <w:szCs w:val="18"/>
                <w:color w:val="auto"/>
                <w:vertAlign w:val="superscript"/>
              </w:rPr>
              <w:t>(1)</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38.9%</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40.0%</w:t>
            </w: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87630</wp:posOffset>
            </wp:positionV>
            <wp:extent cx="71348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32" w:lineRule="exact"/>
        <w:rPr>
          <w:sz w:val="20"/>
          <w:szCs w:val="20"/>
          <w:color w:val="auto"/>
        </w:rPr>
      </w:pPr>
    </w:p>
    <w:p>
      <w:pPr>
        <w:ind w:left="420" w:hanging="380"/>
        <w:spacing w:after="0"/>
        <w:tabs>
          <w:tab w:leader="none" w:pos="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Operating profit margin is defined as Operating profit as a percentage of 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Further discussion of Operating profit for our funeral home and cemetery segments is presented herein under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2020 COMPARED TO YEAR ENDED DECEMBER 31, 2019</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discussion of our results of operations for the year ended December 31, 2020 compared to the year ended December 31, 2019.</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term “same store” refers to funeral homes and cemeteries acquired prior to January 1, 2016 and owned and operated for the entirety of each period being presented, excluding certain funeral homes and cemeteries that we intend to divest in the near future.</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term “acquired” refers to funeral homes and cemeteries purchased after December 31, 2015, excluding any funeral homes and cemeteries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term “divested” refers to the eight funeral homes we sold in 2020 and three funeral homes whose building leases expired, one funeral home we sold and a funeral home we merged with a funeral home in an existing market in 2019. “Planned divested” refers to funeral homes and cemeteries that we intend to divest in the near future.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“Ancillary” represents our flower shop, pet cremation business and online cremation business.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Cemetery property amortization, Field depreciation expense and Regional and unallocated funeral and cemetery costs, are not included in Operating profit, a non-GAAP financial measure.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Adding back these items will result in Gross profit, a GAAP financial measure.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Funeral Home Segment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certain information regarding our Revenue and Operating profit from our funeral home operations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3"/>
                <w:szCs w:val="13"/>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rPr>
                <w:sz w:val="20"/>
                <w:szCs w:val="20"/>
                <w:color w:val="auto"/>
              </w:rPr>
            </w:pPr>
            <w:r>
              <w:rPr>
                <w:rFonts w:ascii="Arial" w:cs="Arial" w:eastAsia="Arial" w:hAnsi="Arial"/>
                <w:sz w:val="14"/>
                <w:szCs w:val="14"/>
                <w:color w:val="auto"/>
              </w:rPr>
              <w:t>Same store operating revenue</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168,884</w:t>
            </w:r>
          </w:p>
        </w:tc>
        <w:tc>
          <w:tcPr>
            <w:tcW w:w="180" w:type="dxa"/>
            <w:vAlign w:val="bottom"/>
          </w:tcPr>
          <w:p>
            <w:pPr>
              <w:spacing w:after="0"/>
              <w:rPr>
                <w:sz w:val="15"/>
                <w:szCs w:val="15"/>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179,779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operating revenue</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27,547</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46,897</w:t>
            </w: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rPr>
                <w:sz w:val="20"/>
                <w:szCs w:val="20"/>
                <w:color w:val="auto"/>
              </w:rPr>
            </w:pPr>
            <w:r>
              <w:rPr>
                <w:rFonts w:ascii="Arial" w:cs="Arial" w:eastAsia="Arial" w:hAnsi="Arial"/>
                <w:sz w:val="14"/>
                <w:szCs w:val="14"/>
                <w:color w:val="auto"/>
              </w:rPr>
              <w:t>Divested/planned divested revenue</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11,263</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8,705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Ancillary funeral services revenue</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rPr>
                <w:sz w:val="20"/>
                <w:szCs w:val="20"/>
                <w:color w:val="auto"/>
              </w:rPr>
            </w:pPr>
            <w:r>
              <w:rPr>
                <w:rFonts w:ascii="Arial" w:cs="Arial" w:eastAsia="Arial" w:hAnsi="Arial"/>
                <w:sz w:val="14"/>
                <w:szCs w:val="14"/>
                <w:color w:val="auto"/>
              </w:rPr>
              <w:t>Preneed funeral insurance commissions</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1,475</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Preneed funeral trust and insurance</w:t>
            </w:r>
          </w:p>
        </w:tc>
        <w:tc>
          <w:tcPr>
            <w:tcW w:w="5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6,951</w:t>
            </w:r>
          </w:p>
        </w:tc>
        <w:tc>
          <w:tcPr>
            <w:tcW w:w="1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7,747</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216,868</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249,138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Same store operating profit</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65,109</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74,817</w:t>
            </w: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rPr>
                <w:sz w:val="20"/>
                <w:szCs w:val="20"/>
                <w:color w:val="auto"/>
              </w:rPr>
            </w:pPr>
            <w:r>
              <w:rPr>
                <w:rFonts w:ascii="Arial" w:cs="Arial" w:eastAsia="Arial" w:hAnsi="Arial"/>
                <w:sz w:val="14"/>
                <w:szCs w:val="14"/>
                <w:color w:val="auto"/>
              </w:rPr>
              <w:t>Acquired operating profit</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10,579</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18,617</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Divested/planned divested operating profit</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0" w:type="dxa"/>
            <w:vAlign w:val="bottom"/>
          </w:tcPr>
          <w:p>
            <w:pPr>
              <w:spacing w:after="0"/>
              <w:rPr>
                <w:sz w:val="1"/>
                <w:szCs w:val="1"/>
                <w:color w:val="auto"/>
              </w:rPr>
            </w:pPr>
          </w:p>
        </w:tc>
      </w:tr>
      <w:tr>
        <w:trPr>
          <w:trHeight w:val="180"/>
        </w:trPr>
        <w:tc>
          <w:tcPr>
            <w:tcW w:w="8020" w:type="dxa"/>
            <w:vAlign w:val="bottom"/>
          </w:tcPr>
          <w:p>
            <w:pPr>
              <w:ind w:left="120"/>
              <w:spacing w:after="0"/>
              <w:rPr>
                <w:sz w:val="20"/>
                <w:szCs w:val="20"/>
                <w:color w:val="auto"/>
              </w:rPr>
            </w:pPr>
            <w:r>
              <w:rPr>
                <w:rFonts w:ascii="Arial" w:cs="Arial" w:eastAsia="Arial" w:hAnsi="Arial"/>
                <w:sz w:val="14"/>
                <w:szCs w:val="14"/>
                <w:color w:val="auto"/>
              </w:rPr>
              <w:t>Ancillary funeral services operating profit</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Preneed funeral insurance commissions</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Preneed funeral trust and insurance</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6,778</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85,737</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104,998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rPr>
              <w:t>The following measures reflect the significant metrics over this comparative period: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3"/>
                <w:szCs w:val="13"/>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Same store:</w:t>
            </w: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Contract volume</w:t>
            </w:r>
          </w:p>
        </w:tc>
        <w:tc>
          <w:tcPr>
            <w:tcW w:w="50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31,729</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35,815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revenue per contract, excluding preneed funeral trust earnings</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5,323</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Average revenue per contract, including preneed funeral trust earnings</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5,511</w:t>
            </w:r>
          </w:p>
        </w:tc>
        <w:tc>
          <w:tcPr>
            <w:tcW w:w="180" w:type="dxa"/>
            <w:vAlign w:val="bottom"/>
          </w:tcPr>
          <w:p>
            <w:pPr>
              <w:spacing w:after="0"/>
              <w:rPr>
                <w:sz w:val="15"/>
                <w:szCs w:val="15"/>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5,207</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Burial rate</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38.1%</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Cremation rate</w:t>
            </w:r>
          </w:p>
        </w:tc>
        <w:tc>
          <w:tcPr>
            <w:tcW w:w="50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54.1%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Acquired:</w:t>
            </w: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volume</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4,559</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Average revenue per contract, excluding preneed funeral trust earnings</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6,042</w:t>
            </w:r>
          </w:p>
        </w:tc>
        <w:tc>
          <w:tcPr>
            <w:tcW w:w="180" w:type="dxa"/>
            <w:vAlign w:val="bottom"/>
          </w:tcPr>
          <w:p>
            <w:pPr>
              <w:spacing w:after="0"/>
              <w:rPr>
                <w:sz w:val="15"/>
                <w:szCs w:val="15"/>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5,148</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revenue per contract, including preneed funeral trust earnings</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6,144</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5,226</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Burial rate</w:t>
            </w:r>
          </w:p>
        </w:tc>
        <w:tc>
          <w:tcPr>
            <w:tcW w:w="50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45.4%</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Cremation rate</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47.9%</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Funeral home same store operating revenue for the year ended December 31, 2020 increased $10.9 million, compared to the year ended December 31, 2019. The increase in operating revenue is due to a 12.9% same store contract volume increase which is due to broad market share gains and increased deaths related to the COVID-19 pandemic. This increase was offset by a 5.7% decrease in average revenue per contract, excluding preneed interest, due to a 180 basis point decrease in the burial rate along with a decrease of both burial and cremation contracts with services.</w:t>
      </w:r>
    </w:p>
    <w:p>
      <w:pPr>
        <w:spacing w:after="0" w:line="2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Beginning in the latter half of March 2020, we saw a decrease in services performed due to the restrictions placed on gatherings mandated by state and local governments as the COVID-19 pandemic became more prominent and individuals began to practice social distancing to comply with applicable shelter in place and related orders. Although social distancing restrictions were gradually eased in certain jurisdictions during the latter half of 2020, these restrictions contributed to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overall decrease in the average revenue per contract in the current year. Our Managing Partners continued to show innovation by creating high value, uniquely customized personal services and sales amid challenging restrictions in local environments.</w:t>
      </w:r>
    </w:p>
    <w:p>
      <w:pPr>
        <w:spacing w:after="0" w:line="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2"/>
          <w:szCs w:val="12"/>
          <w:color w:val="auto"/>
        </w:rPr>
        <w:t>Same store operating profit for the year ended December 31, 2020 increased $9.7 million when compared to the year ended December 31, 2019 and the comparable operating profit margin increased 300 basis points to 41.6%. The increase in operating margin is primarily due to the increase in same store operating revenue along with disciplined expense and cost management by leaders at each business. Although same store operating expenses increased $1.2 million primarily due to an increase of $1.0 million in group health care costs related to higher claims experience during the current year, we experienced decreases in the majority of our other operating costs as a percentage of operating revenue for the year ended December 31, 2020 compared to the same period in 2019.</w:t>
      </w:r>
    </w:p>
    <w:p>
      <w:pPr>
        <w:spacing w:after="0" w:line="31"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Funeral home acquired operating revenue for the year ended December 31, 2020 increased $19.4 million, as our funeral home acquired portfolio for the year ended December 31, 2020 included nine funeral home businesses added in the fourth quarter of 2019 and one business added in the first quarter of 2020 not fully present in the year ended December 31, 2019.</w:t>
      </w:r>
    </w:p>
    <w:p>
      <w:pPr>
        <w:spacing w:after="0" w:line="25"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Acquired operating profit for the year ended December 31, 2020 increased $8.0 million when compared to the year ended December 31, 2019 and the comparable operating profit margin increased 130 basis points to 39.7%. The increase is primarily due to the increase in acquired operating revenue along with disciplined expense and cost management by leaders at each business.</w:t>
      </w:r>
    </w:p>
    <w:p>
      <w:pPr>
        <w:spacing w:after="0" w:line="2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Ancillary funeral services revenue, which is recorded in </w:t>
      </w:r>
      <w:r>
        <w:rPr>
          <w:rFonts w:ascii="Arial" w:cs="Arial" w:eastAsia="Arial" w:hAnsi="Arial"/>
          <w:sz w:val="14"/>
          <w:szCs w:val="14"/>
          <w:i w:val="1"/>
          <w:iCs w:val="1"/>
          <w:color w:val="auto"/>
        </w:rPr>
        <w:t>Other revenue</w:t>
      </w:r>
      <w:r>
        <w:rPr>
          <w:rFonts w:ascii="Arial" w:cs="Arial" w:eastAsia="Arial" w:hAnsi="Arial"/>
          <w:sz w:val="14"/>
          <w:szCs w:val="14"/>
          <w:color w:val="auto"/>
        </w:rPr>
        <w:t>, represents revenue from our flower shop, pet cremation business and online cremation business, which were acquired in the fourth quarter of 2019. Operating profit from our ancillary funeral service businesses for the year ended December 31, 2020, increased $0.9 million when compared to the year ended December 31, 2019, with an operating profit margin of 25.4%.</w:t>
      </w:r>
    </w:p>
    <w:p>
      <w:pPr>
        <w:spacing w:after="0" w:line="58"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4"/>
          <w:szCs w:val="14"/>
          <w:color w:val="auto"/>
        </w:rPr>
        <w:t xml:space="preserve">Preneed funeral insurance commissions and preneed funeral trust and insurance, also recorded in </w:t>
      </w:r>
      <w:r>
        <w:rPr>
          <w:rFonts w:ascii="Arial" w:cs="Arial" w:eastAsia="Arial" w:hAnsi="Arial"/>
          <w:sz w:val="14"/>
          <w:szCs w:val="14"/>
          <w:i w:val="1"/>
          <w:iCs w:val="1"/>
          <w:color w:val="auto"/>
        </w:rPr>
        <w:t>Other revenue</w:t>
      </w:r>
      <w:r>
        <w:rPr>
          <w:rFonts w:ascii="Arial" w:cs="Arial" w:eastAsia="Arial" w:hAnsi="Arial"/>
          <w:sz w:val="14"/>
          <w:szCs w:val="14"/>
          <w:color w:val="auto"/>
        </w:rPr>
        <w:t>, on a combined basis, increased $0.7 million or 8.0% for the year ended December 31, 2020 compared to the same period in 2019. The increase is primarily due to an 11.5% increase in preneed contracts maturing to atneed during the year ended December 31, 2020 compared to the same period in 2019, which triggers the recognition of trust earnings on the matured contracts. Operating profit for preneed funeral insurance commissions and preneed trust and insurance, on a combined basis, increased $0.8 million or 10.5% for the same comparative period in 2019, primarily due to the increase in revenue and reduction of preneed trust and insurance expenses.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Cemetery Segment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certain information regarding our Revenue and Operating profit from our cemetery operations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Borders>
              <w:bottom w:val="single" w:sz="8" w:color="CCEEFF"/>
            </w:tcBorders>
          </w:tcPr>
          <w:p>
            <w:pPr>
              <w:spacing w:after="0"/>
              <w:rPr>
                <w:sz w:val="13"/>
                <w:szCs w:val="13"/>
                <w:color w:val="auto"/>
              </w:rPr>
            </w:pPr>
          </w:p>
        </w:tc>
        <w:tc>
          <w:tcPr>
            <w:tcW w:w="40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Same store operating revenue</w:t>
            </w:r>
          </w:p>
        </w:tc>
        <w:tc>
          <w:tcPr>
            <w:tcW w:w="458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49,218</w:t>
            </w:r>
          </w:p>
        </w:tc>
        <w:tc>
          <w:tcPr>
            <w:tcW w:w="180" w:type="dxa"/>
            <w:vAlign w:val="bottom"/>
          </w:tcPr>
          <w:p>
            <w:pPr>
              <w:spacing w:after="0"/>
              <w:rPr>
                <w:sz w:val="15"/>
                <w:szCs w:val="15"/>
                <w:color w:val="auto"/>
              </w:rPr>
            </w:pP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51,694</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operating revenue</w:t>
            </w:r>
          </w:p>
        </w:tc>
        <w:tc>
          <w:tcPr>
            <w:tcW w:w="4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17,583</w:t>
            </w:r>
          </w:p>
        </w:tc>
        <w:tc>
          <w:tcPr>
            <w:tcW w:w="0" w:type="dxa"/>
            <w:vAlign w:val="bottom"/>
          </w:tcPr>
          <w:p>
            <w:pPr>
              <w:spacing w:after="0"/>
              <w:rPr>
                <w:sz w:val="1"/>
                <w:szCs w:val="1"/>
                <w:color w:val="auto"/>
              </w:rPr>
            </w:pP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Planned divested revenue</w:t>
            </w:r>
          </w:p>
        </w:tc>
        <w:tc>
          <w:tcPr>
            <w:tcW w:w="4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313</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Preneed cemetery trust earnings</w:t>
            </w:r>
          </w:p>
        </w:tc>
        <w:tc>
          <w:tcPr>
            <w:tcW w:w="4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9,722</w:t>
            </w:r>
          </w:p>
        </w:tc>
        <w:tc>
          <w:tcPr>
            <w:tcW w:w="0" w:type="dxa"/>
            <w:vAlign w:val="bottom"/>
          </w:tcPr>
          <w:p>
            <w:pPr>
              <w:spacing w:after="0"/>
              <w:rPr>
                <w:sz w:val="1"/>
                <w:szCs w:val="1"/>
                <w:color w:val="auto"/>
              </w:rPr>
            </w:pPr>
          </w:p>
        </w:tc>
      </w:tr>
      <w:tr>
        <w:trPr>
          <w:trHeight w:val="180"/>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Preneed cemetery finance charges</w:t>
            </w:r>
          </w:p>
        </w:tc>
        <w:tc>
          <w:tcPr>
            <w:tcW w:w="40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w:t>
            </w:r>
          </w:p>
        </w:tc>
        <w:tc>
          <w:tcPr>
            <w:tcW w:w="4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57,239</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80,310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Same store operating profit</w:t>
            </w:r>
          </w:p>
        </w:tc>
        <w:tc>
          <w:tcPr>
            <w:tcW w:w="458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17,118</w:t>
            </w:r>
          </w:p>
        </w:tc>
        <w:tc>
          <w:tcPr>
            <w:tcW w:w="180" w:type="dxa"/>
            <w:vAlign w:val="bottom"/>
          </w:tcPr>
          <w:p>
            <w:pPr>
              <w:spacing w:after="0"/>
              <w:rPr>
                <w:sz w:val="15"/>
                <w:szCs w:val="15"/>
                <w:color w:val="auto"/>
              </w:rPr>
            </w:pP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19,469</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 operating profit</w:t>
            </w:r>
          </w:p>
        </w:tc>
        <w:tc>
          <w:tcPr>
            <w:tcW w:w="4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7,128</w:t>
            </w:r>
          </w:p>
        </w:tc>
        <w:tc>
          <w:tcPr>
            <w:tcW w:w="0" w:type="dxa"/>
            <w:vAlign w:val="bottom"/>
          </w:tcPr>
          <w:p>
            <w:pPr>
              <w:spacing w:after="0"/>
              <w:rPr>
                <w:sz w:val="1"/>
                <w:szCs w:val="1"/>
                <w:color w:val="auto"/>
              </w:rPr>
            </w:pPr>
          </w:p>
        </w:tc>
      </w:tr>
      <w:tr>
        <w:trPr>
          <w:trHeight w:val="180"/>
        </w:trPr>
        <w:tc>
          <w:tcPr>
            <w:tcW w:w="3940" w:type="dxa"/>
            <w:vAlign w:val="bottom"/>
          </w:tcPr>
          <w:p>
            <w:pPr>
              <w:ind w:left="120"/>
              <w:spacing w:after="0"/>
              <w:rPr>
                <w:sz w:val="20"/>
                <w:szCs w:val="20"/>
                <w:color w:val="auto"/>
              </w:rPr>
            </w:pPr>
            <w:r>
              <w:rPr>
                <w:rFonts w:ascii="Arial" w:cs="Arial" w:eastAsia="Arial" w:hAnsi="Arial"/>
                <w:sz w:val="14"/>
                <w:szCs w:val="14"/>
                <w:color w:val="auto"/>
              </w:rPr>
              <w:t>Planned divested operating profit</w:t>
            </w:r>
          </w:p>
        </w:tc>
        <w:tc>
          <w:tcPr>
            <w:tcW w:w="4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Preneed cemetery trust operating profit</w:t>
            </w:r>
          </w:p>
        </w:tc>
        <w:tc>
          <w:tcPr>
            <w:tcW w:w="4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9,301</w:t>
            </w:r>
          </w:p>
        </w:tc>
        <w:tc>
          <w:tcPr>
            <w:tcW w:w="0" w:type="dxa"/>
            <w:vAlign w:val="bottom"/>
          </w:tcPr>
          <w:p>
            <w:pPr>
              <w:spacing w:after="0"/>
              <w:rPr>
                <w:sz w:val="1"/>
                <w:szCs w:val="1"/>
                <w:color w:val="auto"/>
              </w:rPr>
            </w:pPr>
          </w:p>
        </w:tc>
      </w:tr>
      <w:tr>
        <w:trPr>
          <w:trHeight w:val="180"/>
        </w:trPr>
        <w:tc>
          <w:tcPr>
            <w:tcW w:w="39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Preneed cemetery finance charges</w:t>
            </w:r>
          </w:p>
        </w:tc>
        <w:tc>
          <w:tcPr>
            <w:tcW w:w="40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w:t>
            </w:r>
          </w:p>
        </w:tc>
        <w:tc>
          <w:tcPr>
            <w:tcW w:w="4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24,030</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229"/>
              <w:spacing w:after="0"/>
              <w:rPr>
                <w:sz w:val="20"/>
                <w:szCs w:val="20"/>
                <w:color w:val="auto"/>
              </w:rPr>
            </w:pPr>
            <w:r>
              <w:rPr>
                <w:rFonts w:ascii="Arial" w:cs="Arial" w:eastAsia="Arial" w:hAnsi="Arial"/>
                <w:sz w:val="14"/>
                <w:szCs w:val="14"/>
                <w:color w:val="auto"/>
              </w:rPr>
              <w:t>36</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9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94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measures reflect the significant metrics over this comparative period: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3"/>
                <w:szCs w:val="13"/>
                <w:b w:val="1"/>
                <w:bCs w:val="1"/>
                <w:color w:val="auto"/>
              </w:rPr>
              <w:t>Years Ended December 31,</w:t>
            </w:r>
          </w:p>
        </w:tc>
        <w:tc>
          <w:tcPr>
            <w:tcW w:w="740" w:type="dxa"/>
            <w:vAlign w:val="bottom"/>
            <w:tcBorders>
              <w:bottom w:val="single" w:sz="8" w:color="auto"/>
            </w:tcBorders>
          </w:tcPr>
          <w:p>
            <w:pPr>
              <w:spacing w:after="0"/>
              <w:rPr>
                <w:sz w:val="14"/>
                <w:szCs w:val="14"/>
                <w:color w:val="auto"/>
              </w:rPr>
            </w:pPr>
          </w:p>
        </w:tc>
      </w:tr>
      <w:tr>
        <w:trPr>
          <w:trHeight w:val="160"/>
        </w:trPr>
        <w:tc>
          <w:tcPr>
            <w:tcW w:w="78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6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Same store:</w:t>
            </w: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Preneed revenue as a percentage of operating revenue</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61 %</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61 %</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Preneed revenue (in thousands)</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30,170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31,393</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Number of preneed interment rights sold</w:t>
            </w:r>
          </w:p>
        </w:tc>
        <w:tc>
          <w:tcPr>
            <w:tcW w:w="54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7,130</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7,096</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Atneed revenue (in thousands)</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19,048</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20,302</w:t>
            </w:r>
          </w:p>
        </w:tc>
      </w:tr>
      <w:tr>
        <w:trPr>
          <w:trHeight w:val="201"/>
        </w:trPr>
        <w:tc>
          <w:tcPr>
            <w:tcW w:w="7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w:t>
            </w: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Preneed revenue as a percentage of operating revenue</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65 %</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66 %</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Preneed revenue (in thousands)</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11,551</w:t>
            </w:r>
          </w:p>
        </w:tc>
      </w:tr>
      <w:tr>
        <w:trPr>
          <w:trHeight w:val="180"/>
        </w:trPr>
        <w:tc>
          <w:tcPr>
            <w:tcW w:w="7840" w:type="dxa"/>
            <w:vAlign w:val="bottom"/>
          </w:tcPr>
          <w:p>
            <w:pPr>
              <w:ind w:left="20"/>
              <w:spacing w:after="0"/>
              <w:rPr>
                <w:sz w:val="20"/>
                <w:szCs w:val="20"/>
                <w:color w:val="auto"/>
              </w:rPr>
            </w:pPr>
            <w:r>
              <w:rPr>
                <w:rFonts w:ascii="Arial" w:cs="Arial" w:eastAsia="Arial" w:hAnsi="Arial"/>
                <w:sz w:val="14"/>
                <w:szCs w:val="14"/>
                <w:color w:val="auto"/>
              </w:rPr>
              <w:t>Number of preneed interment rights sold</w:t>
            </w:r>
          </w:p>
        </w:tc>
        <w:tc>
          <w:tcPr>
            <w:tcW w:w="54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2,353</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Atneed revenue (in thousands)</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6,032</w:t>
            </w:r>
          </w:p>
        </w:tc>
      </w:tr>
    </w:tbl>
    <w:p>
      <w:pPr>
        <w:spacing w:after="0" w:line="148"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Cemetery same store operating revenue increased $2.5 million for the year ended December 31, 2020 compared to the year ended December 31, 2019. We experienced a $0.4 million or 1.6% increase in preneed property revenue as a result of a 3.1% increase in the average price per interment right sold, slightly offset by a 0.5% decrease in the number of interment rights sold. The decrease in the number of preneed interment rights sold was primarily due to the COVID-19 pandemic as individuals practiced social distancing to comply with applicable shelter in place and related orders in certain areas of the country, which limited our preneed sales employees from meeting with families in person. This was most evident in the second quarter of 2020 as these restrictions affected our ability to host certain annual events such as the Ching Ming festival during April and Memorial Day festivities during May. We also experienced an $0.8 million increase in preneed merchandise and service revenue due to a 22.9% increase in the deliveries of merchandise and service contracts during the year ended December 31, 2020. Cemetery same store atneed revenue, which represents 39% of our same store operating revenue, increased $1.3 million as we experienced a 10.2% increase in the number of atneed contracts due to the increased deaths related to the COVID-19 pandemic, offset by a 3.3% decrease in the average sales per contract.</w:t>
      </w:r>
    </w:p>
    <w:p>
      <w:pPr>
        <w:spacing w:after="0" w:line="55"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Cemetery same store operating profit for the year ended December 31, 2020 increased $2.4 million compared to the year ended December 31, 2019. The comparable operating profit margin increased 290 basis points to 37.7%, primarily because of disciplined expense and cost management by leaders at each business throughout the year. Operating expense as a percentage of operating revenue decreased in categories such as promotional expense, general and administrative expenses and maintenance salary expenses in the year ended December 31, 2020 compared to the same period in 2019. We saw increases in two categories as a percentage of operating revenue, allowance for credit losses due to slower payments on financed receivables particularly in the states most affected by COVID-19 and atneed commissions due to the introduction of performance-based rewards and sales incentives in the current year.</w:t>
      </w:r>
    </w:p>
    <w:p>
      <w:pPr>
        <w:spacing w:after="0" w:line="4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acquired cemetery portfolio includes two cemeteries added during the fourth quarter of 2019 and one cemetery added during the first quarter of 2020. These three cemeteries contributed $17.6 million in revenue and $7.1 million in operating profit for the year ended December 31, 2020.</w:t>
      </w:r>
    </w:p>
    <w:p>
      <w:pPr>
        <w:spacing w:after="0" w:line="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 xml:space="preserve">Preneed cemetery trust earnings and preneed cemetery finance charges, which are recorded in </w:t>
      </w:r>
      <w:r>
        <w:rPr>
          <w:rFonts w:ascii="Arial" w:cs="Arial" w:eastAsia="Arial" w:hAnsi="Arial"/>
          <w:sz w:val="14"/>
          <w:szCs w:val="14"/>
          <w:i w:val="1"/>
          <w:iCs w:val="1"/>
          <w:color w:val="auto"/>
        </w:rPr>
        <w:t>Other revenue</w:t>
      </w:r>
      <w:r>
        <w:rPr>
          <w:rFonts w:ascii="Arial" w:cs="Arial" w:eastAsia="Arial" w:hAnsi="Arial"/>
          <w:sz w:val="14"/>
          <w:szCs w:val="14"/>
          <w:color w:val="auto"/>
        </w:rPr>
        <w:t>, on a combined basis, increased $3.2 million for the year ended December 31, 2020 compared to the same period in 2019. The increase was primarily due to a $3.7 million increase in perpetual care trust fund earnings of which (1) $2.2 million was from our acquired cemeteries; (2) $0.9 million increase in earnings as a result of the execution of our trust fund repositioning strategy beginning at the height of the COVID-19 market crisis in March 2020; and (3) $0.6 million increase in realized gains. These increases were partially offset by a $0.5 million decrease in finance charge revenue. The decrease in finance charge revenue is primarily due to our enhanced preneed cemetery property sales strategy of reducing interest rates on preneed contracts.</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Operating profit for the two categories of </w:t>
      </w:r>
      <w:r>
        <w:rPr>
          <w:rFonts w:ascii="Arial" w:cs="Arial" w:eastAsia="Arial" w:hAnsi="Arial"/>
          <w:sz w:val="14"/>
          <w:szCs w:val="14"/>
          <w:i w:val="1"/>
          <w:iCs w:val="1"/>
          <w:color w:val="auto"/>
        </w:rPr>
        <w:t>Other revenue</w:t>
      </w:r>
      <w:r>
        <w:rPr>
          <w:rFonts w:ascii="Arial" w:cs="Arial" w:eastAsia="Arial" w:hAnsi="Arial"/>
          <w:sz w:val="14"/>
          <w:szCs w:val="14"/>
          <w:color w:val="auto"/>
        </w:rPr>
        <w:t>, on a combined basis, increased $3.4 million for the year ended December 31, 2020 compared to the same period in 2019, primarily due to the increase in our perpetual care trust fund earnings discussed above.</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i w:val="1"/>
          <w:iCs w:val="1"/>
          <w:color w:val="auto"/>
        </w:rPr>
        <w:t xml:space="preserve">Cemetery property amortization. </w:t>
      </w:r>
      <w:r>
        <w:rPr>
          <w:rFonts w:ascii="Arial" w:cs="Arial" w:eastAsia="Arial" w:hAnsi="Arial"/>
          <w:sz w:val="14"/>
          <w:szCs w:val="14"/>
          <w:color w:val="auto"/>
        </w:rPr>
        <w:t>Cemetery property amortization totaled $5.0 million for the year ended December 31, 2020, an increase of $1.0 million compared to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The increase in property sold due to our recently acquired cemeteries, resulted in a $1.1 million increase in amortization expense for the year ended December 31, 2020, while the amortization expense for our same store businesses decreased $0.1 million due to a decrease in property sales in the period.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i w:val="1"/>
          <w:iCs w:val="1"/>
          <w:color w:val="auto"/>
        </w:rPr>
        <w:t xml:space="preserve">Field depreciation. </w:t>
      </w:r>
      <w:r>
        <w:rPr>
          <w:rFonts w:ascii="Arial" w:cs="Arial" w:eastAsia="Arial" w:hAnsi="Arial"/>
          <w:sz w:val="13"/>
          <w:szCs w:val="13"/>
          <w:color w:val="auto"/>
        </w:rPr>
        <w:t>Depreciation expense for our field businesses totaled $13.0 million for the year ended December 31, 2020, an increase of $0.6 million compared to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2019. The increase was primarily due to additional depreciation expense from assets added as a result of our acquisitions during the fourth quarter of 2019 and first quarter of 2020.</w:t>
      </w:r>
    </w:p>
    <w:p>
      <w:pPr>
        <w:spacing w:after="0" w:line="2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i w:val="1"/>
          <w:iCs w:val="1"/>
          <w:color w:val="auto"/>
        </w:rPr>
        <w:t xml:space="preserve">Regional and unallocated funeral and cemetery costs. </w:t>
      </w:r>
      <w:r>
        <w:rPr>
          <w:rFonts w:ascii="Arial" w:cs="Arial" w:eastAsia="Arial" w:hAnsi="Arial"/>
          <w:sz w:val="14"/>
          <w:szCs w:val="14"/>
          <w:color w:val="auto"/>
        </w:rPr>
        <w:t>Regional and unallocated funeral and cemetery costs consist of salaries and benefits for regional management, field incentive</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and other related costs for field infrastructure. Regional and unallocated funeral and cemetery costs totaled $18.1 million for the year ended December 31, 2020, an increase of $4.2 million primarily due to the following: (1) a $3.6 million increase in cash incentives and equity compensation, as a result of our improved performance, which reinforces our strategy of aligning incentives with long-term value creation; (2) a $1.0 million increase in health and safety expenses due to the COVID-19 pandemic; and (3) a $0.7 million increase in salaries and benefits; offset by (4) a $1.1 million decrease in severance expense.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Financial Statement Items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i w:val="1"/>
          <w:iCs w:val="1"/>
          <w:color w:val="auto"/>
        </w:rPr>
        <w:t xml:space="preserve">General, administrative and other. </w:t>
      </w:r>
      <w:r>
        <w:rPr>
          <w:rFonts w:ascii="Arial" w:cs="Arial" w:eastAsia="Arial" w:hAnsi="Arial"/>
          <w:sz w:val="14"/>
          <w:szCs w:val="14"/>
          <w:color w:val="auto"/>
        </w:rPr>
        <w:t>General, administrative and other expenses totaled $25.8 million for the year ended December 31, 2020, a decrease of $0.1 million primarily due to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(1) a $2.0 million increase in cash incentives and equity compensation, as a result of our improved performance, which reinforces our strategy of aligning incentives with long-term value creation; and (2) a $0.2 million increase in salaries and benefits; offset by (3) a $2.3 million decrease in acquisition costs.</w:t>
      </w:r>
    </w:p>
    <w:p>
      <w:pPr>
        <w:spacing w:after="0" w:line="5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i w:val="1"/>
          <w:iCs w:val="1"/>
          <w:color w:val="auto"/>
        </w:rPr>
        <w:t xml:space="preserve">Home office depreciation and amortization. </w:t>
      </w:r>
      <w:r>
        <w:rPr>
          <w:rFonts w:ascii="Arial" w:cs="Arial" w:eastAsia="Arial" w:hAnsi="Arial"/>
          <w:sz w:val="13"/>
          <w:szCs w:val="13"/>
          <w:color w:val="auto"/>
        </w:rPr>
        <w:t>Home office depreciation and amortization expense remained flat at $1.4 million for both the years ended December 31, 2020 and 2019,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due to machinery and equipment at the home office becoming fully depreciated in the latter half of 2019, offset by additional software assets purchased during the fourth quarter of 2019.</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Net loss on divestitures and impairment charges. </w:t>
      </w:r>
      <w:r>
        <w:rPr>
          <w:rFonts w:ascii="Arial" w:cs="Arial" w:eastAsia="Arial" w:hAnsi="Arial"/>
          <w:sz w:val="14"/>
          <w:szCs w:val="14"/>
          <w:color w:val="auto"/>
        </w:rPr>
        <w:t>The components of</w:t>
      </w:r>
      <w:r>
        <w:rPr>
          <w:rFonts w:ascii="Arial" w:cs="Arial" w:eastAsia="Arial" w:hAnsi="Arial"/>
          <w:sz w:val="14"/>
          <w:szCs w:val="14"/>
          <w:i w:val="1"/>
          <w:iCs w:val="1"/>
          <w:color w:val="auto"/>
        </w:rPr>
        <w:t xml:space="preserve"> Net loss on divestitures and impairment charges </w:t>
      </w:r>
      <w:r>
        <w:rPr>
          <w:rFonts w:ascii="Arial" w:cs="Arial" w:eastAsia="Arial" w:hAnsi="Arial"/>
          <w:sz w:val="14"/>
          <w:szCs w:val="14"/>
          <w:color w:val="auto"/>
        </w:rPr>
        <w:t>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3"/>
                <w:szCs w:val="13"/>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impairment</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(13,632)</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Tradenames impairment</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(1,061)</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on divestitures</w:t>
            </w:r>
          </w:p>
        </w:tc>
        <w:tc>
          <w:tcPr>
            <w:tcW w:w="5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(6,749)</w:t>
            </w:r>
          </w:p>
        </w:tc>
      </w:tr>
      <w:tr>
        <w:trPr>
          <w:trHeight w:val="171"/>
        </w:trPr>
        <w:tc>
          <w:tcPr>
            <w:tcW w:w="8020" w:type="dxa"/>
            <w:vAlign w:val="bottom"/>
          </w:tcPr>
          <w:p>
            <w:pPr>
              <w:ind w:left="20"/>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(4,846)</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(21,442)</w:t>
            </w:r>
          </w:p>
        </w:tc>
      </w:tr>
      <w:tr>
        <w:trPr>
          <w:trHeight w:val="20"/>
        </w:trPr>
        <w:tc>
          <w:tcPr>
            <w:tcW w:w="8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As a result of economic conditions caused by COVID-19, we performed a quantitative assessment of our goodwill and tradenames at March 31, 2020. We recorded an impairment for goodwill of $13.6 million as the carrying amount of our funeral homes in the Eastern Region Reporting Unit exceeded the fair value and we recorded an impairment for certain of our tradenames of $1.1 million as the carrying amount of these tradenames exceeded the fair value. In addition, we divested eight funeral homes at a net loss of $6.7 million.</w:t>
      </w:r>
    </w:p>
    <w:p>
      <w:pPr>
        <w:spacing w:after="0" w:line="4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During 2019, we recorded a goodwill impairment of $0.7 million related to two funeral homes that we divested. During 2019, we recorded an impairment to tradenames of $0.2 million as a result of our 2019 annual impairment test as the carrying amount of certain tradenames exceeded the fair value. In addition, we divested three funeral homes whose building leases expired and sold a funeral home at a net loss of $3.9 million.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Interest expense related to its respective debt arrangement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22,343</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27,087</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Credit Facility</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4,220</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debt</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25,522</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Accretion of discount on convertible subordinated notes</w:t>
      </w:r>
      <w:r>
        <w:rPr>
          <w:rFonts w:ascii="Arial" w:cs="Arial" w:eastAsia="Arial" w:hAnsi="Arial"/>
          <w:sz w:val="13"/>
          <w:szCs w:val="13"/>
          <w:color w:val="auto"/>
        </w:rPr>
        <w:t>. We recognized accretion of the discount on our Convertible Notes of $0.2 million for both years ended December 31, 2020, and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Other, net. </w:t>
      </w:r>
      <w:r>
        <w:rPr>
          <w:rFonts w:ascii="Arial" w:cs="Arial" w:eastAsia="Arial" w:hAnsi="Arial"/>
          <w:sz w:val="14"/>
          <w:szCs w:val="14"/>
          <w:color w:val="auto"/>
        </w:rPr>
        <w:t>The components of</w:t>
      </w:r>
      <w:r>
        <w:rPr>
          <w:rFonts w:ascii="Arial" w:cs="Arial" w:eastAsia="Arial" w:hAnsi="Arial"/>
          <w:sz w:val="14"/>
          <w:szCs w:val="14"/>
          <w:i w:val="1"/>
          <w:iCs w:val="1"/>
          <w:color w:val="auto"/>
        </w:rPr>
        <w:t xml:space="preserve"> Other, net </w:t>
      </w:r>
      <w:r>
        <w:rPr>
          <w:rFonts w:ascii="Arial" w:cs="Arial" w:eastAsia="Arial" w:hAnsi="Arial"/>
          <w:sz w:val="14"/>
          <w:szCs w:val="14"/>
          <w:color w:val="auto"/>
        </w:rPr>
        <w:t>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3"/>
                <w:szCs w:val="13"/>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r>
      <w:tr>
        <w:trPr>
          <w:trHeight w:val="160"/>
        </w:trPr>
        <w:tc>
          <w:tcPr>
            <w:tcW w:w="79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insurance reimbursements related to Hurricane Michael</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0"/>
        </w:trPr>
        <w:tc>
          <w:tcPr>
            <w:tcW w:w="79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loss</w:t>
            </w:r>
          </w:p>
        </w:tc>
        <w:tc>
          <w:tcPr>
            <w:tcW w:w="5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7980" w:type="dxa"/>
            <w:vAlign w:val="bottom"/>
          </w:tcPr>
          <w:p>
            <w:pPr>
              <w:ind w:left="20"/>
              <w:spacing w:after="0"/>
              <w:rPr>
                <w:sz w:val="20"/>
                <w:szCs w:val="20"/>
                <w:color w:val="auto"/>
              </w:rPr>
            </w:pPr>
            <w:r>
              <w:rPr>
                <w:rFonts w:ascii="Arial" w:cs="Arial" w:eastAsia="Arial" w:hAnsi="Arial"/>
                <w:sz w:val="14"/>
                <w:szCs w:val="14"/>
                <w:color w:val="auto"/>
              </w:rPr>
              <w:t>Total</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2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w:t>
            </w: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Our income tax provision was $8.6 million for the year ended December 31, 2020, compared to our income tax provision of $7.9 million for the year ended December 31, 2019.</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Our operating tax rate before discrete items was 32.4% and 33.0% for the years ended December 31, 2020 and 2019, respectively.</w:t>
      </w:r>
    </w:p>
    <w:p>
      <w:pPr>
        <w:spacing w:after="0" w:line="83"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During the year ended December 31, 2020, we recorded tax expense of $0.8 million related to divested businesses. We also recorded discrete tax expense of $0.6 million and $0.5 million for the years ended December 31, 2020 and 2019, respectively. Discrete tax expense for the year ended December 31, 2020 includes expense related to equity compensation and other adjustments including return to provision analysis and state legislative changes. Our effective tax rate was 34.7% and 35.1% for years ended December 31, 2020 and 2019, respectively.</w:t>
      </w:r>
    </w:p>
    <w:p>
      <w:pPr>
        <w:spacing w:after="0" w:line="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3"/>
          <w:szCs w:val="13"/>
          <w:color w:val="auto"/>
        </w:rPr>
        <w:t>In connection with the CARES Act, we filed a claim for a refund on June 30, 2020, to carryback the net operating losses (“NOLs”) generated in the tax year ended December 31, 2018. The refund claim for $7.0 million from the 2018 tax year was received on August 7, 2020. An additional carryback claim for a refund of $1.2 million was filed on November 3, 2020 for the tax year ended December 31, 2019. The refund from this filing has not yet been received. The majority of the NOLs generated in tax year 2018 and 2019 are the result of filing non-automatic accounting method changes relating to the recognition of revenue from our cemetery property and merchandise and services sales. Due to the uncertainty of the timing of receiving Internal Revenue Service approval of the method change applications, a reserve has been recorded against the net cash tax benefit derived from carrying back the NOLs generated to tax years in which the enacted federal rate was 35%. The Company’s unrecognized tax benefit reserve for the years ended December 31, 2020 and 2019 were $3.7 million and $0.7 million, respectively.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17 for additional information regarding income taxes.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OF CRITICAL ACCOUNTING POLICIES AND ESTIMATES</w:t>
      </w:r>
    </w:p>
    <w:p>
      <w:pPr>
        <w:spacing w:after="0" w:line="9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3"/>
          <w:szCs w:val="13"/>
          <w:color w:val="auto"/>
        </w:rPr>
        <w:t>The preparation of the Consolidated Financial Statements requires us to make estimates and judgments that affect the reported amounts of assets, liabilities, revenue and expenses. On an ongoing basis, we evaluate estimates and judgments, including those related to revenue recognition, realization of accounts receivable, inventories, goodwill, other intangible assets, property and equipment and deferred tax assets and liabilities. We base our estimates on historical experience, third 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year to year.</w:t>
      </w:r>
    </w:p>
    <w:p>
      <w:pPr>
        <w:spacing w:after="0" w:line="51"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“Management's Discussion and Analysis of Financial Condition and Results of Operations” (“MD&amp;A”) is based upon our Consolidated Financial Statements presented herewith, which have been prepared in accordance with United States GAAP. Our critical accounting policies are more fully described in Part II, Item 8, Financial Statements and Supplementary Data, Note 1. We believe the following critical accounting policies affect our more significant judgments and estimates used in the preparation of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9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Sales taxes collected are recognized on a net basis on our Consolidated Financial Statements. On our atneed contracts, we generally deliver the merchandise and perform the services at the time of need.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4"/>
          <w:szCs w:val="14"/>
          <w:i w:val="1"/>
          <w:iCs w:val="1"/>
          <w:color w:val="auto"/>
        </w:rPr>
        <w:t>Revenue</w:t>
      </w:r>
      <w:r>
        <w:rPr>
          <w:rFonts w:ascii="Arial" w:cs="Arial" w:eastAsia="Arial" w:hAnsi="Arial"/>
          <w:sz w:val="14"/>
          <w:szCs w:val="14"/>
          <w:color w:val="auto"/>
        </w:rPr>
        <w:t>. We recognize revenue when the merchandise is transferred or the service is performed, in satisfaction of the corresponding performance obligation. Sales taxes collected are recognized on a net basis on our Consolidated Financial Statements.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21 for additional information related to revenue.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9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4"/>
          <w:szCs w:val="14"/>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7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w:t>
      </w:r>
    </w:p>
    <w:p>
      <w:pPr>
        <w:spacing w:after="0" w:line="48"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3"/>
          <w:szCs w:val="13"/>
          <w:color w:val="auto"/>
        </w:rPr>
        <w:t>Our quantitative goodwill impairment test involves estimates and management judgment. In the quantitative analysis, we compare the fair value of each reporting unit to its carrying value, including goodwill. We determine fair value for each reporting unit using both an income approach, weighted 90%, and a market approach, weighted 10%. Our methodology for determining an income-based fair value is based on discounting projected future cash flows. The discounted cash flow valuation uses projections of future cash flows and includes assumptions concerning future operating performance and economic conditions that may differ from actual future cash flows.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51"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As a result of economic conditions caused by COVID-19, we performed a quantitative assessment of our goodwill at March 31, 2020 and we recorded an impairment to goodwill of $13.6 million during the quarter ended March 31, 2020, as the carrying amount of our funeral homes in the Eastern Region Reporting Unit exceeded the fair value.</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our 2020 annual impairment test, we performed a qualitative assessment and determined that there were no factors that would indicate the need to perform an additional quantitative goodwill impairment test. We concluded that it is more-likely-than not that the fair value of our reporting units is greater than their carrying value and thus there was no additional impairment to goodwill.</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When we divest a portion of a reporting unit that constitutes a business in accordance with U.S. GAAP, we allocate goodwill associated with that business to be included in the gain or loss on divestiture. When divesting a business, goodwill is allocated based on the relative fair values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4 for additional information related to goodwill.</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Intangible Assets</w:t>
      </w:r>
    </w:p>
    <w:p>
      <w:pPr>
        <w:spacing w:after="0" w:line="9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4"/>
          <w:szCs w:val="14"/>
          <w:color w:val="auto"/>
        </w:rPr>
        <w:t xml:space="preserve">Our intangible assets include tradenames resulting from acquisitions and are included in </w:t>
      </w:r>
      <w:r>
        <w:rPr>
          <w:rFonts w:ascii="Arial" w:cs="Arial" w:eastAsia="Arial" w:hAnsi="Arial"/>
          <w:sz w:val="14"/>
          <w:szCs w:val="14"/>
          <w:i w:val="1"/>
          <w:iCs w:val="1"/>
          <w:color w:val="auto"/>
        </w:rPr>
        <w:t>Intangible and other non-current assets, net</w:t>
      </w:r>
      <w:r>
        <w:rPr>
          <w:rFonts w:ascii="Arial" w:cs="Arial" w:eastAsia="Arial" w:hAnsi="Arial"/>
          <w:sz w:val="14"/>
          <w:szCs w:val="14"/>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75"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Our intent is to perform a quantitative impairment test at least once every three years and perform a qualitative assessment during the remaining two years. In addition to our annual test, we assess the impairment of intangible assets whenever certain events or changes in circumstances indicate that the carrying value of the intangible asset may be greater than the fair value.</w:t>
      </w:r>
    </w:p>
    <w:p>
      <w:pPr>
        <w:spacing w:after="0" w:line="25"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flows that represent a savings in lieu of paying a royalty fee for use of the tradename. In accordance with the guidance, if the fair value of the tradename is less than its carrying amount, then an impairment charge is recorded in an amount equal to the difference.</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As a result of economic conditions caused by COVID-19, we performed a quantitative assessment of our tradenames at March 31, 2020 and we recorded an impairment to tradenames for certain of our funeral homes of $1.1 million during the quarter ended March 31, 2020 as the carrying amount of these tradenames exceeded the fair value.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w:t>
      </w:r>
    </w:p>
    <w:p>
      <w:pPr>
        <w:spacing w:after="0" w:line="6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our 2020 annual impairment test, we performed a qualitative assessment and determined that there were no factors that would indicate the need to perform an additional quantitative impairment test. We concluded that it is more-likely-than not that the fair value of our intangible assets is greater than its carrying value and thus there was no additional impairment to our intangible assets.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11 for additional information related to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Funeral and Cemetery Receivables</w:t>
      </w:r>
    </w:p>
    <w:p>
      <w:pPr>
        <w:spacing w:after="0" w:line="9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 xml:space="preserve">Our funeral receivables are recorded in </w:t>
      </w:r>
      <w:r>
        <w:rPr>
          <w:rFonts w:ascii="Arial" w:cs="Arial" w:eastAsia="Arial" w:hAnsi="Arial"/>
          <w:sz w:val="13"/>
          <w:szCs w:val="13"/>
          <w:i w:val="1"/>
          <w:iCs w:val="1"/>
          <w:color w:val="auto"/>
        </w:rPr>
        <w:t>Accounts receivable, net</w:t>
      </w:r>
      <w:r>
        <w:rPr>
          <w:rFonts w:ascii="Arial" w:cs="Arial" w:eastAsia="Arial" w:hAnsi="Arial"/>
          <w:sz w:val="13"/>
          <w:szCs w:val="13"/>
          <w:color w:val="auto"/>
        </w:rPr>
        <w:t xml:space="preserve"> and primarily consist of amounts due for funeral services already performed.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3"/>
          <w:szCs w:val="13"/>
          <w:i w:val="1"/>
          <w:iCs w:val="1"/>
          <w:color w:val="auto"/>
        </w:rPr>
        <w:t>Other revenue</w:t>
      </w:r>
      <w:r>
        <w:rPr>
          <w:rFonts w:ascii="Arial" w:cs="Arial" w:eastAsia="Arial" w:hAnsi="Arial"/>
          <w:sz w:val="13"/>
          <w:szCs w:val="13"/>
          <w:color w:val="auto"/>
        </w:rPr>
        <w:t xml:space="preserve">. In substantially all cases, we receive an initial down payment at the time the contract is signed. Atneed cemetery receivables and preneed cemetery receivables with payments expected to be received within one year from the balance sheet date are recorded in </w:t>
      </w:r>
      <w:r>
        <w:rPr>
          <w:rFonts w:ascii="Arial" w:cs="Arial" w:eastAsia="Arial" w:hAnsi="Arial"/>
          <w:sz w:val="13"/>
          <w:szCs w:val="13"/>
          <w:i w:val="1"/>
          <w:iCs w:val="1"/>
          <w:color w:val="auto"/>
        </w:rPr>
        <w:t>Accounts receivable, net.</w:t>
      </w:r>
      <w:r>
        <w:rPr>
          <w:rFonts w:ascii="Arial" w:cs="Arial" w:eastAsia="Arial" w:hAnsi="Arial"/>
          <w:sz w:val="13"/>
          <w:szCs w:val="13"/>
          <w:color w:val="auto"/>
        </w:rPr>
        <w:t xml:space="preserve"> Preneed cemetery receivables with payments expected to be received beyond one year from the balance sheet date are recorded in </w:t>
      </w:r>
      <w:r>
        <w:rPr>
          <w:rFonts w:ascii="Arial" w:cs="Arial" w:eastAsia="Arial" w:hAnsi="Arial"/>
          <w:sz w:val="13"/>
          <w:szCs w:val="13"/>
          <w:i w:val="1"/>
          <w:iCs w:val="1"/>
          <w:color w:val="auto"/>
        </w:rPr>
        <w:t>Preneed cemetery receivables, net.</w:t>
      </w:r>
    </w:p>
    <w:p>
      <w:pPr>
        <w:spacing w:after="0" w:line="4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 xml:space="preserve">In June 2016, the Financial Accounting Standards Board (“FASB”) issued Accounting Standards Update (“ASU”), </w:t>
      </w:r>
      <w:r>
        <w:rPr>
          <w:rFonts w:ascii="Arial" w:cs="Arial" w:eastAsia="Arial" w:hAnsi="Arial"/>
          <w:sz w:val="14"/>
          <w:szCs w:val="14"/>
          <w:i w:val="1"/>
          <w:iCs w:val="1"/>
          <w:color w:val="auto"/>
        </w:rPr>
        <w:t>Financial Instruments – Credit Losses: Measurement of Credit Losses 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Instruments </w:t>
      </w:r>
      <w:r>
        <w:rPr>
          <w:rFonts w:ascii="Arial" w:cs="Arial" w:eastAsia="Arial" w:hAnsi="Arial"/>
          <w:sz w:val="14"/>
          <w:szCs w:val="14"/>
          <w:color w:val="auto"/>
        </w:rPr>
        <w:t>and subsequent amendments collectively known as (“Topic 326”). Topic 326 applies to all entities holding financial assets measured at amortized cost, including loans, trade</w:t>
      </w:r>
      <w:r>
        <w:rPr>
          <w:rFonts w:ascii="Arial" w:cs="Arial" w:eastAsia="Arial" w:hAnsi="Arial"/>
          <w:sz w:val="14"/>
          <w:szCs w:val="14"/>
          <w:i w:val="1"/>
          <w:iCs w:val="1"/>
          <w:color w:val="auto"/>
        </w:rPr>
        <w:t xml:space="preserve"> </w:t>
      </w:r>
      <w:r>
        <w:rPr>
          <w:rFonts w:ascii="Arial" w:cs="Arial" w:eastAsia="Arial" w:hAnsi="Arial"/>
          <w:sz w:val="14"/>
          <w:szCs w:val="14"/>
          <w:color w:val="auto"/>
        </w:rPr>
        <w:t>and financed receivables and other financial instruments. The guidance introduces a new credit reserving model known as Current Expected Credit Loss (“CECL”), which requires earlier recognition of credit losses, while also providing additional transparency about credit risk. The CECL model requires all expected credit losses to be measured based on historical experience, current conditions and reasonable and supportable forecasts about collectability. Prior to adoption of Topic 326, we provided allowances for bad debt and contract cancellations on our receivables based on an analysis of historical trends of collection activity.</w:t>
      </w:r>
    </w:p>
    <w:p>
      <w:pPr>
        <w:spacing w:after="0" w:line="6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For both funeral and cemetery receivables, 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any change in our historical write-off of receivables utilized in our loss-rate methodology and assess forecasted changes in market conditions within our credit reserve.</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6 for additional information related to funeral and cemetery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9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4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3 for additional information related to business combinations.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Divested Operations</w:t>
      </w:r>
    </w:p>
    <w:p>
      <w:pPr>
        <w:spacing w:after="0" w:line="9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a set is not a business if substantially all of the fair value of the gross assets sold resides in a single asset or group of similar assets. If the screen is not met then we evaluate whether the set has both inputs and a substantive process that together significantly contribute to the ability to create outputs. When both inputs and a substantive process are present then the set is determined to be a business and we apply the guidance in ASC 350 – Intangibles – Goodwill and Other to determine the accounting treatment of goodwill for that set (see discussion of Goodwill below). Goodwill is not allocated to the sale if the set is not considered to be a business.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5 for additional information related to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Preneed and Perpetual Care Trust Funds</w:t>
      </w:r>
    </w:p>
    <w:p>
      <w:pPr>
        <w:spacing w:after="0" w:line="93"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2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4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 xml:space="preserve">Our trust fund assets are reflected in our financial statements as </w:t>
      </w:r>
      <w:r>
        <w:rPr>
          <w:rFonts w:ascii="Arial" w:cs="Arial" w:eastAsia="Arial" w:hAnsi="Arial"/>
          <w:sz w:val="13"/>
          <w:szCs w:val="13"/>
          <w:i w:val="1"/>
          <w:iCs w:val="1"/>
          <w:color w:val="auto"/>
        </w:rPr>
        <w:t>Preneed cemetery trust investments, Preneed funeral trust investments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Cemetery perpetual care trust investments.</w:t>
      </w:r>
      <w:r>
        <w:rPr>
          <w:rFonts w:ascii="Arial" w:cs="Arial" w:eastAsia="Arial" w:hAnsi="Arial"/>
          <w:sz w:val="13"/>
          <w:szCs w:val="13"/>
          <w:color w:val="auto"/>
        </w:rPr>
        <w:t xml:space="preserve"> We have recognized financial interests of third parties in the trust funds in our financial statements as </w:t>
      </w:r>
      <w:r>
        <w:rPr>
          <w:rFonts w:ascii="Arial" w:cs="Arial" w:eastAsia="Arial" w:hAnsi="Arial"/>
          <w:sz w:val="13"/>
          <w:szCs w:val="13"/>
          <w:i w:val="1"/>
          <w:iCs w:val="1"/>
          <w:color w:val="auto"/>
        </w:rPr>
        <w:t>Deferred preneed funeral and cemetery receipts held in trust</w:t>
      </w:r>
      <w:r>
        <w:rPr>
          <w:rFonts w:ascii="Arial" w:cs="Arial" w:eastAsia="Arial" w:hAnsi="Arial"/>
          <w:sz w:val="13"/>
          <w:szCs w:val="13"/>
          <w:color w:val="auto"/>
        </w:rPr>
        <w:t xml:space="preserve"> and </w:t>
      </w:r>
      <w:r>
        <w:rPr>
          <w:rFonts w:ascii="Arial" w:cs="Arial" w:eastAsia="Arial" w:hAnsi="Arial"/>
          <w:sz w:val="13"/>
          <w:szCs w:val="13"/>
          <w:i w:val="1"/>
          <w:iCs w:val="1"/>
          <w:color w:val="auto"/>
        </w:rPr>
        <w:t>Care trusts’ corpus</w:t>
      </w:r>
      <w:r>
        <w:rPr>
          <w:rFonts w:ascii="Arial" w:cs="Arial" w:eastAsia="Arial" w:hAnsi="Arial"/>
          <w:sz w:val="13"/>
          <w:szCs w:val="13"/>
          <w:color w:val="auto"/>
        </w:rPr>
        <w:t>.</w:t>
      </w:r>
    </w:p>
    <w:p>
      <w:pPr>
        <w:spacing w:after="0" w:line="2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fair value of our trust fund assets are accounted for as Collateralized Financing Entities (“CFEs”) in ASC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4"/>
          <w:szCs w:val="14"/>
          <w:color w:val="auto"/>
        </w:rPr>
        <w:t>Topic 326 made changes to the accounting for fixed income securities. One such change is to require credit losses to be presented as an allowance rather than as a write-down on fixed income securities management does not intend to sell or believes that it is more likely than not will be required to sell.</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7 for additional related disclosures related to preneed and perpetual trust funds.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Measurements</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measure the securities held by our funeral merchandise and service, cemetery merchandise and service, and cemetery perpetual care trusts at fair value on a recurring basis in accordance with the Fair Value Measurements Topic of the ASC.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31" w:lineRule="exact"/>
        <w:rPr>
          <w:sz w:val="20"/>
          <w:szCs w:val="20"/>
          <w:color w:val="auto"/>
        </w:rPr>
      </w:pPr>
    </w:p>
    <w:p>
      <w:pPr>
        <w:ind w:left="5580" w:right="3420" w:hanging="5067"/>
        <w:spacing w:after="0" w:line="927" w:lineRule="auto"/>
        <w:tabs>
          <w:tab w:leader="none" w:pos="6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Level 1 — inputs to the valuation methodology are quoted prices (unadjusted) for identical assets or liabilities in active markets;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7162165"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6" w:lineRule="exact"/>
        <w:rPr>
          <w:sz w:val="20"/>
          <w:szCs w:val="20"/>
          <w:color w:val="auto"/>
        </w:rPr>
      </w:pPr>
    </w:p>
    <w:p>
      <w:pPr>
        <w:ind w:left="520" w:hanging="7"/>
        <w:spacing w:after="0" w:line="280" w:lineRule="auto"/>
        <w:tabs>
          <w:tab w:leader="none" w:pos="608"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Level 2 — inputs to the valuation methodology include quoted prices for similar assets or liabilities in active markets, and inputs that are observable for the asset or liability, either directly or indirectly, for substantially the full term of the financial instrument; and</w:t>
      </w:r>
    </w:p>
    <w:p>
      <w:pPr>
        <w:spacing w:after="0" w:line="26" w:lineRule="exact"/>
        <w:rPr>
          <w:rFonts w:ascii="Arial" w:cs="Arial" w:eastAsia="Arial" w:hAnsi="Arial"/>
          <w:sz w:val="14"/>
          <w:szCs w:val="14"/>
          <w:color w:val="auto"/>
        </w:rPr>
      </w:pPr>
    </w:p>
    <w:p>
      <w:pPr>
        <w:ind w:left="520" w:hanging="7"/>
        <w:spacing w:after="0" w:line="280" w:lineRule="auto"/>
        <w:tabs>
          <w:tab w:leader="none" w:pos="615"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Level 3 — inputs to the valuation methodology are unobservable and significant to the fair value measurement. We currently do not have any assets that have fair values determined by Level 3 inputs and no liabilities measured at fair value.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Notes 7 and 10 for additional information related to fair value measurements.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Long-Lived Assets</w:t>
      </w:r>
    </w:p>
    <w:p>
      <w:pPr>
        <w:spacing w:after="0" w:line="93"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Long-lived assets, such as property, plant and equipment and right-of-use assets are reviewed for impairment at least annually or whenever events or changes in circumstances indicate that the carrying amount of an asset may not be recoverable in accordance with ASC 360 – Property, Plant and Equipment. This guidance requires that long-lived assets to be held and used are reported at the lower of their carrying amount or fair value. We assess long-lived assets for impairment whenever events or circumstances indicate that the carrying value may be greater than the fair value. We evaluate our long-lived assets for impairment when a funeral home or cemetery business has negative earnings before interest, taxes, depreciation and amortization (“EBITDA”) for four consecutive years and if there has been a decline in EBITDA in that same period. We review our long-lived assets deemed held-for-sale to the point of recoverability. Assets to be disposed of and assets not expected to provide any future service potential are recorded at the lower of their carrying amount or fair value less estimated cost to sell. If we determine that the carrying value is not recoverable from the proceeds of the sale, we record an impairment at that time.</w:t>
      </w:r>
    </w:p>
    <w:p>
      <w:pPr>
        <w:spacing w:after="0" w:line="6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In connection with the goodwill impairment recorded for the Eastern Region Reporting Unit during the quarter ended March 31, 2020, we also evaluated the long-lived assets of our funeral homes in the Eastern Region Reporting Unit and concluded that there was no impairment to our long-lived assets. Subsequent to our impairment tests performed at March 31, 2020, we did not identify any new factors or events that would trigger us to perform an additional assessment of our long-lived assets. For our 2020 annual impairment test, no impairment was identified on our long-lived assets at December 31, 2020.</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1 for additional information related to long-lived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and our subsidiaries file a consolidated U. S. federal income tax return, separate income tax returns in 15 states and combined or unitary income tax returns in 14 states. We record deferred taxes for temporary differences between the tax basis and financial reporting basis of assets and liabilities. We classify our deferred tax liabilities and assets as non-current on our Consolidated Balance Sheet.</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Part II, Item 8, Financial Statements and Supplementary Data, Note 17 for additional information related to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ACCOUNTING CHANGES AND OTHER REGULATIONS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discussion of recent accounting pronouncements and accounting changes, see Note 2 in Part II, Item 8. Financial Statements and Supplementary Data.</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business can be affected by seasonal fluctuations in the death rate. Generally, the number of deaths is higher during the winter months because the incidences of death from influenza and pneumonia are higher during this period than other periods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Inflation has not had a material impact on our results of operations over the last three fiscal years.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7A.</w:t>
        <w:tab/>
        <w:t>QUANTITATIVE AND QUALITATIVE DISCLOSURES ABOUT MARKET RISK.</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following quantitative and qualitative information is provided about financial instruments to which we are a party at December 31, 2020 and from which we may incur future gains or losses from changes in market conditions. We do not enter into derivative or other financial instruments for speculative or trading purposes.</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information about our market-sensitive financial instruments constitutes a “forward-looking statement.”</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December 31, 2020 are presented in Part II, Item 8, Financial Statements and Supplementary Data, Note 7. The sensitivity of the fixed income securities is such that a 0.25% change in interest rates causes an approximate 1.45% change in the value of the fixed income securities.</w:t>
      </w:r>
    </w:p>
    <w:p>
      <w:pPr>
        <w:spacing w:after="0" w:line="6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2"/>
          <w:szCs w:val="12"/>
          <w:color w:val="auto"/>
        </w:rPr>
        <w:t>We monitor current and forecasted interest rate risk in the ordinary course of business and seek to maintain optimal financial flexibility, quality and solvency. As of December 31, 2020, we had outstanding borrowings under the Credit Facility of $47.2 million. Any further borrowings or voluntary prepayments against the Credit Facility or any change in the floating rate would cause a change in interest expense. We have the option to pay interest under our Credit Facility at either the prime rate or the LIBOR rate plus a margin. At December 31, 2020, the prime rate margin was equivalent to 1.50% and the LIBOR rate margin was 2.50%. Assuming the outstanding balance remains unchanged, a change of 100 basis points in our borrowing rate would result in a change in income before taxes of $0.5 million. We have not entered into interest rate hedging arrangements in the past. Management continually evaluates the cost and potential benefits of interest rate hedging arrangements.</w:t>
      </w:r>
    </w:p>
    <w:p>
      <w:pPr>
        <w:spacing w:after="0" w:line="35"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Our Convertible Notes bear interest at the fixed annual rate of 2.75%. The Convertible Notes do not contain a call feature. At December 31, 2020, the carrying value of the Convertible Notes on our Consolidated Balance Sheet was $2.5 million and the fair value of the Convertible Notes was $3.7 million based on the last traded or broker quoted price, as reported by the Financial Industry Regulatory Authority, Inc. (“FINRA).” Increases in market interest rates may cause the value of the Convertible Notes to decrease, but such changes will not affect our interest costs.</w:t>
      </w:r>
    </w:p>
    <w:p>
      <w:pPr>
        <w:spacing w:after="0" w:line="4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Our Senior Notes bear interest at the fixed annual rate of 6.625%. 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governing the Senior Notes, plus accrued and unpaid interest, if any, to the date of redemption. At December 31, 2020, the carrying value of the Senior Notes on our Consolidated Balance Sheet was $396.0 million and the fair value of the Senior Notes was $427.9 million based on the last traded or broker quoted price as reported by FINRA. Increases in market interest rates may cause the value of the Senior Notes to decrease, but such changes will not affect our interest costs.</w:t>
      </w:r>
    </w:p>
    <w:p>
      <w:pPr>
        <w:spacing w:after="0" w:line="4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8.</w:t>
        <w:tab/>
        <w:t>FINANCIAL STATEMENTS AND SUPPLEMENTARY DATA.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660" w:type="dxa"/>
            <w:vAlign w:val="bottom"/>
          </w:tcPr>
          <w:p>
            <w:pPr>
              <w:spacing w:after="0"/>
              <w:rPr>
                <w:sz w:val="12"/>
                <w:szCs w:val="12"/>
                <w:color w:val="auto"/>
              </w:rPr>
            </w:pPr>
          </w:p>
        </w:tc>
        <w:tc>
          <w:tcPr>
            <w:tcW w:w="620" w:type="dxa"/>
            <w:vAlign w:val="bottom"/>
            <w:gridSpan w:val="2"/>
          </w:tcPr>
          <w:p>
            <w:pPr>
              <w:ind w:left="180"/>
              <w:spacing w:after="0"/>
              <w:rPr>
                <w:sz w:val="20"/>
                <w:szCs w:val="20"/>
                <w:color w:val="auto"/>
              </w:rPr>
            </w:pPr>
            <w:r>
              <w:rPr>
                <w:rFonts w:ascii="Arial" w:cs="Arial" w:eastAsia="Arial" w:hAnsi="Arial"/>
                <w:sz w:val="11"/>
                <w:szCs w:val="11"/>
                <w:b w:val="1"/>
                <w:bCs w:val="1"/>
                <w:color w:val="auto"/>
              </w:rPr>
              <w:t>Page</w:t>
            </w:r>
          </w:p>
        </w:tc>
      </w:tr>
      <w:tr>
        <w:trPr>
          <w:trHeight w:val="168"/>
        </w:trPr>
        <w:tc>
          <w:tcPr>
            <w:tcW w:w="10660" w:type="dxa"/>
            <w:vAlign w:val="bottom"/>
          </w:tcPr>
          <w:p>
            <w:pPr>
              <w:ind w:left="20"/>
              <w:spacing w:after="0"/>
              <w:rPr>
                <w:sz w:val="20"/>
                <w:szCs w:val="20"/>
                <w:color w:val="auto"/>
              </w:rPr>
            </w:pPr>
            <w:r>
              <w:rPr>
                <w:rFonts w:ascii="Arial" w:cs="Arial" w:eastAsia="Arial" w:hAnsi="Arial"/>
                <w:sz w:val="14"/>
                <w:szCs w:val="14"/>
                <w:color w:val="auto"/>
              </w:rPr>
              <w:t>CONSOLIDATED FINANCIAL STATEMENTS:</w:t>
            </w: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97"/>
        </w:trPr>
        <w:tc>
          <w:tcPr>
            <w:tcW w:w="10660" w:type="dxa"/>
            <w:vAlign w:val="bottom"/>
          </w:tcPr>
          <w:p>
            <w:pPr>
              <w:ind w:left="280"/>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Reports of Independent Registered Public Accounting Firm</w:t>
              </w:r>
            </w:hyperlink>
          </w:p>
        </w:tc>
        <w:tc>
          <w:tcPr>
            <w:tcW w:w="600" w:type="dxa"/>
            <w:vAlign w:val="bottom"/>
          </w:tcPr>
          <w:p>
            <w:pPr>
              <w:jc w:val="right"/>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46</w:t>
              </w:r>
            </w:hyperlink>
          </w:p>
        </w:tc>
        <w:tc>
          <w:tcPr>
            <w:tcW w:w="20" w:type="dxa"/>
            <w:vAlign w:val="bottom"/>
          </w:tcPr>
          <w:p>
            <w:pPr>
              <w:spacing w:after="0"/>
              <w:rPr>
                <w:sz w:val="24"/>
                <w:szCs w:val="24"/>
                <w:color w:val="auto"/>
              </w:rPr>
            </w:pPr>
          </w:p>
        </w:tc>
      </w:tr>
      <w:tr>
        <w:trPr>
          <w:trHeight w:val="297"/>
        </w:trPr>
        <w:tc>
          <w:tcPr>
            <w:tcW w:w="10660" w:type="dxa"/>
            <w:vAlign w:val="bottom"/>
          </w:tcPr>
          <w:p>
            <w:pPr>
              <w:ind w:left="280"/>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Consolidated Balance Sheet as of December 31, 2019 and 2020</w:t>
              </w:r>
            </w:hyperlink>
          </w:p>
        </w:tc>
        <w:tc>
          <w:tcPr>
            <w:tcW w:w="600" w:type="dxa"/>
            <w:vAlign w:val="bottom"/>
          </w:tcPr>
          <w:p>
            <w:pPr>
              <w:jc w:val="right"/>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49</w:t>
              </w:r>
            </w:hyperlink>
          </w:p>
        </w:tc>
        <w:tc>
          <w:tcPr>
            <w:tcW w:w="20" w:type="dxa"/>
            <w:vAlign w:val="bottom"/>
          </w:tcPr>
          <w:p>
            <w:pPr>
              <w:spacing w:after="0"/>
              <w:rPr>
                <w:sz w:val="24"/>
                <w:szCs w:val="24"/>
                <w:color w:val="auto"/>
              </w:rPr>
            </w:pPr>
          </w:p>
        </w:tc>
      </w:tr>
      <w:tr>
        <w:trPr>
          <w:trHeight w:val="297"/>
        </w:trPr>
        <w:tc>
          <w:tcPr>
            <w:tcW w:w="10660" w:type="dxa"/>
            <w:vAlign w:val="bottom"/>
          </w:tcPr>
          <w:p>
            <w:pPr>
              <w:ind w:left="28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Consolidated Statements of Operations for the Years Ended December 31, 2018, 2019 and 2020</w:t>
              </w:r>
            </w:hyperlink>
          </w:p>
        </w:tc>
        <w:tc>
          <w:tcPr>
            <w:tcW w:w="600" w:type="dxa"/>
            <w:vAlign w:val="bottom"/>
          </w:tcPr>
          <w:p>
            <w:pPr>
              <w:jc w:val="right"/>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50</w:t>
              </w:r>
            </w:hyperlink>
          </w:p>
        </w:tc>
        <w:tc>
          <w:tcPr>
            <w:tcW w:w="20" w:type="dxa"/>
            <w:vAlign w:val="bottom"/>
          </w:tcPr>
          <w:p>
            <w:pPr>
              <w:spacing w:after="0"/>
              <w:rPr>
                <w:sz w:val="24"/>
                <w:szCs w:val="24"/>
                <w:color w:val="auto"/>
              </w:rPr>
            </w:pPr>
          </w:p>
        </w:tc>
      </w:tr>
      <w:tr>
        <w:trPr>
          <w:trHeight w:val="297"/>
        </w:trPr>
        <w:tc>
          <w:tcPr>
            <w:tcW w:w="10660" w:type="dxa"/>
            <w:vAlign w:val="bottom"/>
          </w:tcPr>
          <w:p>
            <w:pPr>
              <w:ind w:left="28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Consolidated Statements of Changes in Stockholders’ Equity for the Years Ended December 31, 2018, 2019 and 2020</w:t>
              </w:r>
            </w:hyperlink>
          </w:p>
        </w:tc>
        <w:tc>
          <w:tcPr>
            <w:tcW w:w="600" w:type="dxa"/>
            <w:vAlign w:val="bottom"/>
          </w:tcPr>
          <w:p>
            <w:pPr>
              <w:jc w:val="right"/>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51</w:t>
              </w:r>
            </w:hyperlink>
          </w:p>
        </w:tc>
        <w:tc>
          <w:tcPr>
            <w:tcW w:w="20" w:type="dxa"/>
            <w:vAlign w:val="bottom"/>
          </w:tcPr>
          <w:p>
            <w:pPr>
              <w:spacing w:after="0"/>
              <w:rPr>
                <w:sz w:val="24"/>
                <w:szCs w:val="24"/>
                <w:color w:val="auto"/>
              </w:rPr>
            </w:pPr>
          </w:p>
        </w:tc>
      </w:tr>
      <w:tr>
        <w:trPr>
          <w:trHeight w:val="297"/>
        </w:trPr>
        <w:tc>
          <w:tcPr>
            <w:tcW w:w="10660" w:type="dxa"/>
            <w:vAlign w:val="bottom"/>
          </w:tcPr>
          <w:p>
            <w:pPr>
              <w:ind w:left="280"/>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Consolidated Statements of Cash Flows for the Years Ended December 31, 2018, 2019 and 2020</w:t>
              </w:r>
            </w:hyperlink>
          </w:p>
        </w:tc>
        <w:tc>
          <w:tcPr>
            <w:tcW w:w="600" w:type="dxa"/>
            <w:vAlign w:val="bottom"/>
          </w:tcPr>
          <w:p>
            <w:pPr>
              <w:jc w:val="right"/>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52</w:t>
              </w:r>
            </w:hyperlink>
          </w:p>
        </w:tc>
        <w:tc>
          <w:tcPr>
            <w:tcW w:w="20" w:type="dxa"/>
            <w:vAlign w:val="bottom"/>
          </w:tcPr>
          <w:p>
            <w:pPr>
              <w:spacing w:after="0"/>
              <w:rPr>
                <w:sz w:val="24"/>
                <w:szCs w:val="24"/>
                <w:color w:val="auto"/>
              </w:rPr>
            </w:pPr>
          </w:p>
        </w:tc>
      </w:tr>
      <w:tr>
        <w:trPr>
          <w:trHeight w:val="297"/>
        </w:trPr>
        <w:tc>
          <w:tcPr>
            <w:tcW w:w="10660" w:type="dxa"/>
            <w:vAlign w:val="bottom"/>
          </w:tcPr>
          <w:p>
            <w:pPr>
              <w:ind w:left="280"/>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Notes to Consolidated Financial Statements</w:t>
              </w:r>
            </w:hyperlink>
          </w:p>
        </w:tc>
        <w:tc>
          <w:tcPr>
            <w:tcW w:w="600" w:type="dxa"/>
            <w:vAlign w:val="bottom"/>
          </w:tcPr>
          <w:p>
            <w:pPr>
              <w:jc w:val="right"/>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53</w:t>
              </w:r>
            </w:hyperlink>
          </w:p>
        </w:tc>
        <w:tc>
          <w:tcPr>
            <w:tcW w:w="20" w:type="dxa"/>
            <w:vAlign w:val="bottom"/>
          </w:tcPr>
          <w:p>
            <w:pPr>
              <w:spacing w:after="0"/>
              <w:rPr>
                <w:sz w:val="24"/>
                <w:szCs w:val="24"/>
                <w:color w:val="auto"/>
              </w:rPr>
            </w:pPr>
          </w:p>
        </w:tc>
      </w:tr>
      <w:tr>
        <w:trPr>
          <w:trHeight w:val="858"/>
        </w:trPr>
        <w:tc>
          <w:tcPr>
            <w:tcW w:w="10660" w:type="dxa"/>
            <w:vAlign w:val="bottom"/>
          </w:tcPr>
          <w:p>
            <w:pPr>
              <w:ind w:left="5580"/>
              <w:spacing w:after="0"/>
              <w:rPr>
                <w:sz w:val="20"/>
                <w:szCs w:val="20"/>
                <w:color w:val="auto"/>
              </w:rPr>
            </w:pPr>
            <w:r>
              <w:rPr>
                <w:rFonts w:ascii="Arial" w:cs="Arial" w:eastAsia="Arial" w:hAnsi="Arial"/>
                <w:sz w:val="14"/>
                <w:szCs w:val="14"/>
                <w:color w:val="auto"/>
              </w:rPr>
              <w:t>45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106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Carriage Services, Inc.:</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audited the accompanying consolidated balance sheets of Carriage Services Inc., a Delaware corporation and subsidiaries (the “Company”) as of December 31, 2020 and 2019, the related consolidated statements of operations, changes in stockholders’ equity, and cash flows for each of the three years in the period ended December 31, 2020, and the related notes and financial statement schedule included under Item 15(a)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2020, based on criteria established in the 2013 Internal Control—Integrated Framework issued by the Committee of Sponsoring Organizations of the Treadway Commission (“COSO”), and our report dated March 2, 2021 expressed an unqualified opinion.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Tradename quantitative impairment assessment</w:t>
      </w:r>
    </w:p>
    <w:p>
      <w:pPr>
        <w:spacing w:after="0" w:line="51"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As described further in Note 1 to the financial statements, the Company is required to evaluate goodwill and intangible assets for impairment annually or whenever events or changes in circumstances indicate that the carrying value of a reporting unit or the intangible asset may be greater than fair value. The Company first assesses qualitative factors to determine whether it is more-likely-than not that the fair value of a reporting unit or the tradenames is less than its carrying amount as a basis for determining whether it is necessary to perform a quantitative impairment test. The Company determined that as a result of the economic conditions caused by the response to COVID-19, a quantitative impairment assessment was necessary for each of the Company’s reporting units as well as the Company’s tradenames. As a result of the analysis, the Company determined that the Company’s Eastern Region Reporting Unit exceeded the fair value, as well as certain of the Company’s tradenames were impaired, and an impairment charge was recorded. We identified the Goodwill and Tradenames quantitative impairment assessment as a critical audit matter.</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principal consideration for our determination that the Goodwill and Tradenames quantitative impairment assessment is a critical audit matter is that the assessment includes a high degree of estimation uncertainty due to significant management judgments in regards to assumptions used within the assessment, including the long-term growth rate, royalty rate, discount rate and forecasted reporting unit cash flow, for which management also utilized an independent valuations specialist (referred to as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“management’s specialists”). In turn, auditing management’s assumptions involved significant auditor judgment and subjectivity.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Goodwill and Tradenames quantitative impairment assessment included the following, among others.</w:t>
      </w:r>
    </w:p>
    <w:p>
      <w:pPr>
        <w:spacing w:after="0" w:line="93" w:lineRule="exact"/>
        <w:rPr>
          <w:sz w:val="20"/>
          <w:szCs w:val="20"/>
          <w:color w:val="auto"/>
        </w:rPr>
      </w:pPr>
    </w:p>
    <w:p>
      <w:pPr>
        <w:ind w:firstLine="5"/>
        <w:spacing w:after="0" w:line="276" w:lineRule="auto"/>
        <w:tabs>
          <w:tab w:leader="none" w:pos="95"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tested the design and operating effectiveness of controls relating to the Company’s quantitative impairment analysis processes, including controls related to the forecasted reporting unit cash flow and management’s review of the key assumptions which were prepared by managements specialists.</w:t>
      </w:r>
    </w:p>
    <w:p>
      <w:pPr>
        <w:ind w:left="80" w:hanging="75"/>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evaluated the level of knowledge, skill, and ability of management’s specialists and their relationship to the Company.</w:t>
      </w:r>
    </w:p>
    <w:p>
      <w:pPr>
        <w:spacing w:after="0" w:line="29" w:lineRule="exact"/>
        <w:rPr>
          <w:rFonts w:ascii="Arial" w:cs="Arial" w:eastAsia="Arial" w:hAnsi="Arial"/>
          <w:sz w:val="14"/>
          <w:szCs w:val="14"/>
          <w:color w:val="auto"/>
        </w:rPr>
      </w:pPr>
    </w:p>
    <w:p>
      <w:pPr>
        <w:ind w:left="80" w:hanging="75"/>
        <w:spacing w:after="0"/>
        <w:tabs>
          <w:tab w:leader="none" w:pos="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compared the Company’s reporting unit cash flows used in the forecast model to historical actual results.</w:t>
      </w:r>
    </w:p>
    <w:p>
      <w:pPr>
        <w:spacing w:after="0" w:line="40" w:lineRule="exact"/>
        <w:rPr>
          <w:rFonts w:ascii="Arial" w:cs="Arial" w:eastAsia="Arial" w:hAnsi="Arial"/>
          <w:sz w:val="14"/>
          <w:szCs w:val="14"/>
          <w:color w:val="auto"/>
        </w:rPr>
      </w:pPr>
    </w:p>
    <w:p>
      <w:pPr>
        <w:jc w:val="both"/>
        <w:ind w:firstLine="5"/>
        <w:spacing w:after="0" w:line="266" w:lineRule="auto"/>
        <w:tabs>
          <w:tab w:leader="none" w:pos="84" w:val="left"/>
        </w:tabs>
        <w:numPr>
          <w:ilvl w:val="0"/>
          <w:numId w:val="23"/>
        </w:numPr>
        <w:rPr>
          <w:rFonts w:ascii="Arial" w:cs="Arial" w:eastAsia="Arial" w:hAnsi="Arial"/>
          <w:sz w:val="14"/>
          <w:szCs w:val="14"/>
          <w:color w:val="auto"/>
        </w:rPr>
      </w:pPr>
      <w:r>
        <w:rPr>
          <w:rFonts w:ascii="Arial" w:cs="Arial" w:eastAsia="Arial" w:hAnsi="Arial"/>
          <w:sz w:val="14"/>
          <w:szCs w:val="14"/>
          <w:color w:val="auto"/>
        </w:rPr>
        <w:t>With the assistance of internal valuation specialists, we performed audit procedures over the data, methods and assumptions utilized in performing the quantitative impairment assessment, which included reviewing supporting documents and assessing reasonableness by comparing to historical trends and industry expectations. Certain key inputs/assumptions tested by us included the following:</w:t>
      </w:r>
    </w:p>
    <w:p>
      <w:pPr>
        <w:spacing w:after="0" w:line="15" w:lineRule="exact"/>
        <w:rPr>
          <w:rFonts w:ascii="Arial" w:cs="Arial" w:eastAsia="Arial" w:hAnsi="Arial"/>
          <w:sz w:val="14"/>
          <w:szCs w:val="14"/>
          <w:color w:val="auto"/>
        </w:rPr>
      </w:pPr>
    </w:p>
    <w:p>
      <w:pPr>
        <w:ind w:left="520" w:hanging="261"/>
        <w:spacing w:after="0"/>
        <w:tabs>
          <w:tab w:leader="none" w:pos="5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Long-term growth rate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Discount rates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Royalty rates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2014.</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Carriage Services, Inc.:</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audited the internal control over financial reporting of Carriage Services, Inc., (a Delaware corporation) and subsidiaries (the “Company”) as of December 31, 2020,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2020, based on criteria established in the 2013 Internal Control—Integrated Framework issued by COSO.</w:t>
      </w:r>
    </w:p>
    <w:p>
      <w:pPr>
        <w:spacing w:after="0" w:line="9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financial statements of the Company as of and for the year ended December 31, 2020, and our report dated March 2, 2021 expressed an unqualified opinion on those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23"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/s/ GRANT THORNTON LLP</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2020</w:t>
            </w:r>
          </w:p>
        </w:tc>
      </w:tr>
      <w:tr>
        <w:trPr>
          <w:trHeight w:val="152"/>
        </w:trPr>
        <w:tc>
          <w:tcPr>
            <w:tcW w:w="8020" w:type="dxa"/>
            <w:vAlign w:val="bottom"/>
            <w:shd w:val="clear" w:color="auto" w:fill="CCEEFF"/>
          </w:tcPr>
          <w:p>
            <w:pPr>
              <w:ind w:left="3780"/>
              <w:spacing w:after="0" w:line="148" w:lineRule="exact"/>
              <w:rPr>
                <w:sz w:val="20"/>
                <w:szCs w:val="20"/>
                <w:color w:val="auto"/>
              </w:rPr>
            </w:pPr>
            <w:r>
              <w:rPr>
                <w:rFonts w:ascii="Arial" w:cs="Arial" w:eastAsia="Arial" w:hAnsi="Arial"/>
                <w:sz w:val="13"/>
                <w:szCs w:val="13"/>
                <w:color w:val="auto"/>
              </w:rPr>
              <w:t>ASSETS</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r>
      <w:tr>
        <w:trPr>
          <w:trHeight w:val="167"/>
        </w:trPr>
        <w:tc>
          <w:tcPr>
            <w:tcW w:w="802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21,478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25,103</w:t>
            </w:r>
          </w:p>
        </w:tc>
      </w:tr>
      <w:tr>
        <w:trPr>
          <w:trHeight w:val="172"/>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6,989</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7,259</w:t>
            </w:r>
          </w:p>
        </w:tc>
      </w:tr>
      <w:tr>
        <w:trPr>
          <w:trHeight w:val="167"/>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Prepaid and other current assets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10,667</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w:t>
            </w:r>
          </w:p>
        </w:tc>
      </w:tr>
      <w:tr>
        <w:trPr>
          <w:trHeight w:val="162"/>
        </w:trPr>
        <w:tc>
          <w:tcPr>
            <w:tcW w:w="8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current assets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39,850</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35,327</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Preneed cemetery trust investments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72,382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86,604</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Preneed funeral trust investments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96,335</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101,235</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Preneed cemetery receivables, net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20,173</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21,081</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from preneed trusts,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18,024</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16,844</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279,200</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269,051</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Cemetery property,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87,032</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101,134</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Goodwill</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398,292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392,978</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and other non-current assets,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32,116</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29,542</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22,304</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21,201</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Cemetery perpetual care trust investments</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64,047</w:t>
            </w:r>
          </w:p>
        </w:tc>
        <w:tc>
          <w:tcPr>
            <w:tcW w:w="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70,828</w:t>
            </w:r>
          </w:p>
        </w:tc>
      </w:tr>
      <w:tr>
        <w:trPr>
          <w:trHeight w:val="158"/>
        </w:trPr>
        <w:tc>
          <w:tcPr>
            <w:tcW w:w="8020" w:type="dxa"/>
            <w:vAlign w:val="bottom"/>
          </w:tcPr>
          <w:p>
            <w:pPr>
              <w:ind w:left="880"/>
              <w:spacing w:after="0" w:line="145" w:lineRule="exact"/>
              <w:rPr>
                <w:sz w:val="20"/>
                <w:szCs w:val="20"/>
                <w:color w:val="auto"/>
              </w:rPr>
            </w:pPr>
            <w:r>
              <w:rPr>
                <w:rFonts w:ascii="Arial" w:cs="Arial" w:eastAsia="Arial" w:hAnsi="Arial"/>
                <w:sz w:val="13"/>
                <w:szCs w:val="13"/>
                <w:color w:val="auto"/>
              </w:rPr>
              <w:t>Total assets</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1,129,755</w:t>
            </w:r>
          </w:p>
        </w:tc>
        <w:tc>
          <w:tcPr>
            <w:tcW w:w="18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1,145,825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3"/>
        </w:trPr>
        <w:tc>
          <w:tcPr>
            <w:tcW w:w="8020" w:type="dxa"/>
            <w:vAlign w:val="bottom"/>
            <w:shd w:val="clear" w:color="auto" w:fill="CCEEFF"/>
          </w:tcPr>
          <w:p>
            <w:pPr>
              <w:ind w:left="2700"/>
              <w:spacing w:after="0" w:line="133" w:lineRule="exact"/>
              <w:rPr>
                <w:sz w:val="20"/>
                <w:szCs w:val="20"/>
                <w:color w:val="auto"/>
              </w:rPr>
            </w:pPr>
            <w:r>
              <w:rPr>
                <w:rFonts w:ascii="Arial" w:cs="Arial" w:eastAsia="Arial" w:hAnsi="Arial"/>
                <w:sz w:val="13"/>
                <w:szCs w:val="13"/>
                <w:color w:val="auto"/>
              </w:rPr>
              <w:t>LIABILITIES AND STOCKHOLDERS’ EQUITY</w:t>
            </w:r>
          </w:p>
        </w:tc>
        <w:tc>
          <w:tcPr>
            <w:tcW w:w="9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Current portion of debt and lease obligations</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w:t>
            </w:r>
          </w:p>
        </w:tc>
      </w:tr>
      <w:tr>
        <w:trPr>
          <w:trHeight w:val="167"/>
        </w:trPr>
        <w:tc>
          <w:tcPr>
            <w:tcW w:w="8020" w:type="dxa"/>
            <w:vAlign w:val="bottom"/>
          </w:tcPr>
          <w:p>
            <w:pPr>
              <w:ind w:left="18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8,413</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11,259</w:t>
            </w:r>
          </w:p>
        </w:tc>
      </w:tr>
      <w:tr>
        <w:trPr>
          <w:trHeight w:val="172"/>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and other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24,026</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31,138</w:t>
            </w:r>
          </w:p>
        </w:tc>
      </w:tr>
      <w:tr>
        <w:trPr>
          <w:trHeight w:val="167"/>
        </w:trPr>
        <w:tc>
          <w:tcPr>
            <w:tcW w:w="8020" w:type="dxa"/>
            <w:vAlign w:val="bottom"/>
          </w:tcPr>
          <w:p>
            <w:pPr>
              <w:ind w:left="180"/>
              <w:spacing w:after="0"/>
              <w:rPr>
                <w:sz w:val="20"/>
                <w:szCs w:val="20"/>
                <w:color w:val="auto"/>
              </w:rPr>
            </w:pPr>
            <w:r>
              <w:rPr>
                <w:rFonts w:ascii="Arial" w:cs="Arial" w:eastAsia="Arial" w:hAnsi="Arial"/>
                <w:sz w:val="13"/>
                <w:szCs w:val="13"/>
                <w:color w:val="auto"/>
              </w:rPr>
              <w:t>Convertible subordinated notes due 2021</w:t>
            </w:r>
          </w:p>
        </w:tc>
        <w:tc>
          <w:tcPr>
            <w:tcW w:w="9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2,538</w:t>
            </w:r>
          </w:p>
        </w:tc>
      </w:tr>
      <w:tr>
        <w:trPr>
          <w:trHeight w:val="162"/>
        </w:trPr>
        <w:tc>
          <w:tcPr>
            <w:tcW w:w="8020" w:type="dxa"/>
            <w:vAlign w:val="bottom"/>
            <w:tcBorders>
              <w:top w:val="single" w:sz="8" w:color="CCEEFF"/>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current liabilities</w:t>
            </w:r>
          </w:p>
        </w:tc>
        <w:tc>
          <w:tcPr>
            <w:tcW w:w="9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35,589</w:t>
            </w: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48,367</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Acquisition debt, net of current portion</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5,658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4,482</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 facility</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82,182</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46,064</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Convertible subordinated notes due 2021</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5,971</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Senior notes due 2026</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395,447</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395,968</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Obligations under finance leases, net of current portion</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5,854</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5,531</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 under operating leases, net of current portion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21,533</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20,302</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Deferred preneed cemetery revenue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46,569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47,846</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preneed funeral revenue</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29,145</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27,992</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41,368</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46,477</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4,748</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Deferred preneed cemetery receipts held in trust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72,382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86,604</w:t>
            </w: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preneed funeral receipts held in trust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96,335</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101,235</w:t>
            </w:r>
          </w:p>
        </w:tc>
      </w:t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Care trusts’ corpus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63,416</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69,707</w:t>
            </w:r>
          </w:p>
        </w:tc>
      </w:tr>
      <w:tr>
        <w:trPr>
          <w:trHeight w:val="162"/>
        </w:trPr>
        <w:tc>
          <w:tcPr>
            <w:tcW w:w="8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liabilities</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903,186</w:t>
            </w:r>
          </w:p>
        </w:tc>
        <w:tc>
          <w:tcPr>
            <w:tcW w:w="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905,323</w:t>
            </w:r>
          </w:p>
        </w:tc>
      </w:tr>
      <w:tr>
        <w:trPr>
          <w:trHeight w:val="147"/>
        </w:trPr>
        <w:tc>
          <w:tcPr>
            <w:tcW w:w="8020" w:type="dxa"/>
            <w:vAlign w:val="bottom"/>
          </w:tcPr>
          <w:p>
            <w:pPr>
              <w:ind w:left="20"/>
              <w:spacing w:after="0" w:line="145" w:lineRule="exact"/>
              <w:rPr>
                <w:sz w:val="20"/>
                <w:szCs w:val="20"/>
                <w:color w:val="auto"/>
              </w:rPr>
            </w:pPr>
            <w:r>
              <w:rPr>
                <w:rFonts w:ascii="Arial" w:cs="Arial" w:eastAsia="Arial" w:hAnsi="Arial"/>
                <w:sz w:val="13"/>
                <w:szCs w:val="13"/>
                <w:color w:val="auto"/>
              </w:rPr>
              <w:t>Commitments and contingencies</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3"/>
        </w:trPr>
        <w:tc>
          <w:tcPr>
            <w:tcW w:w="8020" w:type="dxa"/>
            <w:vAlign w:val="bottom"/>
          </w:tcPr>
          <w:p>
            <w:pPr>
              <w:ind w:left="180"/>
              <w:spacing w:after="0"/>
              <w:rPr>
                <w:sz w:val="20"/>
                <w:szCs w:val="20"/>
                <w:color w:val="auto"/>
              </w:rPr>
            </w:pPr>
            <w:r>
              <w:rPr>
                <w:rFonts w:ascii="Arial" w:cs="Arial" w:eastAsia="Arial" w:hAnsi="Arial"/>
                <w:sz w:val="13"/>
                <w:szCs w:val="13"/>
                <w:color w:val="auto"/>
                <w:w w:val="94"/>
              </w:rPr>
              <w:t>Common stock, $0.01 par value; 80,000,000 shares authorized and 25,880,362 and 26,020,494 shares issued, respectively and 17,855,023 and</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4"/>
        </w:trPr>
        <w:tc>
          <w:tcPr>
            <w:tcW w:w="8020" w:type="dxa"/>
            <w:vAlign w:val="bottom"/>
          </w:tcPr>
          <w:p>
            <w:pPr>
              <w:ind w:left="180"/>
              <w:spacing w:after="0"/>
              <w:rPr>
                <w:sz w:val="20"/>
                <w:szCs w:val="20"/>
                <w:color w:val="auto"/>
              </w:rPr>
            </w:pPr>
            <w:r>
              <w:rPr>
                <w:rFonts w:ascii="Arial" w:cs="Arial" w:eastAsia="Arial" w:hAnsi="Arial"/>
                <w:sz w:val="13"/>
                <w:szCs w:val="13"/>
                <w:color w:val="auto"/>
              </w:rPr>
              <w:t>17,995,155 shares outstanding, respectively</w:t>
            </w: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260</w:t>
            </w:r>
          </w:p>
        </w:tc>
      </w:tr>
      <w:tr>
        <w:trPr>
          <w:trHeight w:val="172"/>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242,147</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239,989</w:t>
            </w:r>
          </w:p>
        </w:tc>
      </w:tr>
      <w:tr>
        <w:trPr>
          <w:trHeight w:val="167"/>
        </w:trPr>
        <w:tc>
          <w:tcPr>
            <w:tcW w:w="8020" w:type="dxa"/>
            <w:vAlign w:val="bottom"/>
          </w:tcPr>
          <w:p>
            <w:pPr>
              <w:ind w:left="180"/>
              <w:spacing w:after="0"/>
              <w:rPr>
                <w:sz w:val="20"/>
                <w:szCs w:val="20"/>
                <w:color w:val="auto"/>
              </w:rPr>
            </w:pPr>
            <w:r>
              <w:rPr>
                <w:rFonts w:ascii="Arial" w:cs="Arial" w:eastAsia="Arial" w:hAnsi="Arial"/>
                <w:sz w:val="13"/>
                <w:szCs w:val="13"/>
                <w:color w:val="auto"/>
              </w:rPr>
              <w:t>Retained earnings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86,213</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102,303</w:t>
            </w:r>
          </w:p>
        </w:tc>
      </w:tr>
      <w:tr>
        <w:trPr>
          <w:trHeight w:val="172"/>
        </w:trPr>
        <w:tc>
          <w:tcPr>
            <w:tcW w:w="8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at cost; 8,025,339 shares at both December 31, 2019 and 2020</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(102,050)</w:t>
            </w:r>
          </w:p>
        </w:tc>
        <w:tc>
          <w:tcPr>
            <w:tcW w:w="1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(102,050)</w:t>
            </w:r>
          </w:p>
        </w:tc>
      </w:tr>
      <w:tr>
        <w:trPr>
          <w:trHeight w:val="158"/>
        </w:trPr>
        <w:tc>
          <w:tcPr>
            <w:tcW w:w="8020" w:type="dxa"/>
            <w:vAlign w:val="bottom"/>
            <w:tcBorders>
              <w:bottom w:val="single" w:sz="8" w:color="CCEEFF"/>
            </w:tcBorders>
          </w:tcPr>
          <w:p>
            <w:pPr>
              <w:ind w:left="520"/>
              <w:spacing w:after="0" w:line="145" w:lineRule="exact"/>
              <w:rPr>
                <w:sz w:val="20"/>
                <w:szCs w:val="20"/>
                <w:color w:val="auto"/>
              </w:rPr>
            </w:pPr>
            <w:r>
              <w:rPr>
                <w:rFonts w:ascii="Arial" w:cs="Arial" w:eastAsia="Arial" w:hAnsi="Arial"/>
                <w:sz w:val="13"/>
                <w:szCs w:val="13"/>
                <w:color w:val="auto"/>
              </w:rPr>
              <w:t>Total stockholders’ equity</w:t>
            </w:r>
          </w:p>
        </w:tc>
        <w:tc>
          <w:tcPr>
            <w:tcW w:w="9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226,569</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240,502</w:t>
            </w:r>
          </w:p>
        </w:tc>
      </w:tr>
      <w:tr>
        <w:trPr>
          <w:trHeight w:val="185"/>
        </w:trPr>
        <w:tc>
          <w:tcPr>
            <w:tcW w:w="8020" w:type="dxa"/>
            <w:vAlign w:val="bottom"/>
            <w:tcBorders>
              <w:bottom w:val="single" w:sz="8" w:color="CCEEFF"/>
            </w:tcBorders>
            <w:shd w:val="clear" w:color="auto" w:fill="CCEEFF"/>
          </w:tcPr>
          <w:p>
            <w:pPr>
              <w:ind w:left="880"/>
              <w:spacing w:after="0" w:line="148" w:lineRule="exact"/>
              <w:rPr>
                <w:sz w:val="20"/>
                <w:szCs w:val="20"/>
                <w:color w:val="auto"/>
              </w:rPr>
            </w:pPr>
            <w:r>
              <w:rPr>
                <w:rFonts w:ascii="Arial" w:cs="Arial" w:eastAsia="Arial" w:hAnsi="Arial"/>
                <w:sz w:val="13"/>
                <w:szCs w:val="13"/>
                <w:color w:val="auto"/>
              </w:rPr>
              <w:t>Total liabilities and stockholders’ equity</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1,129,755</w:t>
            </w:r>
          </w:p>
        </w:tc>
        <w:tc>
          <w:tcPr>
            <w:tcW w:w="1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1,145,825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2"/>
        </w:trPr>
        <w:tc>
          <w:tcPr>
            <w:tcW w:w="6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Revenue:</w:t>
            </w: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300" w:type="dxa"/>
            <w:vAlign w:val="bottom"/>
          </w:tcPr>
          <w:p>
            <w:pPr>
              <w:ind w:left="180"/>
              <w:spacing w:after="0"/>
              <w:rPr>
                <w:sz w:val="20"/>
                <w:szCs w:val="20"/>
                <w:color w:val="auto"/>
              </w:rPr>
            </w:pPr>
            <w:r>
              <w:rPr>
                <w:rFonts w:ascii="Arial" w:cs="Arial" w:eastAsia="Arial" w:hAnsi="Arial"/>
                <w:sz w:val="13"/>
                <w:szCs w:val="13"/>
                <w:color w:val="auto"/>
              </w:rPr>
              <w:t>Service revenue</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138,604</w:t>
            </w:r>
          </w:p>
        </w:tc>
        <w:tc>
          <w:tcPr>
            <w:tcW w:w="1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142,554</w:t>
            </w:r>
          </w:p>
        </w:tc>
        <w:tc>
          <w:tcPr>
            <w:tcW w:w="1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164,984</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Property and merchandise revenue</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112,253</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114,514</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139,630</w:t>
            </w:r>
          </w:p>
        </w:tc>
        <w:tc>
          <w:tcPr>
            <w:tcW w:w="0" w:type="dxa"/>
            <w:vAlign w:val="bottom"/>
          </w:tcPr>
          <w:p>
            <w:pPr>
              <w:spacing w:after="0"/>
              <w:rPr>
                <w:sz w:val="1"/>
                <w:szCs w:val="1"/>
                <w:color w:val="auto"/>
              </w:rPr>
            </w:pPr>
          </w:p>
        </w:tc>
      </w:tr>
      <w:tr>
        <w:trPr>
          <w:trHeight w:val="167"/>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revenue</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17,135</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17,039</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24,834</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267,992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274,107</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329,448</w:t>
            </w:r>
          </w:p>
        </w:tc>
        <w:tc>
          <w:tcPr>
            <w:tcW w:w="0" w:type="dxa"/>
            <w:vAlign w:val="bottom"/>
          </w:tcPr>
          <w:p>
            <w:pPr>
              <w:spacing w:after="0"/>
              <w:rPr>
                <w:sz w:val="1"/>
                <w:szCs w:val="1"/>
                <w:color w:val="auto"/>
              </w:rPr>
            </w:pPr>
          </w:p>
        </w:tc>
      </w:tr>
      <w:tr>
        <w:trPr>
          <w:trHeight w:val="167"/>
        </w:trPr>
        <w:tc>
          <w:tcPr>
            <w:tcW w:w="6300" w:type="dxa"/>
            <w:vAlign w:val="bottom"/>
          </w:tcPr>
          <w:p>
            <w:pPr>
              <w:ind w:left="20"/>
              <w:spacing w:after="0"/>
              <w:rPr>
                <w:sz w:val="20"/>
                <w:szCs w:val="20"/>
                <w:color w:val="auto"/>
              </w:rPr>
            </w:pPr>
            <w:r>
              <w:rPr>
                <w:rFonts w:ascii="Arial" w:cs="Arial" w:eastAsia="Arial" w:hAnsi="Arial"/>
                <w:sz w:val="13"/>
                <w:szCs w:val="13"/>
                <w:color w:val="auto"/>
              </w:rPr>
              <w:t>Field costs and expenses: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72,123</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72,991</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79,634</w:t>
            </w:r>
          </w:p>
        </w:tc>
        <w:tc>
          <w:tcPr>
            <w:tcW w:w="0" w:type="dxa"/>
            <w:vAlign w:val="bottom"/>
          </w:tcPr>
          <w:p>
            <w:pPr>
              <w:spacing w:after="0"/>
              <w:rPr>
                <w:sz w:val="1"/>
                <w:szCs w:val="1"/>
                <w:color w:val="auto"/>
              </w:rPr>
            </w:pPr>
          </w:p>
        </w:tc>
      </w:tr>
      <w:tr>
        <w:trPr>
          <w:trHeight w:val="167"/>
        </w:trPr>
        <w:tc>
          <w:tcPr>
            <w:tcW w:w="6300" w:type="dxa"/>
            <w:vAlign w:val="bottom"/>
          </w:tcPr>
          <w:p>
            <w:pPr>
              <w:ind w:left="180"/>
              <w:spacing w:after="0"/>
              <w:rPr>
                <w:sz w:val="20"/>
                <w:szCs w:val="20"/>
                <w:color w:val="auto"/>
              </w:rPr>
            </w:pPr>
            <w:r>
              <w:rPr>
                <w:rFonts w:ascii="Arial" w:cs="Arial" w:eastAsia="Arial" w:hAnsi="Arial"/>
                <w:sz w:val="13"/>
                <w:szCs w:val="13"/>
                <w:color w:val="auto"/>
              </w:rPr>
              <w:t>Cost of merchandise</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90,008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89,294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103,064</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Cemetery property amortization</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3,985</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4,956</w:t>
            </w:r>
          </w:p>
        </w:tc>
        <w:tc>
          <w:tcPr>
            <w:tcW w:w="0" w:type="dxa"/>
            <w:vAlign w:val="bottom"/>
          </w:tcPr>
          <w:p>
            <w:pPr>
              <w:spacing w:after="0"/>
              <w:rPr>
                <w:sz w:val="1"/>
                <w:szCs w:val="1"/>
                <w:color w:val="auto"/>
              </w:rPr>
            </w:pPr>
          </w:p>
        </w:tc>
      </w:tr>
      <w:tr>
        <w:trPr>
          <w:trHeight w:val="167"/>
        </w:trPr>
        <w:tc>
          <w:tcPr>
            <w:tcW w:w="6300" w:type="dxa"/>
            <w:vAlign w:val="bottom"/>
          </w:tcPr>
          <w:p>
            <w:pPr>
              <w:ind w:left="180"/>
              <w:spacing w:after="0"/>
              <w:rPr>
                <w:sz w:val="20"/>
                <w:szCs w:val="20"/>
                <w:color w:val="auto"/>
              </w:rPr>
            </w:pPr>
            <w:r>
              <w:rPr>
                <w:rFonts w:ascii="Arial" w:cs="Arial" w:eastAsia="Arial" w:hAnsi="Arial"/>
                <w:sz w:val="13"/>
                <w:szCs w:val="13"/>
                <w:color w:val="auto"/>
              </w:rPr>
              <w:t>Field depreciation expense</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12,015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12,370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13,006</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Regional and unallocated funeral and cemetery costs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13,827</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18,057</w:t>
            </w:r>
          </w:p>
        </w:tc>
        <w:tc>
          <w:tcPr>
            <w:tcW w:w="0" w:type="dxa"/>
            <w:vAlign w:val="bottom"/>
          </w:tcPr>
          <w:p>
            <w:pPr>
              <w:spacing w:after="0"/>
              <w:rPr>
                <w:sz w:val="1"/>
                <w:szCs w:val="1"/>
                <w:color w:val="auto"/>
              </w:rPr>
            </w:pPr>
          </w:p>
        </w:tc>
      </w:tr>
      <w:tr>
        <w:trPr>
          <w:trHeight w:val="167"/>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expenses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1,548</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2,055</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4,808</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192,045</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194,522</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223,525</w:t>
            </w:r>
          </w:p>
        </w:tc>
        <w:tc>
          <w:tcPr>
            <w:tcW w:w="0" w:type="dxa"/>
            <w:vAlign w:val="bottom"/>
          </w:tcPr>
          <w:p>
            <w:pPr>
              <w:spacing w:after="0"/>
              <w:rPr>
                <w:sz w:val="1"/>
                <w:szCs w:val="1"/>
                <w:color w:val="auto"/>
              </w:rPr>
            </w:pPr>
          </w:p>
        </w:tc>
      </w:tr>
      <w:tr>
        <w:trPr>
          <w:trHeight w:val="158"/>
        </w:trPr>
        <w:tc>
          <w:tcPr>
            <w:tcW w:w="6300" w:type="dxa"/>
            <w:vAlign w:val="bottom"/>
          </w:tcPr>
          <w:p>
            <w:pPr>
              <w:ind w:left="20"/>
              <w:spacing w:after="0" w:line="145" w:lineRule="exact"/>
              <w:rPr>
                <w:sz w:val="20"/>
                <w:szCs w:val="20"/>
                <w:color w:val="auto"/>
              </w:rPr>
            </w:pPr>
            <w:r>
              <w:rPr>
                <w:rFonts w:ascii="Arial" w:cs="Arial" w:eastAsia="Arial" w:hAnsi="Arial"/>
                <w:sz w:val="13"/>
                <w:szCs w:val="13"/>
                <w:color w:val="auto"/>
              </w:rPr>
              <w:t>Gross profit</w:t>
            </w:r>
          </w:p>
        </w:tc>
        <w:tc>
          <w:tcPr>
            <w:tcW w:w="3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75,947</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79,585</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105,923</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costs and expenses: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tcPr>
          <w:p>
            <w:pPr>
              <w:ind w:left="180"/>
              <w:spacing w:after="0"/>
              <w:rPr>
                <w:sz w:val="20"/>
                <w:szCs w:val="20"/>
                <w:color w:val="auto"/>
              </w:rPr>
            </w:pPr>
            <w:r>
              <w:rPr>
                <w:rFonts w:ascii="Arial" w:cs="Arial" w:eastAsia="Arial" w:hAnsi="Arial"/>
                <w:sz w:val="13"/>
                <w:szCs w:val="13"/>
                <w:color w:val="auto"/>
              </w:rPr>
              <w:t>General, administrative and other</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30,827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25,880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25,827</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Home office depreciation and amortization</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6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on divestitures and impairment charges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4,846</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21,442</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income</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42,112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57,227</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(25,522)</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(32,515)</w:t>
            </w:r>
          </w:p>
        </w:tc>
        <w:tc>
          <w:tcPr>
            <w:tcW w:w="0" w:type="dxa"/>
            <w:vAlign w:val="bottom"/>
          </w:tcPr>
          <w:p>
            <w:pPr>
              <w:spacing w:after="0"/>
              <w:rPr>
                <w:sz w:val="1"/>
                <w:szCs w:val="1"/>
                <w:color w:val="auto"/>
              </w:rPr>
            </w:pPr>
          </w:p>
        </w:tc>
      </w:tr>
      <w:tr>
        <w:trPr>
          <w:trHeight w:val="167"/>
        </w:trPr>
        <w:tc>
          <w:tcPr>
            <w:tcW w:w="6300" w:type="dxa"/>
            <w:vAlign w:val="bottom"/>
          </w:tcPr>
          <w:p>
            <w:pPr>
              <w:ind w:left="20"/>
              <w:spacing w:after="0"/>
              <w:rPr>
                <w:sz w:val="20"/>
                <w:szCs w:val="20"/>
                <w:color w:val="auto"/>
              </w:rPr>
            </w:pPr>
            <w:r>
              <w:rPr>
                <w:rFonts w:ascii="Arial" w:cs="Arial" w:eastAsia="Arial" w:hAnsi="Arial"/>
                <w:sz w:val="13"/>
                <w:szCs w:val="13"/>
                <w:color w:val="auto"/>
              </w:rPr>
              <w:t>Accretion of discount on convertible subordinated notes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(2,192)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(241)</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on early extinguishment of debt</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net</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w:t>
            </w: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2"/>
        </w:trPr>
        <w:tc>
          <w:tcPr>
            <w:tcW w:w="6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before income taxes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18,266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22,416</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24,642</w:t>
            </w:r>
          </w:p>
        </w:tc>
        <w:tc>
          <w:tcPr>
            <w:tcW w:w="0" w:type="dxa"/>
            <w:vAlign w:val="bottom"/>
          </w:tcPr>
          <w:p>
            <w:pPr>
              <w:spacing w:after="0"/>
              <w:rPr>
                <w:sz w:val="1"/>
                <w:szCs w:val="1"/>
                <w:color w:val="auto"/>
              </w:rPr>
            </w:pPr>
          </w:p>
        </w:tc>
      </w:tr>
      <w:tr>
        <w:trPr>
          <w:trHeight w:val="167"/>
        </w:trPr>
        <w:tc>
          <w:tcPr>
            <w:tcW w:w="6300" w:type="dxa"/>
            <w:vAlign w:val="bottom"/>
          </w:tcPr>
          <w:p>
            <w:pPr>
              <w:ind w:left="20"/>
              <w:spacing w:after="0"/>
              <w:rPr>
                <w:sz w:val="20"/>
                <w:szCs w:val="20"/>
                <w:color w:val="auto"/>
              </w:rPr>
            </w:pPr>
            <w:r>
              <w:rPr>
                <w:rFonts w:ascii="Arial" w:cs="Arial" w:eastAsia="Arial" w:hAnsi="Arial"/>
                <w:sz w:val="13"/>
                <w:szCs w:val="13"/>
                <w:color w:val="auto"/>
              </w:rPr>
              <w:t>Expense for income taxes</w:t>
            </w: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(5,754)</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(7,395)</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(7,985)</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 related to discrete items</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58"/>
        </w:trPr>
        <w:tc>
          <w:tcPr>
            <w:tcW w:w="6300" w:type="dxa"/>
            <w:vAlign w:val="bottom"/>
          </w:tcPr>
          <w:p>
            <w:pPr>
              <w:ind w:left="20"/>
              <w:spacing w:after="0" w:line="145" w:lineRule="exact"/>
              <w:rPr>
                <w:sz w:val="20"/>
                <w:szCs w:val="20"/>
                <w:color w:val="auto"/>
              </w:rPr>
            </w:pPr>
            <w:r>
              <w:rPr>
                <w:rFonts w:ascii="Arial" w:cs="Arial" w:eastAsia="Arial" w:hAnsi="Arial"/>
                <w:sz w:val="13"/>
                <w:szCs w:val="13"/>
                <w:color w:val="auto"/>
              </w:rPr>
              <w:t>Total expense for income taxes</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(6,621)</w:t>
            </w:r>
          </w:p>
        </w:tc>
        <w:tc>
          <w:tcPr>
            <w:tcW w:w="1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(7,883)</w:t>
            </w:r>
          </w:p>
        </w:tc>
        <w:tc>
          <w:tcPr>
            <w:tcW w:w="1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(8,552)</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Net income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11,645</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14,533</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6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earnings per common share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0.64</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0.81</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Diluted earnings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300" w:type="dxa"/>
            <w:vAlign w:val="bottom"/>
            <w:vMerge w:val="continue"/>
          </w:tcPr>
          <w:p>
            <w:pPr>
              <w:spacing w:after="0"/>
              <w:rPr>
                <w:sz w:val="11"/>
                <w:szCs w:val="11"/>
                <w:color w:val="auto"/>
              </w:rPr>
            </w:pPr>
          </w:p>
        </w:tc>
        <w:tc>
          <w:tcPr>
            <w:tcW w:w="340" w:type="dxa"/>
            <w:vAlign w:val="bottom"/>
            <w:tcBorders>
              <w:bottom w:val="single" w:sz="8" w:color="auto"/>
            </w:tcBorders>
          </w:tcPr>
          <w:p>
            <w:pPr>
              <w:jc w:val="right"/>
              <w:ind w:right="196"/>
              <w:spacing w:after="0" w:line="132" w:lineRule="exact"/>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0.63</w:t>
            </w: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ind w:right="196"/>
              <w:spacing w:after="0" w:line="132" w:lineRule="exact"/>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0.80</w:t>
            </w:r>
          </w:p>
        </w:tc>
        <w:tc>
          <w:tcPr>
            <w:tcW w:w="180" w:type="dxa"/>
            <w:vAlign w:val="bottom"/>
          </w:tcPr>
          <w:p>
            <w:pPr>
              <w:spacing w:after="0"/>
              <w:rPr>
                <w:sz w:val="11"/>
                <w:szCs w:val="11"/>
                <w:color w:val="auto"/>
              </w:rPr>
            </w:pPr>
          </w:p>
        </w:tc>
        <w:tc>
          <w:tcPr>
            <w:tcW w:w="360" w:type="dxa"/>
            <w:vAlign w:val="bottom"/>
            <w:tcBorders>
              <w:bottom w:val="single" w:sz="8" w:color="auto"/>
            </w:tcBorders>
          </w:tcPr>
          <w:p>
            <w:pPr>
              <w:jc w:val="right"/>
              <w:ind w:right="216"/>
              <w:spacing w:after="0" w:line="132"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0.89</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300" w:type="dxa"/>
            <w:vAlign w:val="bottom"/>
          </w:tcPr>
          <w:p>
            <w:pPr>
              <w:ind w:left="20"/>
              <w:spacing w:after="0"/>
              <w:rPr>
                <w:sz w:val="20"/>
                <w:szCs w:val="20"/>
                <w:color w:val="auto"/>
              </w:rPr>
            </w:pPr>
            <w:r>
              <w:rPr>
                <w:rFonts w:ascii="Arial" w:cs="Arial" w:eastAsia="Arial" w:hAnsi="Arial"/>
                <w:sz w:val="13"/>
                <w:szCs w:val="13"/>
                <w:color w:val="auto"/>
              </w:rPr>
              <w:t>Dividends declared per share</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0.3000</w:t>
            </w:r>
          </w:p>
        </w:tc>
        <w:tc>
          <w:tcPr>
            <w:tcW w:w="1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0.3000</w:t>
            </w:r>
          </w:p>
        </w:tc>
        <w:tc>
          <w:tcPr>
            <w:tcW w:w="1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0.3375</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0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Weighted average number of common and common equivalent shares outstanding:</w:t>
            </w: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00" w:type="dxa"/>
            <w:vAlign w:val="bottom"/>
          </w:tcPr>
          <w:p>
            <w:pPr>
              <w:ind w:left="180"/>
              <w:spacing w:after="0"/>
              <w:rPr>
                <w:sz w:val="20"/>
                <w:szCs w:val="20"/>
                <w:color w:val="auto"/>
              </w:rPr>
            </w:pPr>
            <w:r>
              <w:rPr>
                <w:rFonts w:ascii="Arial" w:cs="Arial" w:eastAsia="Arial" w:hAnsi="Arial"/>
                <w:sz w:val="13"/>
                <w:szCs w:val="13"/>
                <w:color w:val="auto"/>
              </w:rPr>
              <w:t>Basic</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17,971</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17,877</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17,872</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tcBorders>
              <w:bottom w:val="single" w:sz="8" w:color="CCEEFF"/>
            </w:tcBorders>
            <w:shd w:val="clear" w:color="auto" w:fill="CCEEFF"/>
          </w:tcPr>
          <w:p>
            <w:pPr>
              <w:ind w:left="180"/>
              <w:spacing w:after="0" w:line="141" w:lineRule="exact"/>
              <w:rPr>
                <w:sz w:val="20"/>
                <w:szCs w:val="20"/>
                <w:color w:val="auto"/>
              </w:rPr>
            </w:pPr>
            <w:r>
              <w:rPr>
                <w:rFonts w:ascii="Arial" w:cs="Arial" w:eastAsia="Arial" w:hAnsi="Arial"/>
                <w:sz w:val="13"/>
                <w:szCs w:val="13"/>
                <w:color w:val="auto"/>
              </w:rPr>
              <w:t>Diluted</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18,374</w:t>
            </w:r>
          </w:p>
        </w:tc>
        <w:tc>
          <w:tcPr>
            <w:tcW w:w="1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18,005</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CARRIAGE SERVICES,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2"/>
              </w:rPr>
              <w:t>Shares</w:t>
            </w:r>
          </w:p>
        </w:tc>
        <w:tc>
          <w:tcPr>
            <w:tcW w:w="18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90"/>
              </w:rPr>
              <w:t>Common</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Additional</w:t>
            </w:r>
          </w:p>
        </w:tc>
        <w:tc>
          <w:tcPr>
            <w:tcW w:w="20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w w:val="85"/>
              </w:rPr>
              <w:t>Treasury</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Arial" w:cs="Arial" w:eastAsia="Arial" w:hAnsi="Arial"/>
                <w:sz w:val="13"/>
                <w:szCs w:val="13"/>
                <w:color w:val="auto"/>
                <w:w w:val="88"/>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56"/>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3"/>
        </w:trPr>
        <w:tc>
          <w:tcPr>
            <w:tcW w:w="418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Outstanding</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color w:val="auto"/>
                <w:w w:val="85"/>
              </w:rPr>
              <w:t>Stock</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Capital</w:t>
            </w: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3"/>
                <w:szCs w:val="13"/>
                <w:color w:val="auto"/>
              </w:rPr>
              <w:t>Earnings</w:t>
            </w: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color w:val="auto"/>
                <w:w w:val="85"/>
              </w:rPr>
              <w:t>Stock</w:t>
            </w: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216,158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57,904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(76,632)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197,656</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Effect of adoption of topic 606</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2,131</w:t>
            </w:r>
          </w:p>
        </w:tc>
        <w:tc>
          <w:tcPr>
            <w:tcW w:w="0" w:type="dxa"/>
            <w:vAlign w:val="bottom"/>
          </w:tcPr>
          <w:p>
            <w:pPr>
              <w:spacing w:after="0"/>
              <w:rPr>
                <w:sz w:val="1"/>
                <w:szCs w:val="1"/>
                <w:color w:val="auto"/>
              </w:rPr>
            </w:pPr>
          </w:p>
        </w:tc>
      </w:tr>
      <w:tr>
        <w:trPr>
          <w:trHeight w:val="162"/>
        </w:trPr>
        <w:tc>
          <w:tcPr>
            <w:tcW w:w="41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 January 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216,158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60,035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(76,632)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199,787</w:t>
            </w:r>
          </w:p>
        </w:tc>
        <w:tc>
          <w:tcPr>
            <w:tcW w:w="0" w:type="dxa"/>
            <w:vAlign w:val="bottom"/>
          </w:tcPr>
          <w:p>
            <w:pPr>
              <w:spacing w:after="0"/>
              <w:rPr>
                <w:sz w:val="1"/>
                <w:szCs w:val="1"/>
                <w:color w:val="auto"/>
              </w:rPr>
            </w:pPr>
          </w:p>
        </w:tc>
      </w:tr>
      <w:tr>
        <w:trPr>
          <w:trHeight w:val="158"/>
        </w:trPr>
        <w:tc>
          <w:tcPr>
            <w:tcW w:w="4180" w:type="dxa"/>
            <w:vAlign w:val="bottom"/>
          </w:tcPr>
          <w:p>
            <w:pPr>
              <w:ind w:left="180"/>
              <w:spacing w:after="0" w:line="145" w:lineRule="exact"/>
              <w:rPr>
                <w:sz w:val="20"/>
                <w:szCs w:val="20"/>
                <w:color w:val="auto"/>
              </w:rPr>
            </w:pPr>
            <w:r>
              <w:rPr>
                <w:rFonts w:ascii="Arial" w:cs="Arial" w:eastAsia="Arial" w:hAnsi="Arial"/>
                <w:sz w:val="13"/>
                <w:szCs w:val="13"/>
                <w:color w:val="auto"/>
              </w:rPr>
              <w:t>Net Income – 2018</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11,645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11,645</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w w:val="94"/>
              </w:rPr>
              <w:t>Cancellation and surrender of restricted common stock and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6,531</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Dividends on common stock</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(5,514)</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notes exchange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25,911</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Treasury stock acquired</w:t>
            </w:r>
          </w:p>
        </w:tc>
        <w:tc>
          <w:tcPr>
            <w:tcW w:w="1100" w:type="dxa"/>
            <w:vAlign w:val="bottom"/>
          </w:tcPr>
          <w:p>
            <w:pPr>
              <w:jc w:val="right"/>
              <w:spacing w:after="0"/>
              <w:rPr>
                <w:sz w:val="20"/>
                <w:szCs w:val="20"/>
                <w:color w:val="auto"/>
              </w:rPr>
            </w:pPr>
            <w:r>
              <w:rPr>
                <w:rFonts w:ascii="Arial" w:cs="Arial" w:eastAsia="Arial" w:hAnsi="Arial"/>
                <w:sz w:val="13"/>
                <w:szCs w:val="13"/>
                <w:color w:val="auto"/>
              </w:rPr>
              <w:t>(1,102)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(17,662)</w:t>
            </w:r>
          </w:p>
        </w:tc>
        <w:tc>
          <w:tcPr>
            <w:tcW w:w="0" w:type="dxa"/>
            <w:vAlign w:val="bottom"/>
          </w:tcPr>
          <w:p>
            <w:pPr>
              <w:spacing w:after="0"/>
              <w:rPr>
                <w:sz w:val="1"/>
                <w:szCs w:val="1"/>
                <w:color w:val="auto"/>
              </w:rPr>
            </w:pPr>
          </w:p>
        </w:tc>
      </w:tr>
      <w:tr>
        <w:trPr>
          <w:trHeight w:val="162"/>
        </w:trPr>
        <w:tc>
          <w:tcPr>
            <w:tcW w:w="41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 December 31,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18,078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243,849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71,680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(94,294)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221,492</w:t>
            </w:r>
          </w:p>
        </w:tc>
        <w:tc>
          <w:tcPr>
            <w:tcW w:w="0" w:type="dxa"/>
            <w:vAlign w:val="bottom"/>
          </w:tcPr>
          <w:p>
            <w:pPr>
              <w:spacing w:after="0"/>
              <w:rPr>
                <w:sz w:val="1"/>
                <w:szCs w:val="1"/>
                <w:color w:val="auto"/>
              </w:rPr>
            </w:pPr>
          </w:p>
        </w:tc>
      </w:tr>
      <w:tr>
        <w:trPr>
          <w:trHeight w:val="158"/>
        </w:trPr>
        <w:tc>
          <w:tcPr>
            <w:tcW w:w="4180" w:type="dxa"/>
            <w:vAlign w:val="bottom"/>
          </w:tcPr>
          <w:p>
            <w:pPr>
              <w:ind w:left="180"/>
              <w:spacing w:after="0" w:line="145" w:lineRule="exact"/>
              <w:rPr>
                <w:sz w:val="20"/>
                <w:szCs w:val="20"/>
                <w:color w:val="auto"/>
              </w:rPr>
            </w:pPr>
            <w:r>
              <w:rPr>
                <w:rFonts w:ascii="Arial" w:cs="Arial" w:eastAsia="Arial" w:hAnsi="Arial"/>
                <w:sz w:val="13"/>
                <w:szCs w:val="13"/>
                <w:color w:val="auto"/>
              </w:rPr>
              <w:t>Net Income – 2019</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14,533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14,533</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w w:val="94"/>
              </w:rPr>
              <w:t>Cancellation and surrender of restricted common stock and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Dividends on common stock</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(5,398)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(5,398)</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acquired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(7,756)</w:t>
            </w:r>
          </w:p>
        </w:tc>
        <w:tc>
          <w:tcPr>
            <w:tcW w:w="0" w:type="dxa"/>
            <w:vAlign w:val="bottom"/>
          </w:tcPr>
          <w:p>
            <w:pPr>
              <w:spacing w:after="0"/>
              <w:rPr>
                <w:sz w:val="1"/>
                <w:szCs w:val="1"/>
                <w:color w:val="auto"/>
              </w:rPr>
            </w:pPr>
          </w:p>
        </w:tc>
      </w:tr>
      <w:tr>
        <w:trPr>
          <w:trHeight w:val="180"/>
        </w:trPr>
        <w:tc>
          <w:tcPr>
            <w:tcW w:w="4180" w:type="dxa"/>
            <w:vAlign w:val="bottom"/>
          </w:tcPr>
          <w:p>
            <w:pPr>
              <w:ind w:left="180"/>
              <w:spacing w:after="0"/>
              <w:rPr>
                <w:sz w:val="20"/>
                <w:szCs w:val="20"/>
                <w:color w:val="auto"/>
              </w:rPr>
            </w:pPr>
            <w:r>
              <w:rPr>
                <w:rFonts w:ascii="Arial" w:cs="Arial" w:eastAsia="Arial" w:hAnsi="Arial"/>
                <w:sz w:val="13"/>
                <w:szCs w:val="13"/>
                <w:color w:val="auto"/>
              </w:rPr>
              <w:t>Other</w:t>
            </w: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0"/>
        </w:trPr>
        <w:tc>
          <w:tcPr>
            <w:tcW w:w="418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242,147</w:t>
            </w: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86,213</w:t>
            </w: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(102,050)</w:t>
            </w:r>
          </w:p>
        </w:tc>
        <w:tc>
          <w:tcPr>
            <w:tcW w:w="1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226,569</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Net Income – 2020</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16,090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16,090</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from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80"/>
        </w:trPr>
        <w:tc>
          <w:tcPr>
            <w:tcW w:w="4180" w:type="dxa"/>
            <w:vAlign w:val="bottom"/>
          </w:tcPr>
          <w:p>
            <w:pPr>
              <w:ind w:left="180"/>
              <w:spacing w:after="0"/>
              <w:rPr>
                <w:sz w:val="20"/>
                <w:szCs w:val="20"/>
                <w:color w:val="auto"/>
              </w:rPr>
            </w:pPr>
            <w:r>
              <w:rPr>
                <w:rFonts w:ascii="Arial" w:cs="Arial" w:eastAsia="Arial" w:hAnsi="Arial"/>
                <w:sz w:val="13"/>
                <w:szCs w:val="13"/>
                <w:color w:val="auto"/>
              </w:rPr>
              <w:t>Issuance of common stock to directors</w:t>
            </w:r>
          </w:p>
        </w:tc>
        <w:tc>
          <w:tcPr>
            <w:tcW w:w="11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70"/>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Issuance of restricted common stock</w:t>
            </w:r>
          </w:p>
        </w:tc>
        <w:tc>
          <w:tcPr>
            <w:tcW w:w="11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Cancellation and surrender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2,717</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on common stock</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(6,048)</w:t>
            </w:r>
          </w:p>
        </w:tc>
        <w:tc>
          <w:tcPr>
            <w:tcW w:w="0" w:type="dxa"/>
            <w:vAlign w:val="bottom"/>
          </w:tcPr>
          <w:p>
            <w:pPr>
              <w:spacing w:after="0"/>
              <w:rPr>
                <w:sz w:val="1"/>
                <w:szCs w:val="1"/>
                <w:color w:val="auto"/>
              </w:rPr>
            </w:pPr>
          </w:p>
        </w:tc>
      </w:tr>
      <w:tr>
        <w:trPr>
          <w:trHeight w:val="167"/>
        </w:trPr>
        <w:tc>
          <w:tcPr>
            <w:tcW w:w="4180" w:type="dxa"/>
            <w:vAlign w:val="bottom"/>
          </w:tcPr>
          <w:p>
            <w:pPr>
              <w:ind w:left="180"/>
              <w:spacing w:after="0"/>
              <w:rPr>
                <w:sz w:val="20"/>
                <w:szCs w:val="20"/>
                <w:color w:val="auto"/>
              </w:rPr>
            </w:pPr>
            <w:r>
              <w:rPr>
                <w:rFonts w:ascii="Arial" w:cs="Arial" w:eastAsia="Arial" w:hAnsi="Arial"/>
                <w:sz w:val="13"/>
                <w:szCs w:val="13"/>
                <w:color w:val="auto"/>
              </w:rPr>
              <w:t>Convertible notes repurchase</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172"/>
        </w:trPr>
        <w:tc>
          <w:tcPr>
            <w:tcW w:w="4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r>
        <w:trPr>
          <w:trHeight w:val="158"/>
        </w:trPr>
        <w:tc>
          <w:tcPr>
            <w:tcW w:w="418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Balance – December 31,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17,995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239,989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102,303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(102,050)</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240,502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8"/>
              </w:rPr>
              <w:t>Years Ended December 31,</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58"/>
        </w:trPr>
        <w:tc>
          <w:tcPr>
            <w:tcW w:w="6320" w:type="dxa"/>
            <w:vAlign w:val="bottom"/>
          </w:tcPr>
          <w:p>
            <w:pPr>
              <w:spacing w:after="0"/>
              <w:rPr>
                <w:sz w:val="13"/>
                <w:szCs w:val="13"/>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2020</w:t>
            </w:r>
          </w:p>
        </w:tc>
      </w:tr>
      <w:tr>
        <w:trPr>
          <w:trHeight w:val="151"/>
        </w:trPr>
        <w:tc>
          <w:tcPr>
            <w:tcW w:w="6320" w:type="dxa"/>
            <w:vAlign w:val="bottom"/>
          </w:tcPr>
          <w:p>
            <w:pPr>
              <w:ind w:left="20"/>
              <w:spacing w:after="0"/>
              <w:rPr>
                <w:sz w:val="20"/>
                <w:szCs w:val="20"/>
                <w:color w:val="auto"/>
              </w:rPr>
            </w:pPr>
            <w:r>
              <w:rPr>
                <w:rFonts w:ascii="Arial" w:cs="Arial" w:eastAsia="Arial" w:hAnsi="Arial"/>
                <w:sz w:val="13"/>
                <w:szCs w:val="13"/>
                <w:color w:val="auto"/>
              </w:rPr>
              <w:t>Cash flows from operating activities:</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2"/>
        </w:trPr>
        <w:tc>
          <w:tcPr>
            <w:tcW w:w="6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11,645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14,533</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16,090</w:t>
            </w:r>
          </w:p>
        </w:tc>
      </w:tr>
      <w:tr>
        <w:trPr>
          <w:trHeight w:val="167"/>
        </w:trPr>
        <w:tc>
          <w:tcPr>
            <w:tcW w:w="6320" w:type="dxa"/>
            <w:vAlign w:val="bottom"/>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Depreciation and amortization</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19,389</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Provision for bad debt and credit losses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1,618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2,318</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Stock-based compensation expense</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6,583</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3,370</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Deferred income tax expense</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3,823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10,117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4,597</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deferred financing costs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Amortization of capitalized commissions and non-compete agreements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1,219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1,231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1,299</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Accretion of discount on convertible subordinated notes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Accretion of debt discount, net of debt premium on senior notes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492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307</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 on extinguishment of debt</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Net loss on divestitures and impairment charges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4,846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21,442</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 on sale of other assets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Gain on insurance reimbursements</w:t>
            </w:r>
          </w:p>
        </w:tc>
        <w:tc>
          <w:tcPr>
            <w:tcW w:w="9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(879)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9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7"/>
        </w:trPr>
        <w:tc>
          <w:tcPr>
            <w:tcW w:w="632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 that provided (required) cash:</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and preneed receivables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(4,279)</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Inventories, prepaid and other current assets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(2,762)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3,516</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Intangible and other non-current assets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Preneed funeral and cemetery trust investments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(6,500)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(5,043)</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Accrued and other liabilities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3,990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1,271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10,784</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preneed funeral and cemetery revenue</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r>
      <w:tr>
        <w:trPr>
          <w:trHeight w:val="167"/>
        </w:trPr>
        <w:tc>
          <w:tcPr>
            <w:tcW w:w="6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Deferred preneed funeral and cemetery receipts held in trust</w:t>
            </w: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(5,954)</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5,495</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5,733</w:t>
            </w:r>
          </w:p>
        </w:tc>
      </w:tr>
      <w:tr>
        <w:trPr>
          <w:trHeight w:val="162"/>
        </w:trPr>
        <w:tc>
          <w:tcPr>
            <w:tcW w:w="6320" w:type="dxa"/>
            <w:vAlign w:val="bottom"/>
            <w:shd w:val="clear" w:color="auto" w:fill="CCEEFF"/>
          </w:tcPr>
          <w:p>
            <w:pPr>
              <w:ind w:left="44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48,994</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43,216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82,915</w:t>
            </w:r>
          </w:p>
        </w:tc>
      </w:tr>
      <w:tr>
        <w:trPr>
          <w:trHeight w:val="42"/>
        </w:trPr>
        <w:tc>
          <w:tcPr>
            <w:tcW w:w="6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69"/>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Acquisitions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(37,970)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(140,907)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(28,011)</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Deposit on pending acquisition</w:t>
            </w:r>
          </w:p>
        </w:tc>
        <w:tc>
          <w:tcPr>
            <w:tcW w:w="9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Proceeds from insurance reimbursements</w:t>
            </w:r>
          </w:p>
        </w:tc>
        <w:tc>
          <w:tcPr>
            <w:tcW w:w="9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1,433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248</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divestitures and sale of other assets</w:t>
            </w:r>
          </w:p>
        </w:tc>
        <w:tc>
          <w:tcPr>
            <w:tcW w:w="9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8,541</w:t>
            </w:r>
          </w:p>
        </w:tc>
      </w:tr>
      <w:tr>
        <w:trPr>
          <w:trHeight w:val="167"/>
        </w:trPr>
        <w:tc>
          <w:tcPr>
            <w:tcW w:w="6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Capital expenditures</w:t>
            </w: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(13,526)</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(15,379)</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(15,198)</w:t>
            </w:r>
          </w:p>
        </w:tc>
      </w:tr>
      <w:tr>
        <w:trPr>
          <w:trHeight w:val="162"/>
        </w:trPr>
        <w:tc>
          <w:tcPr>
            <w:tcW w:w="6320" w:type="dxa"/>
            <w:vAlign w:val="bottom"/>
            <w:shd w:val="clear" w:color="auto" w:fill="CCEEFF"/>
          </w:tcPr>
          <w:p>
            <w:pPr>
              <w:ind w:left="440"/>
              <w:spacing w:after="0" w:line="148" w:lineRule="exact"/>
              <w:rPr>
                <w:sz w:val="20"/>
                <w:szCs w:val="20"/>
                <w:color w:val="auto"/>
              </w:rPr>
            </w:pPr>
            <w:r>
              <w:rPr>
                <w:rFonts w:ascii="Arial" w:cs="Arial" w:eastAsia="Arial" w:hAnsi="Arial"/>
                <w:sz w:val="13"/>
                <w:szCs w:val="13"/>
                <w:color w:val="auto"/>
              </w:rPr>
              <w:t>Net cash used in investing activities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(51,496)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(158,886)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(34,420)</w:t>
            </w:r>
          </w:p>
        </w:tc>
      </w:tr>
      <w:tr>
        <w:trPr>
          <w:trHeight w:val="42"/>
        </w:trPr>
        <w:tc>
          <w:tcPr>
            <w:tcW w:w="6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169"/>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Payments against the term loan</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(127,500)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Borrowings from the credit facility</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124,500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174,961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109,500</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Payments against the credit facility</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(189,400)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(118,261)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(146,100)</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 of debt issuance costs related to the credit facility</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Repurchase of the convertible subordinated notes due 2021</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(98,266)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(4,563)</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 of transaction costs related to the repurchase of the convertible subordinated notes due 2021</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Proceeds from the issuance of the senior notes due 2026</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320,125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76,688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 of debt issuance costs related to the senior notes due 2026</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(1,367)</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Payments on acquisition debt and obligations under finance leases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(1,940)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(2,287)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(1,745)</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Payments on contingent consideration recorded at acquisition date</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Proceeds from the exercise of stock options and employee stock purchase plan contributions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1,445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1,229</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Taxes paid on restricted stock vestings and exercise of stock options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r>
      <w:tr>
        <w:trPr>
          <w:trHeight w:val="167"/>
        </w:trPr>
        <w:tc>
          <w:tcPr>
            <w:tcW w:w="6320" w:type="dxa"/>
            <w:vAlign w:val="bottom"/>
          </w:tcPr>
          <w:p>
            <w:pPr>
              <w:ind w:left="260"/>
              <w:spacing w:after="0"/>
              <w:rPr>
                <w:sz w:val="20"/>
                <w:szCs w:val="20"/>
                <w:color w:val="auto"/>
              </w:rPr>
            </w:pPr>
            <w:r>
              <w:rPr>
                <w:rFonts w:ascii="Arial" w:cs="Arial" w:eastAsia="Arial" w:hAnsi="Arial"/>
                <w:sz w:val="13"/>
                <w:szCs w:val="13"/>
                <w:color w:val="auto"/>
              </w:rPr>
              <w:t>Dividends paid on common stock</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(5,513)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(5,398)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(6,048)</w:t>
            </w:r>
          </w:p>
        </w:tc>
      </w:tr>
      <w:tr>
        <w:trPr>
          <w:trHeight w:val="172"/>
        </w:trPr>
        <w:tc>
          <w:tcPr>
            <w:tcW w:w="6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 of treasury stock</w:t>
            </w:r>
          </w:p>
        </w:tc>
        <w:tc>
          <w:tcPr>
            <w:tcW w:w="9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(16,266)</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(9,152)</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6320" w:type="dxa"/>
            <w:vAlign w:val="bottom"/>
            <w:tcBorders>
              <w:bottom w:val="single" w:sz="8" w:color="CCEEFF"/>
            </w:tcBorders>
          </w:tcPr>
          <w:p>
            <w:pPr>
              <w:ind w:left="440"/>
              <w:spacing w:after="0" w:line="145" w:lineRule="exact"/>
              <w:rPr>
                <w:sz w:val="20"/>
                <w:szCs w:val="20"/>
                <w:color w:val="auto"/>
              </w:rPr>
            </w:pPr>
            <w:r>
              <w:rPr>
                <w:rFonts w:ascii="Arial" w:cs="Arial" w:eastAsia="Arial" w:hAnsi="Arial"/>
                <w:sz w:val="13"/>
                <w:szCs w:val="13"/>
                <w:color w:val="auto"/>
              </w:rPr>
              <w:t>Net cash provided by (used in) financing activities</w:t>
            </w:r>
          </w:p>
        </w:tc>
        <w:tc>
          <w:tcPr>
            <w:tcW w:w="9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2,194</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115,742</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(48,322)</w:t>
            </w:r>
          </w:p>
        </w:tc>
      </w:tr>
      <w:tr>
        <w:trPr>
          <w:trHeight w:val="167"/>
        </w:trPr>
        <w:tc>
          <w:tcPr>
            <w:tcW w:w="6320" w:type="dxa"/>
            <w:vAlign w:val="bottom"/>
          </w:tcPr>
          <w:p>
            <w:pPr>
              <w:ind w:left="20"/>
              <w:spacing w:after="0"/>
              <w:rPr>
                <w:sz w:val="20"/>
                <w:szCs w:val="20"/>
                <w:color w:val="auto"/>
              </w:rPr>
            </w:pPr>
            <w:r>
              <w:rPr>
                <w:rFonts w:ascii="Arial" w:cs="Arial" w:eastAsia="Arial" w:hAnsi="Arial"/>
                <w:sz w:val="13"/>
                <w:szCs w:val="13"/>
                <w:color w:val="auto"/>
              </w:rPr>
              <w:t>Net increase (decrease) in cash and cash equivalents</w:t>
            </w:r>
          </w:p>
        </w:tc>
        <w:tc>
          <w:tcPr>
            <w:tcW w:w="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173</w:t>
            </w:r>
          </w:p>
        </w:tc>
      </w:tr>
      <w:tr>
        <w:trPr>
          <w:trHeight w:val="172"/>
        </w:trPr>
        <w:tc>
          <w:tcPr>
            <w:tcW w:w="6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9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r>
      <w:tr>
        <w:trPr>
          <w:trHeight w:val="158"/>
        </w:trPr>
        <w:tc>
          <w:tcPr>
            <w:tcW w:w="6320" w:type="dxa"/>
            <w:vAlign w:val="bottom"/>
          </w:tcPr>
          <w:p>
            <w:pPr>
              <w:ind w:left="20"/>
              <w:spacing w:after="0" w:line="145" w:lineRule="exact"/>
              <w:rPr>
                <w:sz w:val="20"/>
                <w:szCs w:val="20"/>
                <w:color w:val="auto"/>
              </w:rPr>
            </w:pPr>
            <w:r>
              <w:rPr>
                <w:rFonts w:ascii="Arial" w:cs="Arial" w:eastAsia="Arial" w:hAnsi="Arial"/>
                <w:sz w:val="13"/>
                <w:szCs w:val="13"/>
                <w:color w:val="auto"/>
              </w:rPr>
              <w:t>Cash and cash equivalents at end of year</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644</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w:t>
            </w:r>
          </w:p>
        </w:tc>
      </w:tr>
      <w:tr>
        <w:trPr>
          <w:trHeight w:val="20"/>
        </w:trPr>
        <w:tc>
          <w:tcPr>
            <w:tcW w:w="6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 AND SUMMARY OF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Company</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Carriage Services, Inc. (“Carriage,” the “Company,” “we,” “us,” or “our”) is a leading provider of funeral and cemetery services and merchandise in the United States. At December 31, 2020, we operated 178 funeral homes in 26 states and 32 cemeteries in 12 states. Our operations are reported in two business segments: Funeral Home Operations, which currently accounts for approximately 75% of our revenue and Cemetery Operations, which currently accounts for approximately 25% of our revenue.</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Principles of Consolidation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accompanying Consolidated Financial Statements include the Company and its subsidiaries. All significant intercompany balances and transactions have been eliminated.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Reclassifications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Certain reclassifications have been made to prior period amounts to conform to the current period financial statement presentation. Impairments and net loss on divestitures, which were previously reported in </w:t>
      </w:r>
      <w:r>
        <w:rPr>
          <w:rFonts w:ascii="Arial" w:cs="Arial" w:eastAsia="Arial" w:hAnsi="Arial"/>
          <w:sz w:val="14"/>
          <w:szCs w:val="14"/>
          <w:i w:val="1"/>
          <w:iCs w:val="1"/>
          <w:color w:val="auto"/>
        </w:rPr>
        <w:t>Other, net,</w:t>
      </w:r>
      <w:r>
        <w:rPr>
          <w:rFonts w:ascii="Arial" w:cs="Arial" w:eastAsia="Arial" w:hAnsi="Arial"/>
          <w:sz w:val="14"/>
          <w:szCs w:val="14"/>
          <w:color w:val="auto"/>
        </w:rPr>
        <w:t xml:space="preserve"> have been reclassed to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 xml:space="preserve"> within operating income on our Consolidated Statements of Operations with no effect on our previously reported net income, Consolidated Balance Sheet and Consolidated Statements of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9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3"/>
          <w:szCs w:val="13"/>
          <w:color w:val="auto"/>
        </w:rPr>
        <w:t>The preparation of our Consolidated Financial Statements requires us to make estimates and judgments that affect the reported amounts of assets and liabilities, revenue and expenses. On an ongoing basis, we evaluate our significant estimates and judgments, which include those related to the realization of our accounts receivable, valuation of goodwill, intangible assets, deferred tax assets and liabilities and depreciation of property and equipment.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and Cash Equivalents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consider all highly liquid investments purchased with an original maturity of three months or less to be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Funeral and Cemetery Receivables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Our funeral receivables are recorded in </w:t>
      </w:r>
      <w:r>
        <w:rPr>
          <w:rFonts w:ascii="Arial" w:cs="Arial" w:eastAsia="Arial" w:hAnsi="Arial"/>
          <w:sz w:val="14"/>
          <w:szCs w:val="14"/>
          <w:i w:val="1"/>
          <w:iCs w:val="1"/>
          <w:color w:val="auto"/>
        </w:rPr>
        <w:t>Accounts receivable, net</w:t>
      </w:r>
      <w:r>
        <w:rPr>
          <w:rFonts w:ascii="Arial" w:cs="Arial" w:eastAsia="Arial" w:hAnsi="Arial"/>
          <w:sz w:val="14"/>
          <w:szCs w:val="14"/>
          <w:color w:val="auto"/>
        </w:rPr>
        <w:t xml:space="preserve"> and primarily consist of amounts due for funeral services already performed.</w:t>
      </w:r>
    </w:p>
    <w:p>
      <w:pPr>
        <w:spacing w:after="0" w:line="9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Atneed cemetery receivables and preneed cemetery receivables with payments expected to be received within one year from the balance sheet date are recorded in </w:t>
      </w:r>
      <w:r>
        <w:rPr>
          <w:rFonts w:ascii="Arial" w:cs="Arial" w:eastAsia="Arial" w:hAnsi="Arial"/>
          <w:sz w:val="13"/>
          <w:szCs w:val="13"/>
          <w:i w:val="1"/>
          <w:iCs w:val="1"/>
          <w:color w:val="auto"/>
        </w:rPr>
        <w:t>Accounts receivable, net.</w:t>
      </w:r>
      <w:r>
        <w:rPr>
          <w:rFonts w:ascii="Arial" w:cs="Arial" w:eastAsia="Arial" w:hAnsi="Arial"/>
          <w:sz w:val="13"/>
          <w:szCs w:val="13"/>
          <w:color w:val="auto"/>
        </w:rPr>
        <w:t xml:space="preserve"> Preneed cemetery receivables with payments expected to be received beyond one year from the balance sheet date are recorded in </w:t>
      </w:r>
      <w:r>
        <w:rPr>
          <w:rFonts w:ascii="Arial" w:cs="Arial" w:eastAsia="Arial" w:hAnsi="Arial"/>
          <w:sz w:val="13"/>
          <w:szCs w:val="13"/>
          <w:i w:val="1"/>
          <w:iCs w:val="1"/>
          <w:color w:val="auto"/>
        </w:rPr>
        <w:t>Preneed cemetery receivables, net.</w:t>
      </w:r>
      <w:r>
        <w:rPr>
          <w:rFonts w:ascii="Arial" w:cs="Arial" w:eastAsia="Arial" w:hAnsi="Arial"/>
          <w:sz w:val="13"/>
          <w:szCs w:val="13"/>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3"/>
          <w:szCs w:val="13"/>
          <w:i w:val="1"/>
          <w:iCs w:val="1"/>
          <w:color w:val="auto"/>
        </w:rPr>
        <w:t>Other revenue</w:t>
      </w:r>
      <w:r>
        <w:rPr>
          <w:rFonts w:ascii="Arial" w:cs="Arial" w:eastAsia="Arial" w:hAnsi="Arial"/>
          <w:sz w:val="13"/>
          <w:szCs w:val="13"/>
          <w:color w:val="auto"/>
        </w:rPr>
        <w:t>. In substantially all cases, we receive an initial down payment at the time the contract is signed.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5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 xml:space="preserve">In June 2016, the Financial Accounting Standards Board (“FASB”) issued Accounting Standards Update (“ASU”), </w:t>
      </w:r>
      <w:r>
        <w:rPr>
          <w:rFonts w:ascii="Arial" w:cs="Arial" w:eastAsia="Arial" w:hAnsi="Arial"/>
          <w:sz w:val="14"/>
          <w:szCs w:val="14"/>
          <w:i w:val="1"/>
          <w:iCs w:val="1"/>
          <w:color w:val="auto"/>
        </w:rPr>
        <w:t>Financial Instruments – Credit Losses: Measurement of Credit Losses 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Instruments </w:t>
      </w:r>
      <w:r>
        <w:rPr>
          <w:rFonts w:ascii="Arial" w:cs="Arial" w:eastAsia="Arial" w:hAnsi="Arial"/>
          <w:sz w:val="14"/>
          <w:szCs w:val="14"/>
          <w:color w:val="auto"/>
        </w:rPr>
        <w:t>and subsequent amendments collectively known as (“Topic 326”). Topic 326 applies to all entities holding financial assets measured at amortized cost, including loans, trade</w:t>
      </w:r>
      <w:r>
        <w:rPr>
          <w:rFonts w:ascii="Arial" w:cs="Arial" w:eastAsia="Arial" w:hAnsi="Arial"/>
          <w:sz w:val="14"/>
          <w:szCs w:val="14"/>
          <w:i w:val="1"/>
          <w:iCs w:val="1"/>
          <w:color w:val="auto"/>
        </w:rPr>
        <w:t xml:space="preserve"> </w:t>
      </w:r>
      <w:r>
        <w:rPr>
          <w:rFonts w:ascii="Arial" w:cs="Arial" w:eastAsia="Arial" w:hAnsi="Arial"/>
          <w:sz w:val="14"/>
          <w:szCs w:val="14"/>
          <w:color w:val="auto"/>
        </w:rPr>
        <w:t>and financed receivables and other financial instruments. The guidance introduces a new credit reserving model known as Current Expected Credit Loss (“CECL”), which requires earlier recognition of credit losses, while also providing additional transparency about credit risk. The CECL model requires all expected credit losses to be measured based on historical experience, current conditions and reasonable and supportable forecasts about collectability. Prior to adoption of Topic 326, we provided allowances for bad debt and contract cancellations on our receivables based on an analysis of historical trends of collection activity.</w:t>
      </w:r>
    </w:p>
    <w:p>
      <w:pPr>
        <w:spacing w:after="0" w:line="63"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For both funeral and cemetery receivables, 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 During 2020, we increased our allowance for credit losses on our funeral and cemetery receivables as a result of the economic impact of the COVID-19 pandemic (COVID-19).</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Notes 2 and 6 to the Consolidated Financial Statements herein for additional information related to funeral and cemetery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Inventory</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Combinations</w:t>
      </w:r>
    </w:p>
    <w:p>
      <w:pPr>
        <w:spacing w:after="0" w:line="9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January 3, 2020, we acquired one funeral home and cemetery combination business in Lafayette, California.</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During 2019, we acquired, in three separate transactions, two funeral home and cemetery combination businesses, seven funeral home businesses and three ancillary businesses. In October 2019, we acquired the following: (i) four funeral home businesses in Buffalo, New York; and (ii) one funeral home and cemetery combination business, three funeral home businesses and three ancillary businesses, which consist of a flower shop, a pet cremation business and an online cremation business in the Rockwall, Texas area. In December 2019, we acquired one funeral home and cemetery combination business in Fairfax, Virginia.</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pro forma impact of the acquisitions on prior periods is not presented as the impact is not material to our reported results. The results of the acquired businesses are included in our results of operations from the date of acquisition.</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3 to the Consolidated Financial Statements herein for further information related to acquisitions.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Divested Operations</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2"/>
          <w:szCs w:val="12"/>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apply the guidance in ASC 350 – Intangibles – Goodwill and Other to determine the accounting treatment of goodwill for that set (see discussion of Goodwill below). Goodwill is only allocated to the sale if the set is considered to be a business.</w:t>
      </w:r>
    </w:p>
    <w:p>
      <w:pPr>
        <w:spacing w:after="0" w:line="3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During 2020, we sold eight funeral homes for $8.4 million. During 2019, we divested three funeral homes whose building leases expired and sold a funeral home for $0.9 million. In addition, we merged a funeral home with a business in an existing market. During 2018, our management agreement with a Florida municipality expired and as a result, we divested three of our cemeteries. The operating results of these divested funeral homes and cemeteries are reflected on our Consolidated Statements of Operations through the divested date. We continually review our businesses to optimize the sustainable earning power and return on our invested capital.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Notes 4, 5 and 11 to the Consolidated Financial Statements herein for additional information related to divestitures.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9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4"/>
          <w:szCs w:val="14"/>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7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6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64"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As a result of economic conditions caused by COVID-19, we performed a quantitative assessment of our goodwill at March 31, 2020 and we recorded an impairment to goodwill of $13.6 million during the quarter ended March 31, 2020, as the carrying amount of our funeral homes in the Eastern Region Reporting Unit exceeded the fair value.</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our 2020 annual impairment test, we performed a qualitative assessment and determined that there were no factors that would indicate the need to perform an additional quantitative goodwill impairment test. We concluded that it is more-likely-than not that the fair value of our reporting units is greater than their carrying value and thus there was no additional impairment to goodwill.</w:t>
      </w:r>
    </w:p>
    <w:p>
      <w:pPr>
        <w:spacing w:after="0" w:line="5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For our 2019 quantitative assessment, there was no impairment to goodwill as the fair value of our reporting units was greater than the carrying value, however, we recorded a goodwill impairment of $0.7 million during 2019 related to two funeral homes that we divested. We recorded a goodwill impairment of $0.8 million during 2018 related to a funeral home that we divested.</w:t>
      </w:r>
    </w:p>
    <w:p>
      <w:pPr>
        <w:spacing w:after="0" w:line="25"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values of the business being divested and the portion of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reporting unit that will be retained. Additionally, after each divestiture, we test the goodwill remaining in the portion of the reporting unit to be retained for impairment using a qualitative assessment unless we deem a quantitative assessment to be appropriate to ensure the fair value of our reporting units is greater than their carrying value. For the year ended December 31, 2020, we concluded that it is more-likely-than not that the fair value of our reporting units is greater than their carrying value and thus there was no additional impairment to goodwill.</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4 to the Consolidated Financial Statements included herein for additional information related to goodwill.</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Intangible Assets</w:t>
      </w:r>
    </w:p>
    <w:p>
      <w:pPr>
        <w:spacing w:after="0" w:line="9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4"/>
          <w:szCs w:val="14"/>
          <w:color w:val="auto"/>
        </w:rPr>
        <w:t xml:space="preserve">Our intangible assets include tradenames resulting from acquisitions and are included in </w:t>
      </w:r>
      <w:r>
        <w:rPr>
          <w:rFonts w:ascii="Arial" w:cs="Arial" w:eastAsia="Arial" w:hAnsi="Arial"/>
          <w:sz w:val="14"/>
          <w:szCs w:val="14"/>
          <w:i w:val="1"/>
          <w:iCs w:val="1"/>
          <w:color w:val="auto"/>
        </w:rPr>
        <w:t>Intangible and other non-current assets, net</w:t>
      </w:r>
      <w:r>
        <w:rPr>
          <w:rFonts w:ascii="Arial" w:cs="Arial" w:eastAsia="Arial" w:hAnsi="Arial"/>
          <w:sz w:val="14"/>
          <w:szCs w:val="14"/>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7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Our intent is to perform a quantitative impairment test at least once every three years and perform a qualitative assessment during the remaining two years.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w:t>
      </w:r>
    </w:p>
    <w:p>
      <w:pPr>
        <w:spacing w:after="0" w:line="5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As a result of economic conditions caused by COVID-19, we performed a quantitative assessment of our tradenames at March 31, 2020 and we recorded an impairment to tradenames for certain of our funeral homes of $1.1 million during the quarter ended March 31, 2020 as the carrying amount of these tradenames exceeded the fair value.</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our 2020 annual impairment test, we performed a qualitative assessment and determined that there were no factors that would indicate the need to perform an additional quantitative impairment test. We concluded that it is more-likely-than not that the fair value of our intangible assets is greater than its carrying value and thus there was no additional impairment to our intangible assets.</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our 2019 quantitative assessment, we recorded an impairment for tradenames of $0.2 million during the year ended December 31, 2019 as the carrying amount of certain tradenames exceeded the fair value. No impairments were recorded to our intangible assets during the year ended December 31, 2018.</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11 to the Consolidated Financial Statements included herein for additional information related to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Preneed and Perpetual Care Trust Funds</w:t>
      </w:r>
    </w:p>
    <w:p>
      <w:pPr>
        <w:spacing w:after="0" w:line="93"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2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4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 xml:space="preserve">Our trust fund assets are reflected in our financial statements as </w:t>
      </w:r>
      <w:r>
        <w:rPr>
          <w:rFonts w:ascii="Arial" w:cs="Arial" w:eastAsia="Arial" w:hAnsi="Arial"/>
          <w:sz w:val="13"/>
          <w:szCs w:val="13"/>
          <w:i w:val="1"/>
          <w:iCs w:val="1"/>
          <w:color w:val="auto"/>
        </w:rPr>
        <w:t>Preneed cemetery trust investments, Preneed funeral trust investments</w:t>
      </w:r>
      <w:r>
        <w:rPr>
          <w:rFonts w:ascii="Arial" w:cs="Arial" w:eastAsia="Arial" w:hAnsi="Arial"/>
          <w:sz w:val="13"/>
          <w:szCs w:val="13"/>
          <w:color w:val="auto"/>
        </w:rPr>
        <w:t xml:space="preserve"> and </w:t>
      </w:r>
      <w:r>
        <w:rPr>
          <w:rFonts w:ascii="Arial" w:cs="Arial" w:eastAsia="Arial" w:hAnsi="Arial"/>
          <w:sz w:val="13"/>
          <w:szCs w:val="13"/>
          <w:i w:val="1"/>
          <w:iCs w:val="1"/>
          <w:color w:val="auto"/>
        </w:rPr>
        <w:t>Cemetery perpetual care trust investments.</w:t>
      </w:r>
      <w:r>
        <w:rPr>
          <w:rFonts w:ascii="Arial" w:cs="Arial" w:eastAsia="Arial" w:hAnsi="Arial"/>
          <w:sz w:val="13"/>
          <w:szCs w:val="13"/>
          <w:color w:val="auto"/>
        </w:rPr>
        <w:t xml:space="preserve"> We have recognized financial interests of third parties in the trust funds in our financial statements as </w:t>
      </w:r>
      <w:r>
        <w:rPr>
          <w:rFonts w:ascii="Arial" w:cs="Arial" w:eastAsia="Arial" w:hAnsi="Arial"/>
          <w:sz w:val="13"/>
          <w:szCs w:val="13"/>
          <w:i w:val="1"/>
          <w:iCs w:val="1"/>
          <w:color w:val="auto"/>
        </w:rPr>
        <w:t>Deferred preneed funeral and cemetery receipts held in trust</w:t>
      </w:r>
      <w:r>
        <w:rPr>
          <w:rFonts w:ascii="Arial" w:cs="Arial" w:eastAsia="Arial" w:hAnsi="Arial"/>
          <w:sz w:val="13"/>
          <w:szCs w:val="13"/>
          <w:color w:val="auto"/>
        </w:rPr>
        <w:t xml:space="preserve"> and </w:t>
      </w:r>
      <w:r>
        <w:rPr>
          <w:rFonts w:ascii="Arial" w:cs="Arial" w:eastAsia="Arial" w:hAnsi="Arial"/>
          <w:sz w:val="13"/>
          <w:szCs w:val="13"/>
          <w:i w:val="1"/>
          <w:iCs w:val="1"/>
          <w:color w:val="auto"/>
        </w:rPr>
        <w:t>Care trusts’ corpus</w:t>
      </w:r>
      <w:r>
        <w:rPr>
          <w:rFonts w:ascii="Arial" w:cs="Arial" w:eastAsia="Arial" w:hAnsi="Arial"/>
          <w:sz w:val="13"/>
          <w:szCs w:val="13"/>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fair value of our trust fund assets are accounted for as Collateralized Financing Entities (“CFEs”) in ASC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Topic 326 made changes to the accounting for fixed income securities. One such change is to require credit losses to be presented as an allowance rather than as a write-down on fixed income securities management does not intend to sell or believes that it is more likely than not will be required to sell.</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Notes 7 and 8 to the Consolidated Financial Statements herein for additional information related to preneed and perpetual care trust funds.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Measurements</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In August 2018, the FASB amended “Fair Value Measurements” to modify the disclosure requirements related to fair value. The amendment removes requirements to disclose (1) the amount of and reasons for transfers between Levels 1 and 2 of the fair value hierarchy, (2) our policy related to the timing of transfers between levels, and (3) the valuation processes used in Level 3 measurements. It clarifies that the narrative disclosure of the effect of changes in Level 3 inputs should be based on changes that could occur at the reporting date. The amendment adds a requirement to disclose the range and weighted average of the significant unobservable inputs used in Level 3 measurements. We adopted the new standard as of January 1, 2020 and it had no impact on our consolidated results of operations, consolidated financial position, and cash flows</w:t>
      </w:r>
      <w:r>
        <w:rPr>
          <w:rFonts w:ascii="Arial" w:cs="Arial" w:eastAsia="Arial" w:hAnsi="Arial"/>
          <w:sz w:val="9"/>
          <w:szCs w:val="9"/>
          <w:color w:val="auto"/>
        </w:rPr>
        <w:t>.</w:t>
      </w:r>
    </w:p>
    <w:p>
      <w:pPr>
        <w:spacing w:after="0" w:line="6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We measure the securities held by our funeral merchandise and service, cemetery merchandise and service, and cemetery perpetual care trusts at fair value on a recurring basis in accordance with the Fair Value Measurements Topic of the ASC.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31" w:lineRule="exact"/>
        <w:rPr>
          <w:sz w:val="20"/>
          <w:szCs w:val="20"/>
          <w:color w:val="auto"/>
        </w:rPr>
      </w:pPr>
    </w:p>
    <w:p>
      <w:pPr>
        <w:ind w:left="600" w:hanging="87"/>
        <w:spacing w:after="0"/>
        <w:tabs>
          <w:tab w:leader="none" w:pos="600" w:val="left"/>
        </w:tabs>
        <w:numPr>
          <w:ilvl w:val="1"/>
          <w:numId w:val="24"/>
        </w:numPr>
        <w:rPr>
          <w:rFonts w:ascii="Arial" w:cs="Arial" w:eastAsia="Arial" w:hAnsi="Arial"/>
          <w:sz w:val="14"/>
          <w:szCs w:val="14"/>
          <w:color w:val="auto"/>
        </w:rPr>
      </w:pPr>
      <w:r>
        <w:rPr>
          <w:rFonts w:ascii="Arial" w:cs="Arial" w:eastAsia="Arial" w:hAnsi="Arial"/>
          <w:sz w:val="14"/>
          <w:szCs w:val="14"/>
          <w:color w:val="auto"/>
        </w:rPr>
        <w:t>Level 1 — inputs to the valuation methodology are quoted prices (unadjusted) for identical assets or liabilities in active markets;</w:t>
      </w:r>
    </w:p>
    <w:p>
      <w:pPr>
        <w:spacing w:after="0" w:line="71" w:lineRule="exact"/>
        <w:rPr>
          <w:rFonts w:ascii="Arial" w:cs="Arial" w:eastAsia="Arial" w:hAnsi="Arial"/>
          <w:sz w:val="14"/>
          <w:szCs w:val="14"/>
          <w:color w:val="auto"/>
        </w:rPr>
      </w:pPr>
    </w:p>
    <w:p>
      <w:pPr>
        <w:ind w:left="520" w:hanging="7"/>
        <w:spacing w:after="0" w:line="280" w:lineRule="auto"/>
        <w:tabs>
          <w:tab w:leader="none" w:pos="608" w:val="left"/>
        </w:tabs>
        <w:numPr>
          <w:ilvl w:val="1"/>
          <w:numId w:val="24"/>
        </w:numPr>
        <w:rPr>
          <w:rFonts w:ascii="Arial" w:cs="Arial" w:eastAsia="Arial" w:hAnsi="Arial"/>
          <w:sz w:val="14"/>
          <w:szCs w:val="14"/>
          <w:color w:val="auto"/>
        </w:rPr>
      </w:pPr>
      <w:r>
        <w:rPr>
          <w:rFonts w:ascii="Arial" w:cs="Arial" w:eastAsia="Arial" w:hAnsi="Arial"/>
          <w:sz w:val="14"/>
          <w:szCs w:val="14"/>
          <w:color w:val="auto"/>
        </w:rPr>
        <w:t>Level 2 — inputs to the valuation methodology include quoted prices for similar assets or liabilities in active markets, and inputs that are observable for the asset or liability, either directly or indirectly, for substantially the full term of the financial instrument; and</w:t>
      </w:r>
    </w:p>
    <w:p>
      <w:pPr>
        <w:spacing w:after="0" w:line="16" w:lineRule="exact"/>
        <w:rPr>
          <w:rFonts w:ascii="Arial" w:cs="Arial" w:eastAsia="Arial" w:hAnsi="Arial"/>
          <w:sz w:val="14"/>
          <w:szCs w:val="14"/>
          <w:color w:val="auto"/>
        </w:rPr>
      </w:pPr>
    </w:p>
    <w:p>
      <w:pPr>
        <w:ind w:left="240" w:hanging="94"/>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Level 3 — inputs to the valuation methodology are unobservable and significant to the fair value measurement.</w:t>
      </w:r>
    </w:p>
    <w:p>
      <w:pPr>
        <w:spacing w:after="0" w:line="93"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2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risk management techniques when appropriate and when available for a reasonable price.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Notes 7 and 10 to the Consolidated Financial Statements herein for additional required disclosures related to fair value measurement of our financial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Capitalized Commissions on Preneed Contracts</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 Amortization expense totaled $0.6 million for each of the years ended December 31, 2018, 2019 and 2020.</w:t>
      </w:r>
    </w:p>
    <w:p>
      <w:pPr>
        <w:spacing w:after="0" w:line="6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11 to the Consolidated Financial Statements herein for additional information related to capitalized commissions on preneed contracts.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following estimated useful lives of the assets: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Years</w:t>
            </w: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6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to 40</w:t>
            </w:r>
          </w:p>
        </w:tc>
        <w:tc>
          <w:tcPr>
            <w:tcW w:w="20" w:type="dxa"/>
            <w:vAlign w:val="bottom"/>
          </w:tcPr>
          <w:p>
            <w:pPr>
              <w:spacing w:after="0"/>
              <w:rPr>
                <w:sz w:val="15"/>
                <w:szCs w:val="15"/>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 to 10</w:t>
            </w:r>
          </w:p>
        </w:tc>
        <w:tc>
          <w:tcPr>
            <w:tcW w:w="20" w:type="dxa"/>
            <w:vAlign w:val="bottom"/>
          </w:tcPr>
          <w:p>
            <w:pPr>
              <w:spacing w:after="0"/>
              <w:rPr>
                <w:sz w:val="15"/>
                <w:szCs w:val="15"/>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to 15</w:t>
            </w:r>
          </w:p>
        </w:tc>
        <w:tc>
          <w:tcPr>
            <w:tcW w:w="20" w:type="dxa"/>
            <w:vAlign w:val="bottom"/>
          </w:tcPr>
          <w:p>
            <w:pPr>
              <w:spacing w:after="0"/>
              <w:rPr>
                <w:sz w:val="15"/>
                <w:szCs w:val="15"/>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Automobiles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 to 7</w:t>
            </w:r>
            <w:r>
              <w:rPr>
                <w:rFonts w:ascii="Arial" w:cs="Arial" w:eastAsia="Arial" w:hAnsi="Arial"/>
                <w:sz w:val="14"/>
                <w:szCs w:val="14"/>
                <w:color w:val="FFFFFF"/>
              </w:rPr>
              <w:t>0</w:t>
            </w:r>
          </w:p>
        </w:tc>
        <w:tc>
          <w:tcPr>
            <w:tcW w:w="20" w:type="dxa"/>
            <w:vAlign w:val="bottom"/>
          </w:tcPr>
          <w:p>
            <w:pPr>
              <w:spacing w:after="0"/>
              <w:rPr>
                <w:sz w:val="15"/>
                <w:szCs w:val="15"/>
                <w:color w:val="auto"/>
              </w:rPr>
            </w:pPr>
          </w:p>
        </w:tc>
      </w:tr>
      <w:tr>
        <w:trPr>
          <w:trHeight w:val="328"/>
        </w:trPr>
        <w:tc>
          <w:tcPr>
            <w:tcW w:w="7360" w:type="dxa"/>
            <w:vAlign w:val="bottom"/>
          </w:tcPr>
          <w:p>
            <w:pPr>
              <w:ind w:left="320"/>
              <w:spacing w:after="0"/>
              <w:rPr>
                <w:sz w:val="20"/>
                <w:szCs w:val="20"/>
                <w:color w:val="auto"/>
              </w:rPr>
            </w:pPr>
            <w:r>
              <w:rPr>
                <w:rFonts w:ascii="Arial" w:cs="Arial" w:eastAsia="Arial" w:hAnsi="Arial"/>
                <w:sz w:val="14"/>
                <w:szCs w:val="14"/>
                <w:color w:val="auto"/>
              </w:rPr>
              <w:t>Property, plant and equipment is comprised of the following (in thousands):</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2019</w:t>
            </w:r>
          </w:p>
        </w:tc>
        <w:tc>
          <w:tcPr>
            <w:tcW w:w="420" w:type="dxa"/>
            <w:vAlign w:val="bottom"/>
          </w:tcPr>
          <w:p>
            <w:pPr>
              <w:spacing w:after="0"/>
              <w:rPr>
                <w:sz w:val="16"/>
                <w:szCs w:val="16"/>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5"/>
              </w:rPr>
              <w:t>December 31, 2020</w:t>
            </w: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84,608</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82,615</w:t>
            </w:r>
          </w:p>
        </w:tc>
        <w:tc>
          <w:tcPr>
            <w:tcW w:w="20" w:type="dxa"/>
            <w:vAlign w:val="bottom"/>
            <w:tcBorders>
              <w:top w:val="single" w:sz="8" w:color="auto"/>
            </w:tcBorders>
            <w:shd w:val="clear" w:color="auto" w:fill="CCEEFF"/>
          </w:tcPr>
          <w:p>
            <w:pPr>
              <w:spacing w:after="0"/>
              <w:rPr>
                <w:sz w:val="15"/>
                <w:szCs w:val="15"/>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242,641</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240,567</w:t>
            </w:r>
          </w:p>
        </w:tc>
        <w:tc>
          <w:tcPr>
            <w:tcW w:w="20" w:type="dxa"/>
            <w:vAlign w:val="bottom"/>
          </w:tcPr>
          <w:p>
            <w:pPr>
              <w:spacing w:after="0"/>
              <w:rPr>
                <w:sz w:val="15"/>
                <w:szCs w:val="15"/>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and automobiles</w:t>
            </w: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88,046</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91,302</w:t>
            </w:r>
          </w:p>
        </w:tc>
        <w:tc>
          <w:tcPr>
            <w:tcW w:w="20" w:type="dxa"/>
            <w:vAlign w:val="bottom"/>
            <w:tcBorders>
              <w:bottom w:val="single" w:sz="8" w:color="auto"/>
            </w:tcBorders>
            <w:shd w:val="clear" w:color="auto" w:fill="CCEEFF"/>
          </w:tcPr>
          <w:p>
            <w:pPr>
              <w:spacing w:after="0"/>
              <w:rPr>
                <w:sz w:val="15"/>
                <w:szCs w:val="15"/>
                <w:color w:val="auto"/>
              </w:rPr>
            </w:pPr>
          </w:p>
        </w:tc>
      </w:tr>
      <w:tr>
        <w:trPr>
          <w:trHeight w:val="170"/>
        </w:trPr>
        <w:tc>
          <w:tcPr>
            <w:tcW w:w="7360" w:type="dxa"/>
            <w:vAlign w:val="bottom"/>
          </w:tcPr>
          <w:p>
            <w:pPr>
              <w:ind w:left="20"/>
              <w:spacing w:after="0" w:line="160" w:lineRule="exact"/>
              <w:rPr>
                <w:sz w:val="20"/>
                <w:szCs w:val="20"/>
                <w:color w:val="auto"/>
              </w:rPr>
            </w:pPr>
            <w:r>
              <w:rPr>
                <w:rFonts w:ascii="Arial" w:cs="Arial" w:eastAsia="Arial" w:hAnsi="Arial"/>
                <w:sz w:val="14"/>
                <w:szCs w:val="14"/>
                <w:color w:val="auto"/>
              </w:rPr>
              <w:t>Property, plant and equipment, at cost</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415,295</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414,484</w:t>
            </w:r>
          </w:p>
        </w:tc>
        <w:tc>
          <w:tcPr>
            <w:tcW w:w="20" w:type="dxa"/>
            <w:vAlign w:val="bottom"/>
          </w:tcPr>
          <w:p>
            <w:pPr>
              <w:spacing w:after="0"/>
              <w:rPr>
                <w:sz w:val="14"/>
                <w:szCs w:val="14"/>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(136,095)</w:t>
            </w:r>
          </w:p>
        </w:tc>
        <w:tc>
          <w:tcPr>
            <w:tcW w:w="2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(145,433)</w:t>
            </w:r>
          </w:p>
        </w:tc>
      </w:tr>
      <w:tr>
        <w:trPr>
          <w:trHeight w:val="170"/>
        </w:trPr>
        <w:tc>
          <w:tcPr>
            <w:tcW w:w="7360" w:type="dxa"/>
            <w:vAlign w:val="bottom"/>
          </w:tcPr>
          <w:p>
            <w:pPr>
              <w:ind w:left="20"/>
              <w:spacing w:after="0" w:line="160" w:lineRule="exact"/>
              <w:rPr>
                <w:sz w:val="20"/>
                <w:szCs w:val="20"/>
                <w:color w:val="auto"/>
              </w:rPr>
            </w:pPr>
            <w:r>
              <w:rPr>
                <w:rFonts w:ascii="Arial" w:cs="Arial" w:eastAsia="Arial" w:hAnsi="Arial"/>
                <w:sz w:val="14"/>
                <w:szCs w:val="14"/>
                <w:color w:val="auto"/>
              </w:rPr>
              <w:t>Property, plant and equipment, net</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279,200</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269,051</w:t>
            </w:r>
          </w:p>
        </w:tc>
        <w:tc>
          <w:tcPr>
            <w:tcW w:w="20" w:type="dxa"/>
            <w:vAlign w:val="bottom"/>
            <w:tcBorders>
              <w:bottom w:val="single" w:sz="8" w:color="auto"/>
            </w:tcBorders>
          </w:tcPr>
          <w:p>
            <w:pPr>
              <w:spacing w:after="0"/>
              <w:rPr>
                <w:sz w:val="14"/>
                <w:szCs w:val="14"/>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 xml:space="preserve">During 2020, we acquired $1.7 million of property, plant and equipment related to our acquisition that closed on January 3, 2020, described in Note 3 to the Consolidated Financial Statements included herein. In addition, we divested eight funeral homes that had a carrying value of property, plant and equipment of $8.0 million, which was included in the gain or loss on the sale of divestitures and recorded in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 xml:space="preserve"> on our Consolidated Statements of Operations, described in Note 5 to the Consolidated Financial Statements included herein.</w:t>
      </w:r>
    </w:p>
    <w:p>
      <w:pPr>
        <w:spacing w:after="0" w:line="6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During 2019, we acquired $21.7 million of property, plant and equipment in connection with the funeral home and cemetery businesses we acquired during 2019. In addition, we ceased to operate three funeral homes whose building leases expired, sold a funeral home and merged a funeral home in an existing market that had a carrying value of property, plant and equipment of $0.6 million</w:t>
      </w:r>
      <w:r>
        <w:rPr>
          <w:rFonts w:ascii="Arial" w:cs="Arial" w:eastAsia="Arial" w:hAnsi="Arial"/>
          <w:sz w:val="14"/>
          <w:szCs w:val="14"/>
          <w:i w:val="1"/>
          <w:iCs w:val="1"/>
          <w:color w:val="auto"/>
        </w:rPr>
        <w:t>.</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capital expenditures totaled $15.4 million and $15.2 million for the years ended December 31, 2019 and 2020, for property, plant, equipment and cemetery development. We recorded depreciation expense of $13.8 million, $13.8 million and $14.4 million for the years ended December 31, 2018, 2019 and 2020, respectively.</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Long-lived assets, such as property, plant and equipment and right-of-use assets (see leases discussion below) are reviewed for impairment at least annually or whenever events or changes in circumstances indicate that the carrying amount of an asset may not be recoverable in accordance with ASC 360 – Property, Plant and Equipment. This guidance requires that long-lived assets to be held and used are reported at the lower of their carrying amount or fair value. We evaluate our long-lived assets for impairment when a funeral home or cemetery business has negative earnings before interest, taxes, depreciation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amortization (“EBITDA”) for four consecutive years and if there has been a decline in EBITDA in that same period. Assets to be disposed of and assets not expected to provide any future service potential are recorded at the lower of their carrying amount or fair value less estimated cost to sell. If we determine that the carrying value is not recoverable from the proceeds of the sale, we record an impairment at that time.</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In connection with the goodwill impairment recorded for the Eastern Region Reporting Unit during the quarter ended March 31, 2020 we also evaluated the long-lived assets of our funeral homes in the Eastern Region Reporting Unit and concluded that there was no impairment to our long-lived assets. Subsequent to our impairment tests performed at March 31, 2020, we did not identify any new factors or events that would trigger us to perform an additional assessment of our long-lived assets. For our 2020 annual impairment test, no impairment was identified on our long-lived assets at December 31, 2020.</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the year ended December 31, 2019, no impairment was identified on our long-lived assets. For the year ended December 31, 2018, we recorded an impairment of $0.2 million related to the real property of a funeral home that we divested, as the carrying value exceeded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Cemetery Property</w:t>
      </w:r>
    </w:p>
    <w:p>
      <w:pPr>
        <w:spacing w:after="0" w:line="9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4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Cemetery property was $87.0 million and $101.1 million, net of accumulated amortization of $41.7 million and $46.6 million at December 31, 2019 and December 31, 2020,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$3.6 million, $4.0 million and $5.0 million for the years ended December 31, 2018, 2019 and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years. We do not have lease agreements with residual value guarantees, sale-leaseback terms, material restrictive covenants or related parties. We do not have any material sublease arrangements.</w:t>
      </w:r>
    </w:p>
    <w:p>
      <w:pPr>
        <w:spacing w:after="0" w:line="6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5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Operating lease ROU assets are included in </w:t>
      </w:r>
      <w:r>
        <w:rPr>
          <w:rFonts w:ascii="Arial" w:cs="Arial" w:eastAsia="Arial" w:hAnsi="Arial"/>
          <w:sz w:val="14"/>
          <w:szCs w:val="14"/>
          <w:i w:val="1"/>
          <w:iCs w:val="1"/>
          <w:color w:val="auto"/>
        </w:rPr>
        <w:t>Operating lease right-of-use assets</w:t>
      </w:r>
      <w:r>
        <w:rPr>
          <w:rFonts w:ascii="Arial" w:cs="Arial" w:eastAsia="Arial" w:hAnsi="Arial"/>
          <w:sz w:val="14"/>
          <w:szCs w:val="14"/>
          <w:color w:val="auto"/>
        </w:rPr>
        <w:t xml:space="preserve"> and operating lease liabilities are included in </w:t>
      </w:r>
      <w:r>
        <w:rPr>
          <w:rFonts w:ascii="Arial" w:cs="Arial" w:eastAsia="Arial" w:hAnsi="Arial"/>
          <w:sz w:val="14"/>
          <w:szCs w:val="14"/>
          <w:i w:val="1"/>
          <w:iCs w:val="1"/>
          <w:color w:val="auto"/>
        </w:rPr>
        <w:t>Current portion of operating lease obligation</w:t>
      </w:r>
      <w:r>
        <w:rPr>
          <w:rFonts w:ascii="Arial" w:cs="Arial" w:eastAsia="Arial" w:hAnsi="Arial"/>
          <w:sz w:val="14"/>
          <w:szCs w:val="14"/>
          <w:color w:val="auto"/>
        </w:rPr>
        <w:t xml:space="preserve">s and </w:t>
      </w:r>
      <w:r>
        <w:rPr>
          <w:rFonts w:ascii="Arial" w:cs="Arial" w:eastAsia="Arial" w:hAnsi="Arial"/>
          <w:sz w:val="14"/>
          <w:szCs w:val="14"/>
          <w:i w:val="1"/>
          <w:iCs w:val="1"/>
          <w:color w:val="auto"/>
        </w:rPr>
        <w:t>Obligations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under operating leases, net of current portion </w:t>
      </w:r>
      <w:r>
        <w:rPr>
          <w:rFonts w:ascii="Arial" w:cs="Arial" w:eastAsia="Arial" w:hAnsi="Arial"/>
          <w:sz w:val="14"/>
          <w:szCs w:val="14"/>
          <w:color w:val="auto"/>
        </w:rPr>
        <w:t>on our Consolidated Balance Sheet. Finance lease ROU assets are included in</w:t>
      </w:r>
      <w:r>
        <w:rPr>
          <w:rFonts w:ascii="Arial" w:cs="Arial" w:eastAsia="Arial" w:hAnsi="Arial"/>
          <w:sz w:val="14"/>
          <w:szCs w:val="14"/>
          <w:i w:val="1"/>
          <w:iCs w:val="1"/>
          <w:color w:val="auto"/>
        </w:rPr>
        <w:t xml:space="preserve"> Property, plant and equipment, net </w:t>
      </w:r>
      <w:r>
        <w:rPr>
          <w:rFonts w:ascii="Arial" w:cs="Arial" w:eastAsia="Arial" w:hAnsi="Arial"/>
          <w:sz w:val="14"/>
          <w:szCs w:val="14"/>
          <w:color w:val="auto"/>
        </w:rPr>
        <w:t>and finance lease liabilities are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included in </w:t>
      </w:r>
      <w:r>
        <w:rPr>
          <w:rFonts w:ascii="Arial" w:cs="Arial" w:eastAsia="Arial" w:hAnsi="Arial"/>
          <w:sz w:val="14"/>
          <w:szCs w:val="14"/>
          <w:i w:val="1"/>
          <w:iCs w:val="1"/>
          <w:color w:val="auto"/>
        </w:rPr>
        <w:t>Current portion of finance lease obligations</w:t>
      </w:r>
      <w:r>
        <w:rPr>
          <w:rFonts w:ascii="Arial" w:cs="Arial" w:eastAsia="Arial" w:hAnsi="Arial"/>
          <w:sz w:val="14"/>
          <w:szCs w:val="14"/>
          <w:color w:val="auto"/>
        </w:rPr>
        <w:t xml:space="preserve"> and O</w:t>
      </w:r>
      <w:r>
        <w:rPr>
          <w:rFonts w:ascii="Arial" w:cs="Arial" w:eastAsia="Arial" w:hAnsi="Arial"/>
          <w:sz w:val="14"/>
          <w:szCs w:val="14"/>
          <w:i w:val="1"/>
          <w:iCs w:val="1"/>
          <w:color w:val="auto"/>
        </w:rPr>
        <w:t>bligations under finance leases, net of current portion</w:t>
      </w:r>
      <w:r>
        <w:rPr>
          <w:rFonts w:ascii="Arial" w:cs="Arial" w:eastAsia="Arial" w:hAnsi="Arial"/>
          <w:sz w:val="14"/>
          <w:szCs w:val="14"/>
          <w:color w:val="auto"/>
        </w:rPr>
        <w:t xml:space="preserve"> on our Consolidated Balance Sheet.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In connection with the goodwill and intangible impairment tests performed at March 31, 2020, we also evaluated the operating and finance leases of our funeral homes in the Eastern Reporting Unit and concluded that there was no impairment to our operating and finance lease assets. Subsequent to our impairment tests performed at March 31, 2020, we did not identify any new factors or events that would trigger us to perform an additional assessment of our operating and finance leases. See discussion of our impairment policy for long-lived assets and right-of-use assets above.</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15 to the Consolidated Financial Statements included herein for additional information related to leases.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Plans and Stock-Based Compensation</w:t>
      </w:r>
    </w:p>
    <w:p>
      <w:pPr>
        <w:spacing w:after="0" w:line="93"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22"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Fair value is determined on the date of the grant. The fair value of stock awards is determined using the stock price on the grant date. The fair value of stock options is determined using the Black-Scholes valuation model. The fair value of the performance awards related to market performance conditions is determined using a Monte-Carlo simulation pricing model. The fair value of the ESPP is determined based on the discount element offered to employees and the embedded option element, which is determined using an option calculation model.</w:t>
      </w:r>
    </w:p>
    <w:p>
      <w:pPr>
        <w:spacing w:after="0" w:line="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For the years ended December 31, 2018, 2019 and 2020, the excess tax deficiency related to share-based payments was approximately $0.8 million, $0.4 million and $0.1 million, respectively, recorded within </w:t>
      </w:r>
      <w:r>
        <w:rPr>
          <w:rFonts w:ascii="Arial" w:cs="Arial" w:eastAsia="Arial" w:hAnsi="Arial"/>
          <w:sz w:val="13"/>
          <w:szCs w:val="13"/>
          <w:i w:val="1"/>
          <w:iCs w:val="1"/>
          <w:color w:val="auto"/>
        </w:rPr>
        <w:t>Tax adjustment related to discrete items</w:t>
      </w:r>
      <w:r>
        <w:rPr>
          <w:rFonts w:ascii="Arial" w:cs="Arial" w:eastAsia="Arial" w:hAnsi="Arial"/>
          <w:sz w:val="13"/>
          <w:szCs w:val="13"/>
          <w:color w:val="auto"/>
        </w:rPr>
        <w:t xml:space="preserve"> on our Consolidated Statements of Operations. Excess tax benefits or deficiencies related to share-based payments are included in operating cash flows on the Consolidated Statements of Cash Flows.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18 to the Consolidated Financial Statements included herein for additional information related to equity plans and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9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Sales taxes collected are recognized on a net basis on our Consolidated Financial Statements. On our atneed contracts, we generally deliver the merchandise and perform the services at the time of need.</w:t>
      </w:r>
    </w:p>
    <w:p>
      <w:pPr>
        <w:spacing w:after="0" w:line="45"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4"/>
          <w:szCs w:val="14"/>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62"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4"/>
          <w:szCs w:val="14"/>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4"/>
          <w:szCs w:val="14"/>
          <w:i w:val="1"/>
          <w:iCs w:val="1"/>
          <w:color w:val="auto"/>
        </w:rPr>
        <w:t>Revenue</w:t>
      </w:r>
      <w:r>
        <w:rPr>
          <w:rFonts w:ascii="Arial" w:cs="Arial" w:eastAsia="Arial" w:hAnsi="Arial"/>
          <w:sz w:val="14"/>
          <w:szCs w:val="14"/>
          <w:color w:val="auto"/>
        </w:rPr>
        <w:t>. We recognize revenue when the merchandise is transferred or the service is performed, in satisfaction of the corresponding performance obligation. Sales taxes collected are recognized on a net basis on our Consolidated Financial Statements.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Ancillary funeral service revenue, which is recorded in </w:t>
      </w:r>
      <w:r>
        <w:rPr>
          <w:rFonts w:ascii="Arial" w:cs="Arial" w:eastAsia="Arial" w:hAnsi="Arial"/>
          <w:sz w:val="14"/>
          <w:szCs w:val="14"/>
          <w:i w:val="1"/>
          <w:iCs w:val="1"/>
          <w:color w:val="auto"/>
        </w:rPr>
        <w:t>Other revenue,</w:t>
      </w:r>
      <w:r>
        <w:rPr>
          <w:rFonts w:ascii="Arial" w:cs="Arial" w:eastAsia="Arial" w:hAnsi="Arial"/>
          <w:sz w:val="14"/>
          <w:szCs w:val="14"/>
          <w:color w:val="auto"/>
        </w:rPr>
        <w:t xml:space="preserve"> represents revenue from our flower shop, pet cremation and online cremation businesses in Texas</w:t>
      </w:r>
      <w:r>
        <w:rPr>
          <w:rFonts w:ascii="Arial" w:cs="Arial" w:eastAsia="Arial" w:hAnsi="Arial"/>
          <w:sz w:val="14"/>
          <w:szCs w:val="14"/>
          <w:i w:val="1"/>
          <w:iCs w:val="1"/>
          <w:color w:val="auto"/>
        </w:rPr>
        <w:t>.</w:t>
      </w:r>
    </w:p>
    <w:p>
      <w:pPr>
        <w:spacing w:after="0" w:line="93" w:lineRule="exact"/>
        <w:rPr>
          <w:sz w:val="20"/>
          <w:szCs w:val="20"/>
          <w:color w:val="auto"/>
        </w:rPr>
      </w:pPr>
    </w:p>
    <w:p>
      <w:pPr>
        <w:jc w:val="both"/>
        <w:ind w:firstLine="254"/>
        <w:spacing w:after="0" w:line="320" w:lineRule="auto"/>
        <w:rPr>
          <w:sz w:val="20"/>
          <w:szCs w:val="20"/>
          <w:color w:val="auto"/>
        </w:rPr>
      </w:pPr>
      <w:r>
        <w:rPr>
          <w:rFonts w:ascii="Arial" w:cs="Arial" w:eastAsia="Arial" w:hAnsi="Arial"/>
          <w:sz w:val="13"/>
          <w:szCs w:val="13"/>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3"/>
          <w:szCs w:val="13"/>
          <w:i w:val="1"/>
          <w:iCs w:val="1"/>
          <w:color w:val="auto"/>
        </w:rPr>
        <w:t>Other revenue</w:t>
      </w:r>
      <w:r>
        <w:rPr>
          <w:rFonts w:ascii="Arial" w:cs="Arial" w:eastAsia="Arial" w:hAnsi="Arial"/>
          <w:sz w:val="13"/>
          <w:szCs w:val="13"/>
          <w:color w:val="auto"/>
        </w:rPr>
        <w:t>. As of December 31, 2020, CSV RIA provided investment management and advisory services to approximately 80% of our trust assets, for a fee based on the market value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trust assets. Under state trust laws, we are allowed to charge the trust a fee for advising on the investment of the trust assets and these fees are recognized as income in the period in which services are provided.</w:t>
      </w:r>
    </w:p>
    <w:p>
      <w:pPr>
        <w:spacing w:after="0" w:line="48"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 xml:space="preserve">Balances due on undelivered preneed funeral trust contracts have been reclassified to reduce </w:t>
      </w:r>
      <w:r>
        <w:rPr>
          <w:rFonts w:ascii="Arial" w:cs="Arial" w:eastAsia="Arial" w:hAnsi="Arial"/>
          <w:sz w:val="14"/>
          <w:szCs w:val="14"/>
          <w:i w:val="1"/>
          <w:iCs w:val="1"/>
          <w:color w:val="auto"/>
        </w:rPr>
        <w:t>Deferred preneed funeral revenue</w:t>
      </w:r>
      <w:r>
        <w:rPr>
          <w:rFonts w:ascii="Arial" w:cs="Arial" w:eastAsia="Arial" w:hAnsi="Arial"/>
          <w:sz w:val="14"/>
          <w:szCs w:val="14"/>
          <w:color w:val="auto"/>
        </w:rPr>
        <w:t xml:space="preserve"> on our Consolidated Balance Sheet of $8.9 million and $8.2 million at December 31, 2019 and December 31, 2020,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58" w:lineRule="exact"/>
        <w:rPr>
          <w:sz w:val="20"/>
          <w:szCs w:val="20"/>
          <w:color w:val="auto"/>
        </w:rPr>
      </w:pPr>
    </w:p>
    <w:p>
      <w:pPr>
        <w:jc w:val="both"/>
        <w:ind w:firstLine="254"/>
        <w:spacing w:after="0" w:line="259" w:lineRule="auto"/>
        <w:rPr>
          <w:sz w:val="20"/>
          <w:szCs w:val="20"/>
          <w:color w:val="auto"/>
        </w:rPr>
      </w:pPr>
      <w:r>
        <w:rPr>
          <w:rFonts w:ascii="Arial" w:cs="Arial" w:eastAsia="Arial" w:hAnsi="Arial"/>
          <w:sz w:val="14"/>
          <w:szCs w:val="14"/>
          <w:color w:val="auto"/>
        </w:rPr>
        <w:t xml:space="preserve">Balances due from customers on delivered preneed cemetery contracts are included in </w:t>
      </w:r>
      <w:r>
        <w:rPr>
          <w:rFonts w:ascii="Arial" w:cs="Arial" w:eastAsia="Arial" w:hAnsi="Arial"/>
          <w:sz w:val="14"/>
          <w:szCs w:val="14"/>
          <w:i w:val="1"/>
          <w:iCs w:val="1"/>
          <w:color w:val="auto"/>
        </w:rPr>
        <w:t>Accounts receivable, net</w:t>
      </w:r>
      <w:r>
        <w:rPr>
          <w:rFonts w:ascii="Arial" w:cs="Arial" w:eastAsia="Arial" w:hAnsi="Arial"/>
          <w:sz w:val="14"/>
          <w:szCs w:val="14"/>
          <w:color w:val="auto"/>
        </w:rPr>
        <w:t xml:space="preserve"> and </w:t>
      </w:r>
      <w:r>
        <w:rPr>
          <w:rFonts w:ascii="Arial" w:cs="Arial" w:eastAsia="Arial" w:hAnsi="Arial"/>
          <w:sz w:val="14"/>
          <w:szCs w:val="14"/>
          <w:i w:val="1"/>
          <w:iCs w:val="1"/>
          <w:color w:val="auto"/>
        </w:rPr>
        <w:t>Preneed cemetery receivables, net</w:t>
      </w:r>
      <w:r>
        <w:rPr>
          <w:rFonts w:ascii="Arial" w:cs="Arial" w:eastAsia="Arial" w:hAnsi="Arial"/>
          <w:sz w:val="14"/>
          <w:szCs w:val="14"/>
          <w:color w:val="auto"/>
        </w:rPr>
        <w:t xml:space="preserve"> on our Consolidated Balance Sheet. Balances due on undelivered preneed cemetery contracts have been reclassified to reduce </w:t>
      </w:r>
      <w:r>
        <w:rPr>
          <w:rFonts w:ascii="Arial" w:cs="Arial" w:eastAsia="Arial" w:hAnsi="Arial"/>
          <w:sz w:val="14"/>
          <w:szCs w:val="14"/>
          <w:i w:val="1"/>
          <w:iCs w:val="1"/>
          <w:color w:val="auto"/>
        </w:rPr>
        <w:t>Deferred preneed cemetery revenue</w:t>
      </w:r>
      <w:r>
        <w:rPr>
          <w:rFonts w:ascii="Arial" w:cs="Arial" w:eastAsia="Arial" w:hAnsi="Arial"/>
          <w:sz w:val="14"/>
          <w:szCs w:val="14"/>
          <w:color w:val="auto"/>
        </w:rPr>
        <w:t xml:space="preserve"> on our Consolidated Balance Sheet. The transaction price allocated to preneed merchandise and service performance obligations that were unfulfilled was $4.8 million and $7.9 million at December 31, 2019 and December 31, 2020,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Notes 21 to the Consolidated Financial Statements herein for additional information related to revenue.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and our subsidiaries file a consolidated U. S. federal income tax return, separate income tax returns in 15 states and combined or unitary income tax returns in 14 states. We record deferred taxes for temporary differences between the tax basis and financial reporting basis of assets and liabilities. We classify our deferred tax liabilities and assets as non-current on our Consolidated Balance Sheet.</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recently passed Coronavirus Aid, Relief, and Economic Security Act (the “CARES Act”) has certain provisions that are applicable to the Company as follows:</w:t>
      </w:r>
    </w:p>
    <w:p>
      <w:pPr>
        <w:spacing w:after="0" w:line="93" w:lineRule="exact"/>
        <w:rPr>
          <w:sz w:val="20"/>
          <w:szCs w:val="20"/>
          <w:color w:val="auto"/>
        </w:rPr>
      </w:pPr>
    </w:p>
    <w:p>
      <w:pPr>
        <w:ind w:left="500" w:hanging="178"/>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allowing net operating losses (“NOLs”) arising in 2018, 2019 and 2020 to be carried back five years;</w:t>
      </w:r>
    </w:p>
    <w:p>
      <w:pPr>
        <w:spacing w:after="0" w:line="93" w:lineRule="exact"/>
        <w:rPr>
          <w:rFonts w:ascii="Arial" w:cs="Arial" w:eastAsia="Arial" w:hAnsi="Arial"/>
          <w:sz w:val="14"/>
          <w:szCs w:val="14"/>
          <w:color w:val="auto"/>
        </w:rPr>
      </w:pPr>
    </w:p>
    <w:p>
      <w:pPr>
        <w:ind w:left="540" w:hanging="218"/>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increasing the taxable income threshold on the interest deduction from 30% to 50% for tax years beginning in 2019 and 2020;</w:t>
      </w:r>
    </w:p>
    <w:p>
      <w:pPr>
        <w:spacing w:after="0" w:line="93" w:lineRule="exact"/>
        <w:rPr>
          <w:rFonts w:ascii="Arial" w:cs="Arial" w:eastAsia="Arial" w:hAnsi="Arial"/>
          <w:sz w:val="14"/>
          <w:szCs w:val="14"/>
          <w:color w:val="auto"/>
        </w:rPr>
      </w:pPr>
    </w:p>
    <w:p>
      <w:pPr>
        <w:ind w:firstLine="322"/>
        <w:spacing w:after="0" w:line="280" w:lineRule="auto"/>
        <w:tabs>
          <w:tab w:leader="none" w:pos="568"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suspending payment requirements for the 6.2% employer portion of Social Security taxes from the date of enactment through the end of 2020, with half the balance due by the end of 2021, and the other half due by the end of 2022; and</w:t>
      </w:r>
    </w:p>
    <w:p>
      <w:pPr>
        <w:spacing w:after="0" w:line="47" w:lineRule="exact"/>
        <w:rPr>
          <w:rFonts w:ascii="Arial" w:cs="Arial" w:eastAsia="Arial" w:hAnsi="Arial"/>
          <w:sz w:val="14"/>
          <w:szCs w:val="14"/>
          <w:color w:val="auto"/>
        </w:rPr>
      </w:pPr>
    </w:p>
    <w:p>
      <w:pPr>
        <w:ind w:left="560" w:hanging="238"/>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receive employee retention credits up to $5,000 for paying wages to employees who are unable to work, while business operations are suspended.</w:t>
      </w:r>
    </w:p>
    <w:p>
      <w:pPr>
        <w:spacing w:after="0" w:line="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In connection with the CARES Act, we filed a claim for a refund on June 30, 2020, to carryback the NOLs generated in the tax year ended December 31, 2018. The refund claim from the 2018 tax year was received on August 7, 2020. An additional carryback claim for a refund was filed on November 3, 2020 for the tax year ended December 31, 2019. The refund from this filing has not yet been received. On December 4, 2020, Carriage filed an amended federal return for the tax year ended December 31, 2018, in order to take full advantage of the CARES Act legislative changes. The changes reported in the amended return resulted in additional $2.3 million of loss. The additional losses generated from the amended filing will be administratively carried back and processed as part of the Joint Committee review of the 2018 carryback claim.</w:t>
      </w:r>
    </w:p>
    <w:p>
      <w:pPr>
        <w:spacing w:after="0" w:line="6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majority of the NOLs generated in tax years 2018 and 2019 are the result of filing non-automatic accounting method changes relating to the recognition of revenue from our cemetery property and merchandise and services sales. Due to the uncertainty of the timing of receiving Internal Revenue Service (“IRS”) approval of the method change applications, a reserve has been recorded against the net cash tax benefit derived from carrying back the NOLs generated to tax years in which the enacted federal rate was 35%. The Company's unrecognized tax benefit reserve for the years ended December 31, 2019 and 2020 was $0.7 million and $3.7 million, respectively. There was no reserve recorded at December 31, 2018.</w:t>
      </w:r>
    </w:p>
    <w:p>
      <w:pPr>
        <w:spacing w:after="0" w:line="4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Additional benefits stemming from the CARES Act are the deferral of approximately $3.5 million of the 6.2% employer portion of Social Security taxes and approximately $0.4 million employer retention credits for qualifying wages paid to employees unable to work due to governmental restrictions.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17 to the Consolidated Financial Statements included herein for additional information related to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Computation of Earnings Per Common Share</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our Convertible Notes (as defined in Note 13).</w:t>
      </w:r>
    </w:p>
    <w:p>
      <w:pPr>
        <w:spacing w:after="0" w:line="58"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Share-based awards that contain non-forfeitable rights to dividends or dividend equivalents, whether paid or unpaid, are recognized as participating securities and included in the computation of both basic and diluted earnings per share. Our grants of stock awards to our employees are considered participating securities, and we have prepared our earnings per share calculations attributable to common stockholders to exclude earnings allocated to unvested restricted stock awards, using the two-class method, in both the basic and diluted weighted average shares outstanding calculation.</w:t>
      </w:r>
    </w:p>
    <w:p>
      <w:pPr>
        <w:spacing w:after="0" w:line="2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fully diluted weighted average shares outstanding for the years ended December 31, 2018, 2019 and 2020, and the corresponding calculation of fully diluted earnings per share, included 337,000, 10,000 and 9,000 shares that would have been issued upon the conversion of our Convertible Notes as a result of the application of the if-converted method prescribed by the FASB ASC 260.</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20 to the Consolidated Financial Statements included herein related to the computation of per share earnings.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Correction of Immaterial Error</w:t>
      </w:r>
    </w:p>
    <w:p>
      <w:pPr>
        <w:spacing w:after="0" w:line="9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 xml:space="preserve">During the fourth quarter of 2020, we corrected an immaterial error related to the net unrealized gains and losses associated with our trust investments. We previously recognized the net unrealized gains and losses associated with our trust investments in </w:t>
      </w:r>
      <w:r>
        <w:rPr>
          <w:rFonts w:ascii="Arial" w:cs="Arial" w:eastAsia="Arial" w:hAnsi="Arial"/>
          <w:sz w:val="13"/>
          <w:szCs w:val="13"/>
          <w:i w:val="1"/>
          <w:iCs w:val="1"/>
          <w:color w:val="auto"/>
        </w:rPr>
        <w:t>Accumulated other comprehensive income</w:t>
      </w:r>
      <w:r>
        <w:rPr>
          <w:rFonts w:ascii="Arial" w:cs="Arial" w:eastAsia="Arial" w:hAnsi="Arial"/>
          <w:sz w:val="13"/>
          <w:szCs w:val="13"/>
          <w:color w:val="auto"/>
        </w:rPr>
        <w:t xml:space="preserve"> (“OCI”). In accordance with ASC 810, the fair value of our trust fund assets are accounted for as CFEs. We have determined the fair value of the financial assets of the trust is more observable and we first measure those financial assets at fair value. Our fair value of the financial liabilities mirror the fair value of the financial assets, in accordance with the ASC. Any changes in fair value are recognized in earnings. As such, we have made the adjustment to reflect changes in unrealized gains and losses related to our trust securities in </w:t>
      </w:r>
      <w:r>
        <w:rPr>
          <w:rFonts w:ascii="Arial" w:cs="Arial" w:eastAsia="Arial" w:hAnsi="Arial"/>
          <w:sz w:val="13"/>
          <w:szCs w:val="13"/>
          <w:i w:val="1"/>
          <w:iCs w:val="1"/>
          <w:color w:val="auto"/>
        </w:rPr>
        <w:t>Other, net</w:t>
      </w:r>
      <w:r>
        <w:rPr>
          <w:rFonts w:ascii="Arial" w:cs="Arial" w:eastAsia="Arial" w:hAnsi="Arial"/>
          <w:sz w:val="13"/>
          <w:szCs w:val="13"/>
          <w:color w:val="auto"/>
        </w:rPr>
        <w:t xml:space="preserve"> on our Consolidated Statements of Operations.</w:t>
      </w:r>
    </w:p>
    <w:p>
      <w:pPr>
        <w:spacing w:after="0" w:line="4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The net unrealized gains and losses in our </w:t>
      </w:r>
      <w:r>
        <w:rPr>
          <w:rFonts w:ascii="Arial" w:cs="Arial" w:eastAsia="Arial" w:hAnsi="Arial"/>
          <w:sz w:val="14"/>
          <w:szCs w:val="14"/>
          <w:i w:val="1"/>
          <w:iCs w:val="1"/>
          <w:color w:val="auto"/>
        </w:rPr>
        <w:t>Preneed cemetery trust investments</w:t>
      </w:r>
      <w:r>
        <w:rPr>
          <w:rFonts w:ascii="Arial" w:cs="Arial" w:eastAsia="Arial" w:hAnsi="Arial"/>
          <w:sz w:val="14"/>
          <w:szCs w:val="14"/>
          <w:color w:val="auto"/>
        </w:rPr>
        <w:t xml:space="preserve">, </w:t>
      </w:r>
      <w:r>
        <w:rPr>
          <w:rFonts w:ascii="Arial" w:cs="Arial" w:eastAsia="Arial" w:hAnsi="Arial"/>
          <w:sz w:val="14"/>
          <w:szCs w:val="14"/>
          <w:i w:val="1"/>
          <w:iCs w:val="1"/>
          <w:color w:val="auto"/>
        </w:rPr>
        <w:t>Preneed funeral trust investments</w:t>
      </w:r>
      <w:r>
        <w:rPr>
          <w:rFonts w:ascii="Arial" w:cs="Arial" w:eastAsia="Arial" w:hAnsi="Arial"/>
          <w:sz w:val="14"/>
          <w:szCs w:val="14"/>
          <w:color w:val="auto"/>
        </w:rPr>
        <w:t xml:space="preserve"> and </w:t>
      </w:r>
      <w:r>
        <w:rPr>
          <w:rFonts w:ascii="Arial" w:cs="Arial" w:eastAsia="Arial" w:hAnsi="Arial"/>
          <w:sz w:val="14"/>
          <w:szCs w:val="14"/>
          <w:i w:val="1"/>
          <w:iCs w:val="1"/>
          <w:color w:val="auto"/>
        </w:rPr>
        <w:t>Cemetery perpetual care trust investments</w:t>
      </w:r>
      <w:r>
        <w:rPr>
          <w:rFonts w:ascii="Arial" w:cs="Arial" w:eastAsia="Arial" w:hAnsi="Arial"/>
          <w:sz w:val="14"/>
          <w:szCs w:val="14"/>
          <w:color w:val="auto"/>
        </w:rPr>
        <w:t xml:space="preserve"> are equally offset by the net unrealized gains and losses in our </w:t>
      </w:r>
      <w:r>
        <w:rPr>
          <w:rFonts w:ascii="Arial" w:cs="Arial" w:eastAsia="Arial" w:hAnsi="Arial"/>
          <w:sz w:val="14"/>
          <w:szCs w:val="14"/>
          <w:i w:val="1"/>
          <w:iCs w:val="1"/>
          <w:color w:val="auto"/>
        </w:rPr>
        <w:t>Deferred preneed funeral and cemetery receipts held in trust and Care trusts’ corpus</w:t>
      </w:r>
      <w:r>
        <w:rPr>
          <w:rFonts w:ascii="Arial" w:cs="Arial" w:eastAsia="Arial" w:hAnsi="Arial"/>
          <w:sz w:val="14"/>
          <w:szCs w:val="14"/>
          <w:color w:val="auto"/>
        </w:rPr>
        <w:t>, which results in a net impact of zero.</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Management evaluated the effect of the adjustment on previously issued interim and annual Consolidated Financial Statements and concluded that it was immaterial to the interim and annual periods. This adjustment had no impact on our Consolidated Balance Sheet, Consolidated Statements of Operations and Consolidated Statements of Cash Flows for the years ended December 31, 2018 and 2019.</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Subsequent Events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have evaluated events and transactions during the period subsequent to December 31, 2020 through the date the financial statements were issued for potential recognition or disclosure in the accompanying financial statements covered by this report.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25 to the Consolidated Financial Statements included herein for additional information related to subsequent events.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RECENTLY ISSUED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Measurements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In August 2018, the FASB issued ASU,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(“Topic 820”) to modify the disclosure requirements related to fair value. The amendment removes requirements to disclose</w:t>
      </w:r>
    </w:p>
    <w:p>
      <w:pPr>
        <w:spacing w:after="0" w:line="30" w:lineRule="exact"/>
        <w:rPr>
          <w:sz w:val="20"/>
          <w:szCs w:val="20"/>
          <w:color w:val="auto"/>
        </w:rPr>
      </w:pPr>
    </w:p>
    <w:p>
      <w:pPr>
        <w:jc w:val="both"/>
        <w:ind w:firstLine="5"/>
        <w:spacing w:after="0" w:line="255" w:lineRule="auto"/>
        <w:tabs>
          <w:tab w:leader="none" w:pos="20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of and reasons for transfers between levels 1 and 2 of the fair value hierarchy, (2) our policy related to the timing of transfers between levels, and (3) the valuation processes used in level 3 measurements. It clarifies that, for investments measured at net asset value, disclosure of liquidation timing is only required if the investee has communicated the timing either to us or publicly. It also clarifies that the narrative disclosure of the effect of changes in level 3 inputs should be based on changes that could occur at the reporting date. The amendment adds a requirement to disclose the range and weighted average of the significant unobservable inputs used in level 3 measurements. On January 1, 2020, we adopted the new standard and the impact was not material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 - Credit Losses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January 1, 2020, we adopted Topic 326 using the modified retrospective method and the impact was not material to our Consolidated Financial Statements. See Notes 6 and 7 to the Consolidated Financial Statements herein for additional disclosures required by Topic 326.</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93"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 xml:space="preserve">In December 2019, the FASB issued ASU,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(“Topic 740”). The amendments in this ASU simplify the accounting for income taxes by removing certain exceptions such as (1) exception to the incremental approach for intraperiod tax allocation when there is a loss from continuing operations and income or a gain from other items (for example, discontinued operations or other comprehensive income) and (2) exception to the general methodology for calculating income taxes in an interim period when a year-to-date loss exceeds the anticipated loss for the year.</w:t>
      </w:r>
    </w:p>
    <w:p>
      <w:pPr>
        <w:spacing w:after="0" w:line="4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In addition, the ASU allows for the following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requiring that an entity reflect the effect of an enacted change in tax laws or rates in the annual effective tax rate computation in the interim period that includes the enactment date and (4) making minor codification improvements for income taxes related to employee stock ownership plans accounted for using the equity method. On January 1, 2020, we early adopted the provisions of this ASU using the prospective method and the impact was not material to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Pronouncements Not Yet Adopted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Reference Rate Reform</w:t>
      </w:r>
    </w:p>
    <w:p>
      <w:pPr>
        <w:spacing w:after="0" w:line="9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 xml:space="preserve">In March 2020, the FASB issued ASU, </w:t>
      </w:r>
      <w:r>
        <w:rPr>
          <w:rFonts w:ascii="Arial" w:cs="Arial" w:eastAsia="Arial" w:hAnsi="Arial"/>
          <w:sz w:val="13"/>
          <w:szCs w:val="13"/>
          <w:i w:val="1"/>
          <w:iCs w:val="1"/>
          <w:color w:val="auto"/>
        </w:rPr>
        <w:t>Reference Rate Reform</w:t>
      </w:r>
      <w:r>
        <w:rPr>
          <w:rFonts w:ascii="Arial" w:cs="Arial" w:eastAsia="Arial" w:hAnsi="Arial"/>
          <w:sz w:val="13"/>
          <w:szCs w:val="13"/>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Company did not utilize the optional expedients and exceptions provided by this ASU during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ACQUISITIONS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January 3, 2020, we acquired one funeral home and cemetery combination business in Lafayette, California for $33.0 million in cash, of which $5.0 million was deposited in escrow in 2019 and $28.0 million was paid at closing in 2020. We acquired substantially all of the assets and assumed certain operating liabilities of these businesses.</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pro forma impact of this acquisition on prior periods is not presented, as the impact is not significant to our reported results. The results of the acquired business are reflected on our Consolidated Statements of Operations from the date of acquisition.</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Subsequent to our initial purchase price allocation for this acquisition made during the first quarter of 2020, we have adjusted our purchase price allocation based on additional information which became available prior to December 31,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00" w:type="dxa"/>
            <w:vAlign w:val="bottom"/>
            <w:gridSpan w:val="9"/>
          </w:tcPr>
          <w:p>
            <w:pPr>
              <w:jc w:val="right"/>
              <w:ind w:right="69"/>
              <w:spacing w:after="0"/>
              <w:rPr>
                <w:sz w:val="20"/>
                <w:szCs w:val="20"/>
                <w:color w:val="auto"/>
              </w:rPr>
            </w:pPr>
            <w:r>
              <w:rPr>
                <w:rFonts w:ascii="Arial" w:cs="Arial" w:eastAsia="Arial" w:hAnsi="Arial"/>
                <w:sz w:val="14"/>
                <w:szCs w:val="14"/>
                <w:b w:val="1"/>
                <w:bCs w:val="1"/>
                <w:color w:val="auto"/>
              </w:rPr>
              <w:t>NOTES TO CONSOLIDATED FINANCIAL STATEMENTS (continued)</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5"/>
        </w:trPr>
        <w:tc>
          <w:tcPr>
            <w:tcW w:w="380" w:type="dxa"/>
            <w:vAlign w:val="bottom"/>
          </w:tcPr>
          <w:p>
            <w:pPr>
              <w:spacing w:after="0"/>
              <w:rPr>
                <w:sz w:val="20"/>
                <w:szCs w:val="20"/>
                <w:color w:val="auto"/>
              </w:rPr>
            </w:pPr>
            <w:r>
              <w:rPr>
                <w:rFonts w:ascii="Arial" w:cs="Arial" w:eastAsia="Arial" w:hAnsi="Arial"/>
                <w:sz w:val="14"/>
                <w:szCs w:val="14"/>
                <w:color w:val="auto"/>
              </w:rPr>
              <w:t>The</w:t>
            </w:r>
          </w:p>
        </w:tc>
        <w:tc>
          <w:tcPr>
            <w:tcW w:w="920" w:type="dxa"/>
            <w:vAlign w:val="bottom"/>
          </w:tcPr>
          <w:p>
            <w:pPr>
              <w:ind w:left="160"/>
              <w:spacing w:after="0"/>
              <w:rPr>
                <w:sz w:val="20"/>
                <w:szCs w:val="20"/>
                <w:color w:val="auto"/>
              </w:rPr>
            </w:pPr>
            <w:r>
              <w:rPr>
                <w:rFonts w:ascii="Arial" w:cs="Arial" w:eastAsia="Arial" w:hAnsi="Arial"/>
                <w:sz w:val="14"/>
                <w:szCs w:val="14"/>
                <w:color w:val="auto"/>
              </w:rPr>
              <w:t>following</w:t>
            </w:r>
          </w:p>
        </w:tc>
        <w:tc>
          <w:tcPr>
            <w:tcW w:w="540" w:type="dxa"/>
            <w:vAlign w:val="bottom"/>
          </w:tcPr>
          <w:p>
            <w:pPr>
              <w:ind w:left="100"/>
              <w:spacing w:after="0"/>
              <w:rPr>
                <w:sz w:val="20"/>
                <w:szCs w:val="20"/>
                <w:color w:val="auto"/>
              </w:rPr>
            </w:pPr>
            <w:r>
              <w:rPr>
                <w:rFonts w:ascii="Arial" w:cs="Arial" w:eastAsia="Arial" w:hAnsi="Arial"/>
                <w:sz w:val="14"/>
                <w:szCs w:val="14"/>
                <w:color w:val="auto"/>
              </w:rPr>
              <w:t>table</w:t>
            </w:r>
          </w:p>
        </w:tc>
        <w:tc>
          <w:tcPr>
            <w:tcW w:w="980" w:type="dxa"/>
            <w:vAlign w:val="bottom"/>
          </w:tcPr>
          <w:p>
            <w:pPr>
              <w:ind w:left="160"/>
              <w:spacing w:after="0"/>
              <w:rPr>
                <w:sz w:val="20"/>
                <w:szCs w:val="20"/>
                <w:color w:val="auto"/>
              </w:rPr>
            </w:pPr>
            <w:r>
              <w:rPr>
                <w:rFonts w:ascii="Arial" w:cs="Arial" w:eastAsia="Arial" w:hAnsi="Arial"/>
                <w:sz w:val="14"/>
                <w:szCs w:val="14"/>
                <w:color w:val="auto"/>
              </w:rPr>
              <w:t>summarizes</w:t>
            </w:r>
          </w:p>
        </w:tc>
        <w:tc>
          <w:tcPr>
            <w:tcW w:w="480" w:type="dxa"/>
            <w:vAlign w:val="bottom"/>
          </w:tcPr>
          <w:p>
            <w:pPr>
              <w:ind w:left="160"/>
              <w:spacing w:after="0"/>
              <w:rPr>
                <w:sz w:val="20"/>
                <w:szCs w:val="20"/>
                <w:color w:val="auto"/>
              </w:rPr>
            </w:pPr>
            <w:r>
              <w:rPr>
                <w:rFonts w:ascii="Arial" w:cs="Arial" w:eastAsia="Arial" w:hAnsi="Arial"/>
                <w:sz w:val="14"/>
                <w:szCs w:val="14"/>
                <w:color w:val="auto"/>
              </w:rPr>
              <w:t>the</w:t>
            </w:r>
          </w:p>
        </w:tc>
        <w:tc>
          <w:tcPr>
            <w:tcW w:w="960" w:type="dxa"/>
            <w:vAlign w:val="bottom"/>
          </w:tcPr>
          <w:p>
            <w:pPr>
              <w:ind w:left="180"/>
              <w:spacing w:after="0"/>
              <w:rPr>
                <w:sz w:val="20"/>
                <w:szCs w:val="20"/>
                <w:color w:val="auto"/>
              </w:rPr>
            </w:pPr>
            <w:r>
              <w:rPr>
                <w:rFonts w:ascii="Arial" w:cs="Arial" w:eastAsia="Arial" w:hAnsi="Arial"/>
                <w:sz w:val="14"/>
                <w:szCs w:val="14"/>
                <w:color w:val="auto"/>
              </w:rPr>
              <w:t>breakdown</w:t>
            </w:r>
          </w:p>
        </w:tc>
        <w:tc>
          <w:tcPr>
            <w:tcW w:w="440" w:type="dxa"/>
            <w:vAlign w:val="bottom"/>
          </w:tcPr>
          <w:p>
            <w:pPr>
              <w:ind w:left="160"/>
              <w:spacing w:after="0"/>
              <w:rPr>
                <w:sz w:val="20"/>
                <w:szCs w:val="20"/>
                <w:color w:val="auto"/>
              </w:rPr>
            </w:pPr>
            <w:r>
              <w:rPr>
                <w:rFonts w:ascii="Arial" w:cs="Arial" w:eastAsia="Arial" w:hAnsi="Arial"/>
                <w:sz w:val="14"/>
                <w:szCs w:val="14"/>
                <w:color w:val="auto"/>
              </w:rPr>
              <w:t>of</w:t>
            </w:r>
          </w:p>
        </w:tc>
        <w:tc>
          <w:tcPr>
            <w:tcW w:w="480" w:type="dxa"/>
            <w:vAlign w:val="bottom"/>
          </w:tcPr>
          <w:p>
            <w:pPr>
              <w:ind w:left="160"/>
              <w:spacing w:after="0"/>
              <w:rPr>
                <w:sz w:val="20"/>
                <w:szCs w:val="20"/>
                <w:color w:val="auto"/>
              </w:rPr>
            </w:pPr>
            <w:r>
              <w:rPr>
                <w:rFonts w:ascii="Arial" w:cs="Arial" w:eastAsia="Arial" w:hAnsi="Arial"/>
                <w:sz w:val="14"/>
                <w:szCs w:val="14"/>
                <w:color w:val="auto"/>
              </w:rPr>
              <w:t>the</w:t>
            </w:r>
          </w:p>
        </w:tc>
        <w:tc>
          <w:tcPr>
            <w:tcW w:w="920" w:type="dxa"/>
            <w:vAlign w:val="bottom"/>
            <w:gridSpan w:val="2"/>
          </w:tcPr>
          <w:p>
            <w:pPr>
              <w:jc w:val="right"/>
              <w:ind w:right="189"/>
              <w:spacing w:after="0"/>
              <w:rPr>
                <w:sz w:val="20"/>
                <w:szCs w:val="20"/>
                <w:color w:val="auto"/>
              </w:rPr>
            </w:pPr>
            <w:r>
              <w:rPr>
                <w:rFonts w:ascii="Arial" w:cs="Arial" w:eastAsia="Arial" w:hAnsi="Arial"/>
                <w:sz w:val="14"/>
                <w:szCs w:val="14"/>
                <w:color w:val="auto"/>
              </w:rPr>
              <w:t>purchase</w:t>
            </w:r>
          </w:p>
        </w:tc>
        <w:tc>
          <w:tcPr>
            <w:tcW w:w="380" w:type="dxa"/>
            <w:vAlign w:val="bottom"/>
          </w:tcPr>
          <w:p>
            <w:pPr>
              <w:ind w:left="60"/>
              <w:spacing w:after="0"/>
              <w:rPr>
                <w:sz w:val="20"/>
                <w:szCs w:val="20"/>
                <w:color w:val="auto"/>
              </w:rPr>
            </w:pPr>
            <w:r>
              <w:rPr>
                <w:rFonts w:ascii="Arial" w:cs="Arial" w:eastAsia="Arial" w:hAnsi="Arial"/>
                <w:sz w:val="14"/>
                <w:szCs w:val="14"/>
                <w:color w:val="auto"/>
                <w:w w:val="98"/>
              </w:rPr>
              <w:t>price</w:t>
            </w:r>
          </w:p>
        </w:tc>
        <w:tc>
          <w:tcPr>
            <w:tcW w:w="1120" w:type="dxa"/>
            <w:vAlign w:val="bottom"/>
          </w:tcPr>
          <w:p>
            <w:pPr>
              <w:jc w:val="right"/>
              <w:ind w:right="210"/>
              <w:spacing w:after="0"/>
              <w:rPr>
                <w:sz w:val="20"/>
                <w:szCs w:val="20"/>
                <w:color w:val="auto"/>
              </w:rPr>
            </w:pPr>
            <w:r>
              <w:rPr>
                <w:rFonts w:ascii="Arial" w:cs="Arial" w:eastAsia="Arial" w:hAnsi="Arial"/>
                <w:sz w:val="14"/>
                <w:szCs w:val="14"/>
                <w:color w:val="auto"/>
              </w:rPr>
              <w:t>allocation</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for</w:t>
            </w:r>
          </w:p>
        </w:tc>
        <w:tc>
          <w:tcPr>
            <w:tcW w:w="460" w:type="dxa"/>
            <w:vAlign w:val="bottom"/>
          </w:tcPr>
          <w:p>
            <w:pPr>
              <w:ind w:left="120"/>
              <w:spacing w:after="0"/>
              <w:rPr>
                <w:sz w:val="20"/>
                <w:szCs w:val="20"/>
                <w:color w:val="auto"/>
              </w:rPr>
            </w:pPr>
            <w:r>
              <w:rPr>
                <w:rFonts w:ascii="Arial" w:cs="Arial" w:eastAsia="Arial" w:hAnsi="Arial"/>
                <w:sz w:val="14"/>
                <w:szCs w:val="14"/>
                <w:color w:val="auto"/>
              </w:rPr>
              <w:t>our</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2020</w:t>
            </w:r>
          </w:p>
        </w:tc>
        <w:tc>
          <w:tcPr>
            <w:tcW w:w="960" w:type="dxa"/>
            <w:vAlign w:val="bottom"/>
            <w:gridSpan w:val="3"/>
          </w:tcPr>
          <w:p>
            <w:pPr>
              <w:jc w:val="right"/>
              <w:ind w:right="91"/>
              <w:spacing w:after="0"/>
              <w:rPr>
                <w:sz w:val="20"/>
                <w:szCs w:val="20"/>
                <w:color w:val="auto"/>
              </w:rPr>
            </w:pPr>
            <w:r>
              <w:rPr>
                <w:rFonts w:ascii="Arial" w:cs="Arial" w:eastAsia="Arial" w:hAnsi="Arial"/>
                <w:sz w:val="14"/>
                <w:szCs w:val="14"/>
                <w:color w:val="auto"/>
              </w:rPr>
              <w:t>acquisition</w:t>
            </w:r>
          </w:p>
        </w:tc>
        <w:tc>
          <w:tcPr>
            <w:tcW w:w="460" w:type="dxa"/>
            <w:vAlign w:val="bottom"/>
          </w:tcPr>
          <w:p>
            <w:pPr>
              <w:ind w:left="160"/>
              <w:spacing w:after="0"/>
              <w:rPr>
                <w:sz w:val="20"/>
                <w:szCs w:val="20"/>
                <w:color w:val="auto"/>
              </w:rPr>
            </w:pPr>
            <w:r>
              <w:rPr>
                <w:rFonts w:ascii="Arial" w:cs="Arial" w:eastAsia="Arial" w:hAnsi="Arial"/>
                <w:sz w:val="14"/>
                <w:szCs w:val="14"/>
                <w:color w:val="auto"/>
              </w:rPr>
              <w:t>(in</w:t>
            </w:r>
          </w:p>
        </w:tc>
        <w:tc>
          <w:tcPr>
            <w:tcW w:w="820" w:type="dxa"/>
            <w:vAlign w:val="bottom"/>
          </w:tcPr>
          <w:p>
            <w:pPr>
              <w:jc w:val="right"/>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3"/>
                <w:szCs w:val="13"/>
                <w:b w:val="1"/>
                <w:bCs w:val="1"/>
                <w:color w:val="auto"/>
                <w:w w:val="95"/>
              </w:rPr>
              <w:t>Initial Purchase Price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auto"/>
              </w:rPr>
              <w:t>Adjustments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right"/>
              <w:ind w:right="89"/>
              <w:spacing w:after="0"/>
              <w:rPr>
                <w:sz w:val="20"/>
                <w:szCs w:val="20"/>
                <w:color w:val="auto"/>
              </w:rPr>
            </w:pPr>
            <w:r>
              <w:rPr>
                <w:rFonts w:ascii="Arial" w:cs="Arial" w:eastAsia="Arial" w:hAnsi="Arial"/>
                <w:sz w:val="13"/>
                <w:szCs w:val="13"/>
                <w:b w:val="1"/>
                <w:bCs w:val="1"/>
                <w:color w:val="auto"/>
                <w:w w:val="95"/>
              </w:rPr>
              <w:t>Adjusted Purchase Price</w:t>
            </w:r>
          </w:p>
        </w:tc>
        <w:tc>
          <w:tcPr>
            <w:tcW w:w="0" w:type="dxa"/>
            <w:vAlign w:val="bottom"/>
          </w:tcPr>
          <w:p>
            <w:pPr>
              <w:spacing w:after="0"/>
              <w:rPr>
                <w:sz w:val="1"/>
                <w:szCs w:val="1"/>
                <w:color w:val="auto"/>
              </w:rPr>
            </w:pPr>
          </w:p>
        </w:tc>
      </w:tr>
      <w:tr>
        <w:trPr>
          <w:trHeight w:val="167"/>
        </w:trPr>
        <w:tc>
          <w:tcPr>
            <w:tcW w:w="3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w w:val="89"/>
              </w:rPr>
              <w:t>Allocation</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3"/>
                <w:szCs w:val="13"/>
                <w:b w:val="1"/>
                <w:bCs w:val="1"/>
                <w:color w:val="auto"/>
              </w:rPr>
              <w:t>Allocation</w:t>
            </w:r>
          </w:p>
        </w:tc>
        <w:tc>
          <w:tcPr>
            <w:tcW w:w="0" w:type="dxa"/>
            <w:vAlign w:val="bottom"/>
          </w:tcPr>
          <w:p>
            <w:pPr>
              <w:spacing w:after="0"/>
              <w:rPr>
                <w:sz w:val="1"/>
                <w:szCs w:val="1"/>
                <w:color w:val="auto"/>
              </w:rPr>
            </w:pPr>
          </w:p>
        </w:tc>
      </w:tr>
      <w:tr>
        <w:trPr>
          <w:trHeight w:val="173"/>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180"/>
        </w:trPr>
        <w:tc>
          <w:tcPr>
            <w:tcW w:w="1300" w:type="dxa"/>
            <w:vAlign w:val="bottom"/>
            <w:gridSpan w:val="2"/>
          </w:tcPr>
          <w:p>
            <w:pPr>
              <w:ind w:left="20"/>
              <w:spacing w:after="0"/>
              <w:rPr>
                <w:sz w:val="20"/>
                <w:szCs w:val="20"/>
                <w:color w:val="auto"/>
              </w:rPr>
            </w:pPr>
            <w:r>
              <w:rPr>
                <w:rFonts w:ascii="Arial" w:cs="Arial" w:eastAsia="Arial" w:hAnsi="Arial"/>
                <w:sz w:val="14"/>
                <w:szCs w:val="14"/>
                <w:color w:val="auto"/>
              </w:rPr>
              <w:t>Trust investments</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9,089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9,089</w:t>
            </w:r>
          </w:p>
        </w:tc>
        <w:tc>
          <w:tcPr>
            <w:tcW w:w="0" w:type="dxa"/>
            <w:vAlign w:val="bottom"/>
          </w:tcPr>
          <w:p>
            <w:pPr>
              <w:spacing w:after="0"/>
              <w:rPr>
                <w:sz w:val="1"/>
                <w:szCs w:val="1"/>
                <w:color w:val="auto"/>
              </w:rPr>
            </w:pPr>
          </w:p>
        </w:tc>
      </w:tr>
      <w:tr>
        <w:trPr>
          <w:trHeight w:val="180"/>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Property, plant &amp; equipment</w:t>
            </w: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80"/>
        </w:trPr>
        <w:tc>
          <w:tcPr>
            <w:tcW w:w="1300" w:type="dxa"/>
            <w:vAlign w:val="bottom"/>
            <w:gridSpan w:val="2"/>
          </w:tcPr>
          <w:p>
            <w:pPr>
              <w:ind w:left="20"/>
              <w:spacing w:after="0"/>
              <w:rPr>
                <w:sz w:val="20"/>
                <w:szCs w:val="20"/>
                <w:color w:val="auto"/>
              </w:rPr>
            </w:pPr>
            <w:r>
              <w:rPr>
                <w:rFonts w:ascii="Arial" w:cs="Arial" w:eastAsia="Arial" w:hAnsi="Arial"/>
                <w:sz w:val="14"/>
                <w:szCs w:val="14"/>
                <w:color w:val="auto"/>
              </w:rPr>
              <w:t>Cemetery property</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14,753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14,835</w:t>
            </w:r>
          </w:p>
        </w:tc>
        <w:tc>
          <w:tcPr>
            <w:tcW w:w="0" w:type="dxa"/>
            <w:vAlign w:val="bottom"/>
          </w:tcPr>
          <w:p>
            <w:pPr>
              <w:spacing w:after="0"/>
              <w:rPr>
                <w:sz w:val="1"/>
                <w:szCs w:val="1"/>
                <w:color w:val="auto"/>
              </w:rPr>
            </w:pPr>
          </w:p>
        </w:tc>
      </w:tr>
      <w:tr>
        <w:trPr>
          <w:trHeight w:val="18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13,416</w:t>
            </w:r>
          </w:p>
        </w:tc>
        <w:tc>
          <w:tcPr>
            <w:tcW w:w="0" w:type="dxa"/>
            <w:vAlign w:val="bottom"/>
          </w:tcPr>
          <w:p>
            <w:pPr>
              <w:spacing w:after="0"/>
              <w:rPr>
                <w:sz w:val="1"/>
                <w:szCs w:val="1"/>
                <w:color w:val="auto"/>
              </w:rPr>
            </w:pPr>
          </w:p>
        </w:tc>
      </w:tr>
      <w:tr>
        <w:trPr>
          <w:trHeight w:val="180"/>
        </w:trPr>
        <w:tc>
          <w:tcPr>
            <w:tcW w:w="2820" w:type="dxa"/>
            <w:vAlign w:val="bottom"/>
            <w:gridSpan w:val="4"/>
          </w:tcPr>
          <w:p>
            <w:pPr>
              <w:ind w:left="20"/>
              <w:spacing w:after="0"/>
              <w:rPr>
                <w:sz w:val="20"/>
                <w:szCs w:val="20"/>
                <w:color w:val="auto"/>
              </w:rPr>
            </w:pPr>
            <w:r>
              <w:rPr>
                <w:rFonts w:ascii="Arial" w:cs="Arial" w:eastAsia="Arial" w:hAnsi="Arial"/>
                <w:sz w:val="14"/>
                <w:szCs w:val="14"/>
                <w:color w:val="auto"/>
              </w:rPr>
              <w:t>Intangible and other non-current assets</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(628)</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8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Assumed liabilities</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4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80"/>
        </w:trPr>
        <w:tc>
          <w:tcPr>
            <w:tcW w:w="1300" w:type="dxa"/>
            <w:vAlign w:val="bottom"/>
            <w:gridSpan w:val="2"/>
          </w:tcPr>
          <w:p>
            <w:pPr>
              <w:ind w:left="20"/>
              <w:spacing w:after="0"/>
              <w:rPr>
                <w:sz w:val="20"/>
                <w:szCs w:val="20"/>
                <w:color w:val="auto"/>
              </w:rPr>
            </w:pPr>
            <w:r>
              <w:rPr>
                <w:rFonts w:ascii="Arial" w:cs="Arial" w:eastAsia="Arial" w:hAnsi="Arial"/>
                <w:sz w:val="14"/>
                <w:szCs w:val="14"/>
                <w:color w:val="auto"/>
              </w:rPr>
              <w:t>Deferred tax liability</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80"/>
        </w:trPr>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Trust liabilities</w:t>
            </w: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(9,089)</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Deferred revenue</w:t>
            </w:r>
          </w:p>
        </w:tc>
        <w:tc>
          <w:tcPr>
            <w:tcW w:w="5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CCEEFF"/>
            </w:tcBorders>
            <w:gridSpan w:val="2"/>
            <w:shd w:val="clear" w:color="auto" w:fill="CCEEFF"/>
          </w:tcPr>
          <w:p>
            <w:pPr>
              <w:ind w:left="20"/>
              <w:spacing w:after="0" w:line="160" w:lineRule="exact"/>
              <w:rPr>
                <w:sz w:val="20"/>
                <w:szCs w:val="20"/>
                <w:color w:val="auto"/>
              </w:rPr>
            </w:pPr>
            <w:r>
              <w:rPr>
                <w:rFonts w:ascii="Arial" w:cs="Arial" w:eastAsia="Arial" w:hAnsi="Arial"/>
                <w:sz w:val="14"/>
                <w:szCs w:val="14"/>
                <w:color w:val="auto"/>
              </w:rPr>
              <w:t>Purchase price</w:t>
            </w:r>
          </w:p>
        </w:tc>
        <w:tc>
          <w:tcPr>
            <w:tcW w:w="5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current assets primarily relate to preneed cemetery receivables. The intangible and other non-current assets primarily relate to the fair value of tradenames. The assumed liabilities primarily relate to the obligations associated with delivered preneed merchandise that were not paid for prior to acquisition. The goodwill recorded for our 2020 acquisition is expected to be deductible for tax purposes. As of December 31, 2020, our accounting for our 2020 acquisition is complete.</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October 9, 2019, we acquired four funeral home businesses in Buffalo, New York for $15.3 million in cash. On October 28, 2020, we acquired one funeral home and cemetery combination business, three funeral home businesses and three ancillary service businesses, which consist of a flower shop, a pet cremation business and an online cremation business, in the Rockwall, Texas area for $23.6 million in cash.</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December 31, 2019, pursuant to the Transactions Agreement dated November 25, 2019 with Calvary Memorial Park, Inc. and Fairfax Memorial Funeral Home, LLC, all of the outstanding equity interests of one funeral and cemetery combination business in Fairfax, Virginia were acquired for $102.0 million in cash.</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fair value of the assets acquired for our 2020 acquisition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35"/>
              <w:spacing w:after="0" w:line="142" w:lineRule="exact"/>
              <w:rPr>
                <w:sz w:val="20"/>
                <w:szCs w:val="20"/>
                <w:color w:val="auto"/>
              </w:rPr>
            </w:pPr>
            <w:r>
              <w:rPr>
                <w:rFonts w:ascii="Arial" w:cs="Arial" w:eastAsia="Arial" w:hAnsi="Arial"/>
                <w:sz w:val="13"/>
                <w:szCs w:val="13"/>
                <w:color w:val="auto"/>
                <w:w w:val="81"/>
              </w:rPr>
              <w:t>Assets</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135"/>
              <w:spacing w:after="0"/>
              <w:rPr>
                <w:sz w:val="20"/>
                <w:szCs w:val="20"/>
                <w:color w:val="auto"/>
              </w:rPr>
            </w:pPr>
            <w:r>
              <w:rPr>
                <w:rFonts w:ascii="Arial" w:cs="Arial" w:eastAsia="Arial" w:hAnsi="Arial"/>
                <w:sz w:val="13"/>
                <w:szCs w:val="13"/>
                <w:color w:val="auto"/>
                <w:w w:val="97"/>
              </w:rPr>
              <w:t>Liabilities</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280"/>
              <w:spacing w:after="0" w:line="128" w:lineRule="exact"/>
              <w:rPr>
                <w:sz w:val="20"/>
                <w:szCs w:val="20"/>
                <w:color w:val="auto"/>
              </w:rPr>
            </w:pPr>
            <w:r>
              <w:rPr>
                <w:rFonts w:ascii="Arial" w:cs="Arial" w:eastAsia="Arial" w:hAnsi="Arial"/>
                <w:sz w:val="13"/>
                <w:szCs w:val="13"/>
                <w:color w:val="auto"/>
                <w:w w:val="93"/>
              </w:rPr>
              <w:t>Acquired</w:t>
            </w:r>
          </w:p>
        </w:tc>
        <w:tc>
          <w:tcPr>
            <w:tcW w:w="20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color w:val="auto"/>
              </w:rPr>
              <w:t>Goodwill</w:t>
            </w: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40" w:type="dxa"/>
            <w:vAlign w:val="bottom"/>
            <w:gridSpan w:val="2"/>
            <w:vMerge w:val="restart"/>
          </w:tcPr>
          <w:p>
            <w:pPr>
              <w:ind w:left="20"/>
              <w:spacing w:after="0"/>
              <w:rPr>
                <w:sz w:val="20"/>
                <w:szCs w:val="20"/>
                <w:color w:val="auto"/>
              </w:rPr>
            </w:pPr>
            <w:r>
              <w:rPr>
                <w:rFonts w:ascii="Arial" w:cs="Arial" w:eastAsia="Arial" w:hAnsi="Arial"/>
                <w:sz w:val="13"/>
                <w:szCs w:val="13"/>
                <w:color w:val="auto"/>
              </w:rPr>
              <w:t>Acquisition Date</w:t>
            </w:r>
          </w:p>
        </w:tc>
        <w:tc>
          <w:tcPr>
            <w:tcW w:w="4380" w:type="dxa"/>
            <w:vAlign w:val="bottom"/>
            <w:gridSpan w:val="2"/>
            <w:vMerge w:val="restart"/>
          </w:tcPr>
          <w:p>
            <w:pPr>
              <w:ind w:left="20"/>
              <w:spacing w:after="0"/>
              <w:rPr>
                <w:sz w:val="20"/>
                <w:szCs w:val="20"/>
                <w:color w:val="auto"/>
              </w:rPr>
            </w:pPr>
            <w:r>
              <w:rPr>
                <w:rFonts w:ascii="Arial" w:cs="Arial" w:eastAsia="Arial" w:hAnsi="Arial"/>
                <w:sz w:val="13"/>
                <w:szCs w:val="13"/>
                <w:color w:val="auto"/>
              </w:rPr>
              <w:t>Type of Business</w:t>
            </w:r>
          </w:p>
        </w:tc>
        <w:tc>
          <w:tcPr>
            <w:tcW w:w="1520" w:type="dxa"/>
            <w:vAlign w:val="bottom"/>
            <w:gridSpan w:val="2"/>
            <w:vMerge w:val="restart"/>
          </w:tcPr>
          <w:p>
            <w:pPr>
              <w:ind w:left="20"/>
              <w:spacing w:after="0"/>
              <w:rPr>
                <w:sz w:val="20"/>
                <w:szCs w:val="20"/>
                <w:color w:val="auto"/>
              </w:rPr>
            </w:pPr>
            <w:r>
              <w:rPr>
                <w:rFonts w:ascii="Arial" w:cs="Arial" w:eastAsia="Arial" w:hAnsi="Arial"/>
                <w:sz w:val="13"/>
                <w:szCs w:val="13"/>
                <w:color w:val="auto"/>
              </w:rPr>
              <w:t>Market</w:t>
            </w:r>
          </w:p>
        </w:tc>
        <w:tc>
          <w:tcPr>
            <w:tcW w:w="200" w:type="dxa"/>
            <w:vAlign w:val="bottom"/>
          </w:tcPr>
          <w:p>
            <w:pPr>
              <w:spacing w:after="0"/>
              <w:rPr>
                <w:sz w:val="11"/>
                <w:szCs w:val="11"/>
                <w:color w:val="auto"/>
              </w:rPr>
            </w:pPr>
          </w:p>
        </w:tc>
        <w:tc>
          <w:tcPr>
            <w:tcW w:w="1080" w:type="dxa"/>
            <w:vAlign w:val="bottom"/>
            <w:gridSpan w:val="2"/>
          </w:tcPr>
          <w:p>
            <w:pPr>
              <w:jc w:val="center"/>
              <w:ind w:right="280"/>
              <w:spacing w:after="0" w:line="128" w:lineRule="exact"/>
              <w:rPr>
                <w:sz w:val="20"/>
                <w:szCs w:val="20"/>
                <w:color w:val="auto"/>
              </w:rPr>
            </w:pPr>
            <w:r>
              <w:rPr>
                <w:rFonts w:ascii="Arial" w:cs="Arial" w:eastAsia="Arial" w:hAnsi="Arial"/>
                <w:sz w:val="13"/>
                <w:szCs w:val="13"/>
                <w:color w:val="auto"/>
                <w:w w:val="92"/>
              </w:rPr>
              <w:t>(Excluding</w:t>
            </w: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5"/>
              <w:spacing w:after="0" w:line="128" w:lineRule="exact"/>
              <w:rPr>
                <w:sz w:val="20"/>
                <w:szCs w:val="20"/>
                <w:color w:val="auto"/>
              </w:rPr>
            </w:pPr>
            <w:r>
              <w:rPr>
                <w:rFonts w:ascii="Arial" w:cs="Arial" w:eastAsia="Arial" w:hAnsi="Arial"/>
                <w:sz w:val="13"/>
                <w:szCs w:val="13"/>
                <w:color w:val="auto"/>
                <w:w w:val="87"/>
              </w:rPr>
              <w:t>and Debt</w:t>
            </w:r>
          </w:p>
        </w:tc>
        <w:tc>
          <w:tcPr>
            <w:tcW w:w="0" w:type="dxa"/>
            <w:vAlign w:val="bottom"/>
          </w:tcPr>
          <w:p>
            <w:pPr>
              <w:spacing w:after="0"/>
              <w:rPr>
                <w:sz w:val="1"/>
                <w:szCs w:val="1"/>
                <w:color w:val="auto"/>
              </w:rPr>
            </w:pPr>
          </w:p>
        </w:tc>
      </w:tr>
      <w:tr>
        <w:trPr>
          <w:trHeight w:val="163"/>
        </w:trPr>
        <w:tc>
          <w:tcPr>
            <w:tcW w:w="1840" w:type="dxa"/>
            <w:vAlign w:val="bottom"/>
            <w:gridSpan w:val="2"/>
            <w:vMerge w:val="continue"/>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color w:val="auto"/>
                <w:w w:val="95"/>
              </w:rPr>
              <w:t>Goodwill)</w:t>
            </w: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color w:val="auto"/>
              </w:rPr>
              <w:t>Recorded</w:t>
            </w:r>
          </w:p>
        </w:tc>
        <w:tc>
          <w:tcPr>
            <w:tcW w:w="1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3"/>
                <w:szCs w:val="13"/>
                <w:color w:val="auto"/>
                <w:w w:val="88"/>
              </w:rPr>
              <w:t>Assumed</w:t>
            </w:r>
          </w:p>
        </w:tc>
        <w:tc>
          <w:tcPr>
            <w:tcW w:w="0" w:type="dxa"/>
            <w:vAlign w:val="bottom"/>
          </w:tcPr>
          <w:p>
            <w:pPr>
              <w:spacing w:after="0"/>
              <w:rPr>
                <w:sz w:val="1"/>
                <w:szCs w:val="1"/>
                <w:color w:val="auto"/>
              </w:rPr>
            </w:pPr>
          </w:p>
        </w:tc>
      </w:tr>
      <w:tr>
        <w:trPr>
          <w:trHeight w:val="173"/>
        </w:trPr>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January 3, 2020</w:t>
            </w:r>
          </w:p>
        </w:tc>
        <w:tc>
          <w:tcPr>
            <w:tcW w:w="10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One Funeral Home and Cemetery Combination</w:t>
            </w: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Lafayette, CA</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30,292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13,416</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firstLine="318"/>
        <w:spacing w:after="0" w:line="297" w:lineRule="auto"/>
        <w:rPr>
          <w:sz w:val="20"/>
          <w:szCs w:val="20"/>
          <w:color w:val="auto"/>
        </w:rPr>
      </w:pPr>
      <w:r>
        <w:rPr>
          <w:rFonts w:ascii="Arial" w:cs="Arial" w:eastAsia="Arial" w:hAnsi="Arial"/>
          <w:sz w:val="13"/>
          <w:szCs w:val="13"/>
          <w:color w:val="auto"/>
        </w:rPr>
        <w:t>We recorded adjustments to the purchase price allocation for our 2019 acquisitions during the year ended December 31, 2020. The following table summarizes the breakdown of the purchase price allocation for these businesses and the subsequent adjustments made based on additional information which became available subsequent to the acquisitions (in thousands):</w:t>
      </w:r>
    </w:p>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340"/>
              <w:spacing w:after="0" w:line="128" w:lineRule="exact"/>
              <w:rPr>
                <w:sz w:val="20"/>
                <w:szCs w:val="20"/>
                <w:color w:val="auto"/>
              </w:rPr>
            </w:pPr>
            <w:r>
              <w:rPr>
                <w:rFonts w:ascii="Arial" w:cs="Arial" w:eastAsia="Arial" w:hAnsi="Arial"/>
                <w:sz w:val="13"/>
                <w:szCs w:val="13"/>
                <w:b w:val="1"/>
                <w:bCs w:val="1"/>
                <w:color w:val="auto"/>
                <w:w w:val="89"/>
              </w:rPr>
              <w:t>Initial Purchase Price</w:t>
            </w: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Pr>
          <w:p>
            <w:pPr>
              <w:spacing w:after="0"/>
              <w:rPr>
                <w:sz w:val="11"/>
                <w:szCs w:val="11"/>
                <w:color w:val="auto"/>
              </w:rPr>
            </w:pPr>
          </w:p>
        </w:tc>
        <w:tc>
          <w:tcPr>
            <w:tcW w:w="1520" w:type="dxa"/>
            <w:vAlign w:val="bottom"/>
          </w:tcPr>
          <w:p>
            <w:pPr>
              <w:jc w:val="right"/>
              <w:ind w:right="91"/>
              <w:spacing w:after="0" w:line="128" w:lineRule="exact"/>
              <w:rPr>
                <w:sz w:val="20"/>
                <w:szCs w:val="20"/>
                <w:color w:val="auto"/>
              </w:rPr>
            </w:pPr>
            <w:r>
              <w:rPr>
                <w:rFonts w:ascii="Arial" w:cs="Arial" w:eastAsia="Arial" w:hAnsi="Arial"/>
                <w:sz w:val="13"/>
                <w:szCs w:val="13"/>
                <w:b w:val="1"/>
                <w:bCs w:val="1"/>
                <w:color w:val="auto"/>
                <w:w w:val="87"/>
              </w:rPr>
              <w:t>Adjusted Purchase Price</w:t>
            </w: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Allocation</w:t>
            </w:r>
          </w:p>
        </w:tc>
        <w:tc>
          <w:tcPr>
            <w:tcW w:w="2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471"/>
              <w:spacing w:after="0"/>
              <w:rPr>
                <w:sz w:val="20"/>
                <w:szCs w:val="20"/>
                <w:color w:val="auto"/>
              </w:rPr>
            </w:pPr>
            <w:r>
              <w:rPr>
                <w:rFonts w:ascii="Arial" w:cs="Arial" w:eastAsia="Arial" w:hAnsi="Arial"/>
                <w:sz w:val="13"/>
                <w:szCs w:val="13"/>
                <w:b w:val="1"/>
                <w:bCs w:val="1"/>
                <w:color w:val="auto"/>
              </w:rPr>
              <w:t>Allocation</w:t>
            </w:r>
          </w:p>
        </w:tc>
        <w:tc>
          <w:tcPr>
            <w:tcW w:w="0" w:type="dxa"/>
            <w:vAlign w:val="bottom"/>
          </w:tcPr>
          <w:p>
            <w:pPr>
              <w:spacing w:after="0"/>
              <w:rPr>
                <w:sz w:val="1"/>
                <w:szCs w:val="1"/>
                <w:color w:val="auto"/>
              </w:rPr>
            </w:pPr>
          </w:p>
        </w:tc>
      </w:tr>
      <w:tr>
        <w:trPr>
          <w:trHeight w:val="17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0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Arial" w:cs="Arial" w:eastAsia="Arial" w:hAnsi="Arial"/>
                <w:sz w:val="14"/>
                <w:szCs w:val="14"/>
                <w:color w:val="auto"/>
              </w:rPr>
              <w:t>Trust investments</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15,891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15,891</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&amp; equipment</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Arial" w:cs="Arial" w:eastAsia="Arial" w:hAnsi="Arial"/>
                <w:sz w:val="14"/>
                <w:szCs w:val="14"/>
                <w:color w:val="auto"/>
              </w:rPr>
              <w:t>Cemetery property</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11,994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11,949</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99,344</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99,982</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Arial" w:cs="Arial" w:eastAsia="Arial" w:hAnsi="Arial"/>
                <w:sz w:val="14"/>
                <w:szCs w:val="14"/>
                <w:color w:val="auto"/>
              </w:rPr>
              <w:t>Intangible and other non-current assets</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8,269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(1,480)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6,789</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liabilities</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Arial" w:cs="Arial" w:eastAsia="Arial" w:hAnsi="Arial"/>
                <w:sz w:val="14"/>
                <w:szCs w:val="14"/>
                <w:color w:val="auto"/>
              </w:rPr>
              <w:t>Trust liabilities</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(15,463)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(15,463)</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0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70"/>
        </w:trPr>
        <w:tc>
          <w:tcPr>
            <w:tcW w:w="3900" w:type="dxa"/>
            <w:vAlign w:val="bottom"/>
          </w:tcPr>
          <w:p>
            <w:pPr>
              <w:ind w:left="20"/>
              <w:spacing w:after="0" w:line="160" w:lineRule="exact"/>
              <w:rPr>
                <w:sz w:val="20"/>
                <w:szCs w:val="20"/>
                <w:color w:val="auto"/>
              </w:rPr>
            </w:pPr>
            <w:r>
              <w:rPr>
                <w:rFonts w:ascii="Arial" w:cs="Arial" w:eastAsia="Arial" w:hAnsi="Arial"/>
                <w:sz w:val="14"/>
                <w:szCs w:val="14"/>
                <w:color w:val="auto"/>
              </w:rPr>
              <w:t>Purchase price</w:t>
            </w:r>
          </w:p>
        </w:tc>
        <w:tc>
          <w:tcPr>
            <w:tcW w:w="20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140,907</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141,071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60" w:type="dxa"/>
            <w:vAlign w:val="bottom"/>
            <w:vMerge w:val="restart"/>
          </w:tcPr>
          <w:p>
            <w:pPr>
              <w:jc w:val="right"/>
              <w:ind w:right="169"/>
              <w:spacing w:after="0"/>
              <w:rPr>
                <w:sz w:val="20"/>
                <w:szCs w:val="20"/>
                <w:color w:val="auto"/>
              </w:rPr>
            </w:pPr>
            <w:r>
              <w:rPr>
                <w:rFonts w:ascii="Arial" w:cs="Arial" w:eastAsia="Arial" w:hAnsi="Arial"/>
                <w:sz w:val="14"/>
                <w:szCs w:val="14"/>
                <w:color w:val="auto"/>
              </w:rPr>
              <w:t>64</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9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90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During the year ended December 31, 2020, we paid an additional $164,000 for our acquisition of the cemetery business in Fairfax, Virginia to reimburse the sellers for certain incremental taxes resulting from the 338(h)(10) election under the Internal Revenue Code. We also received $153,000 in cash related to the closing of all operating bank accounts in place prior to the acquisition. The goodwill recorded for our 2019 acquisitions is expected to be deductible for tax purposes. As of December 31, 2020, our accounting for our 2019 acquisitions is complete.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fair value of the assets acquired for our 2019 acquisitions based on our final purchase price allocation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25400</wp:posOffset>
            </wp:positionV>
            <wp:extent cx="45999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99940" cy="6985"/>
                    </a:xfrm>
                    <a:prstGeom prst="rect">
                      <a:avLst/>
                    </a:prstGeom>
                    <a:noFill/>
                  </pic:spPr>
                </pic:pic>
              </a:graphicData>
            </a:graphic>
          </wp:anchor>
        </w:drawing>
      </w:r>
    </w:p>
    <w:p>
      <w:pPr>
        <w:spacing w:after="0" w:line="23"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color w:val="auto"/>
                <w:w w:val="81"/>
              </w:rPr>
              <w:t>Assets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color w:val="auto"/>
                <w:w w:val="93"/>
              </w:rPr>
              <w:t>Acquired</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2"/>
                <w:szCs w:val="12"/>
                <w:color w:val="auto"/>
              </w:rPr>
            </w:pPr>
          </w:p>
        </w:tc>
        <w:tc>
          <w:tcPr>
            <w:tcW w:w="680" w:type="dxa"/>
            <w:vAlign w:val="bottom"/>
          </w:tcPr>
          <w:p>
            <w:pPr>
              <w:jc w:val="right"/>
              <w:ind w:right="73"/>
              <w:spacing w:after="0" w:line="144" w:lineRule="exact"/>
              <w:rPr>
                <w:sz w:val="20"/>
                <w:szCs w:val="20"/>
                <w:color w:val="auto"/>
              </w:rPr>
            </w:pPr>
            <w:r>
              <w:rPr>
                <w:rFonts w:ascii="Arial" w:cs="Arial" w:eastAsia="Arial" w:hAnsi="Arial"/>
                <w:sz w:val="13"/>
                <w:szCs w:val="13"/>
                <w:color w:val="auto"/>
                <w:w w:val="97"/>
              </w:rPr>
              <w:t>Liabilities</w:t>
            </w:r>
          </w:p>
        </w:tc>
        <w:tc>
          <w:tcPr>
            <w:tcW w:w="0" w:type="dxa"/>
            <w:vAlign w:val="bottom"/>
          </w:tcPr>
          <w:p>
            <w:pPr>
              <w:spacing w:after="0"/>
              <w:rPr>
                <w:sz w:val="1"/>
                <w:szCs w:val="1"/>
                <w:color w:val="auto"/>
              </w:rPr>
            </w:pPr>
          </w:p>
        </w:tc>
      </w:tr>
      <w:tr>
        <w:trPr>
          <w:trHeight w:val="127"/>
        </w:trPr>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Acquisition Date</w:t>
            </w:r>
          </w:p>
        </w:tc>
        <w:tc>
          <w:tcPr>
            <w:tcW w:w="2540" w:type="dxa"/>
            <w:vAlign w:val="bottom"/>
            <w:gridSpan w:val="2"/>
            <w:vMerge w:val="restart"/>
          </w:tcPr>
          <w:p>
            <w:pPr>
              <w:ind w:left="20"/>
              <w:spacing w:after="0"/>
              <w:rPr>
                <w:sz w:val="20"/>
                <w:szCs w:val="20"/>
                <w:color w:val="auto"/>
              </w:rPr>
            </w:pPr>
            <w:r>
              <w:rPr>
                <w:rFonts w:ascii="Arial" w:cs="Arial" w:eastAsia="Arial" w:hAnsi="Arial"/>
                <w:sz w:val="13"/>
                <w:szCs w:val="13"/>
                <w:color w:val="auto"/>
              </w:rPr>
              <w:t>Type of Business</w:t>
            </w:r>
          </w:p>
        </w:tc>
        <w:tc>
          <w:tcPr>
            <w:tcW w:w="920" w:type="dxa"/>
            <w:vAlign w:val="bottom"/>
            <w:gridSpan w:val="2"/>
            <w:vMerge w:val="restart"/>
          </w:tcPr>
          <w:p>
            <w:pPr>
              <w:spacing w:after="0"/>
              <w:rPr>
                <w:sz w:val="20"/>
                <w:szCs w:val="20"/>
                <w:color w:val="auto"/>
              </w:rPr>
            </w:pPr>
            <w:r>
              <w:rPr>
                <w:rFonts w:ascii="Arial" w:cs="Arial" w:eastAsia="Arial" w:hAnsi="Arial"/>
                <w:sz w:val="13"/>
                <w:szCs w:val="13"/>
                <w:color w:val="auto"/>
              </w:rPr>
              <w:t>Market</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3"/>
                <w:szCs w:val="13"/>
                <w:color w:val="auto"/>
                <w:w w:val="92"/>
              </w:rPr>
              <w:t>(Excluding</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93"/>
              <w:spacing w:after="0" w:line="128" w:lineRule="exact"/>
              <w:rPr>
                <w:sz w:val="20"/>
                <w:szCs w:val="20"/>
                <w:color w:val="auto"/>
              </w:rPr>
            </w:pPr>
            <w:r>
              <w:rPr>
                <w:rFonts w:ascii="Arial" w:cs="Arial" w:eastAsia="Arial" w:hAnsi="Arial"/>
                <w:sz w:val="13"/>
                <w:szCs w:val="13"/>
                <w:color w:val="auto"/>
                <w:w w:val="94"/>
              </w:rPr>
              <w:t>and Debt</w:t>
            </w:r>
          </w:p>
        </w:tc>
        <w:tc>
          <w:tcPr>
            <w:tcW w:w="0" w:type="dxa"/>
            <w:vAlign w:val="bottom"/>
          </w:tcPr>
          <w:p>
            <w:pPr>
              <w:spacing w:after="0"/>
              <w:rPr>
                <w:sz w:val="1"/>
                <w:szCs w:val="1"/>
                <w:color w:val="auto"/>
              </w:rPr>
            </w:pPr>
          </w:p>
        </w:tc>
      </w:tr>
      <w:tr>
        <w:trPr>
          <w:trHeight w:val="167"/>
        </w:trPr>
        <w:tc>
          <w:tcPr>
            <w:tcW w:w="1260" w:type="dxa"/>
            <w:vAlign w:val="bottom"/>
            <w:gridSpan w:val="2"/>
            <w:vMerge w:val="continue"/>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Goodwill)</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color w:val="auto"/>
              </w:rPr>
              <w:t>Recorded</w:t>
            </w:r>
          </w:p>
        </w:tc>
        <w:tc>
          <w:tcPr>
            <w:tcW w:w="100" w:type="dxa"/>
            <w:vAlign w:val="bottom"/>
          </w:tcPr>
          <w:p>
            <w:pPr>
              <w:spacing w:after="0"/>
              <w:rPr>
                <w:sz w:val="14"/>
                <w:szCs w:val="14"/>
                <w:color w:val="auto"/>
              </w:rPr>
            </w:pPr>
          </w:p>
        </w:tc>
        <w:tc>
          <w:tcPr>
            <w:tcW w:w="680" w:type="dxa"/>
            <w:vAlign w:val="bottom"/>
          </w:tcPr>
          <w:p>
            <w:pPr>
              <w:jc w:val="right"/>
              <w:ind w:right="93"/>
              <w:spacing w:after="0"/>
              <w:rPr>
                <w:sz w:val="20"/>
                <w:szCs w:val="20"/>
                <w:color w:val="auto"/>
              </w:rPr>
            </w:pPr>
            <w:r>
              <w:rPr>
                <w:rFonts w:ascii="Arial" w:cs="Arial" w:eastAsia="Arial" w:hAnsi="Arial"/>
                <w:sz w:val="13"/>
                <w:szCs w:val="13"/>
                <w:color w:val="auto"/>
                <w:w w:val="92"/>
              </w:rPr>
              <w:t>Assumed</w:t>
            </w:r>
          </w:p>
        </w:tc>
        <w:tc>
          <w:tcPr>
            <w:tcW w:w="0" w:type="dxa"/>
            <w:vAlign w:val="bottom"/>
          </w:tcPr>
          <w:p>
            <w:pPr>
              <w:spacing w:after="0"/>
              <w:rPr>
                <w:sz w:val="1"/>
                <w:szCs w:val="1"/>
                <w:color w:val="auto"/>
              </w:rPr>
            </w:pPr>
          </w:p>
        </w:tc>
      </w:tr>
      <w:tr>
        <w:trPr>
          <w:trHeight w:val="174"/>
        </w:trPr>
        <w:tc>
          <w:tcPr>
            <w:tcW w:w="1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October 9, 2019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 Funeral Homes</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Buffalo, NY</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7,942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October 28, 2019</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One Funeral Home and Cemetery</w:t>
            </w:r>
          </w:p>
        </w:tc>
        <w:tc>
          <w:tcPr>
            <w:tcW w:w="920" w:type="dxa"/>
            <w:vAlign w:val="bottom"/>
            <w:gridSpan w:val="2"/>
          </w:tcPr>
          <w:p>
            <w:pPr>
              <w:spacing w:after="0"/>
              <w:rPr>
                <w:sz w:val="20"/>
                <w:szCs w:val="20"/>
                <w:color w:val="auto"/>
              </w:rPr>
            </w:pPr>
            <w:r>
              <w:rPr>
                <w:rFonts w:ascii="Arial" w:cs="Arial" w:eastAsia="Arial" w:hAnsi="Arial"/>
                <w:sz w:val="14"/>
                <w:szCs w:val="14"/>
                <w:color w:val="auto"/>
              </w:rPr>
              <w:t>Rockwall,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15,878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14,226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(6,479)</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Combination, Three Funeral Homes and</w:t>
            </w:r>
          </w:p>
        </w:tc>
        <w:tc>
          <w:tcPr>
            <w:tcW w:w="920" w:type="dxa"/>
            <w:vAlign w:val="bottom"/>
            <w:gridSpan w:val="2"/>
          </w:tcPr>
          <w:p>
            <w:pPr>
              <w:spacing w:after="0" w:line="138" w:lineRule="exact"/>
              <w:rPr>
                <w:sz w:val="20"/>
                <w:szCs w:val="20"/>
                <w:color w:val="auto"/>
              </w:rPr>
            </w:pPr>
            <w:r>
              <w:rPr>
                <w:rFonts w:ascii="Arial" w:cs="Arial" w:eastAsia="Arial" w:hAnsi="Arial"/>
                <w:sz w:val="14"/>
                <w:szCs w:val="14"/>
                <w:color w:val="auto"/>
              </w:rPr>
              <w:t>TX</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Three Ancillary Businesses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9"/>
              </w:rPr>
              <w:t>December 31, 2019</w:t>
            </w:r>
          </w:p>
        </w:tc>
        <w:tc>
          <w:tcPr>
            <w:tcW w:w="25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One Funeral Home and Cemetery</w:t>
            </w:r>
          </w:p>
        </w:tc>
        <w:tc>
          <w:tcPr>
            <w:tcW w:w="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Fairfax, VA</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34,175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78,416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(10,427)</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Combination</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GOODWILL</w:t>
      </w:r>
    </w:p>
    <w:p>
      <w:pPr>
        <w:spacing w:after="0" w:line="97"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Many of the former owners and staff of our acquired funeral homes and certain cemeteries have provided high quality service to families for generations, which often represents a substantial portion of the value of a business. The excess of the purchase price over the fair value of identifiable net assets of funeral home businesses and cemeteries acquired is recorded as goodwill.</w:t>
      </w:r>
    </w:p>
    <w:p>
      <w:pPr>
        <w:spacing w:after="0" w:line="2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Our goodwill has an indefinite life and is not subject to amortization. As such, we test goodwill for impairment on an annual basis as of August 31st each year.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6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As a result of economic conditions caused by COVID-19, we performed a quantitative assessment of our goodwill at March 31, 2020 and we recorded an impairment to goodwill of $13.6 million during the quarter ended March 31, 2020 recorded in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 as the carrying amount of our funeral homes in the Eastern Region Reporting Unit exceeded the fair value.</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For our 2020 annual impairment test, we performed a qualitative assessment and determined that there was no additional impairment to goodwill as the fair value of our reporting units was greater than the carrying value.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changes in goodwill in the accompanying Consolidated Balance Sheet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4"/>
                <w:szCs w:val="14"/>
                <w:color w:val="auto"/>
              </w:rPr>
            </w:pPr>
          </w:p>
        </w:tc>
        <w:tc>
          <w:tcPr>
            <w:tcW w:w="1600" w:type="dxa"/>
            <w:vAlign w:val="bottom"/>
          </w:tcPr>
          <w:p>
            <w:pPr>
              <w:jc w:val="right"/>
              <w:ind w:right="351"/>
              <w:spacing w:after="0"/>
              <w:rPr>
                <w:sz w:val="20"/>
                <w:szCs w:val="20"/>
                <w:color w:val="auto"/>
              </w:rPr>
            </w:pPr>
            <w:r>
              <w:rPr>
                <w:rFonts w:ascii="Arial" w:cs="Arial" w:eastAsia="Arial" w:hAnsi="Arial"/>
                <w:sz w:val="13"/>
                <w:szCs w:val="13"/>
                <w:b w:val="1"/>
                <w:bCs w:val="1"/>
                <w:color w:val="auto"/>
                <w:w w:val="99"/>
              </w:rPr>
              <w:t>December 31, 2020</w:t>
            </w: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at the beginning of year</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303,887</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398,292</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Net increase in goodwill related to acquisitions</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99,344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14,054</w:t>
            </w: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goodwill related to divestitures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r>
      <w:tr>
        <w:trPr>
          <w:trHeight w:val="18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 in goodwill related to impairments</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(13,632)</w:t>
            </w:r>
          </w:p>
        </w:tc>
      </w:tr>
      <w:tr>
        <w:trPr>
          <w:trHeight w:val="196"/>
        </w:trPr>
        <w:tc>
          <w:tcPr>
            <w:tcW w:w="7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Goodwill at the end of the year</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398,292</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392,978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year ended December 31, 2020, we recognized $14.1 million in goodwill related to our acquisitions; $10.4 million was allocated to our cemetery segment and $3.7 million was allocated to our funeral home segment.</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 xml:space="preserve">In addition, we allocated $5.7 million of goodwill to the sale of five funeral homes for a loss recorded in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 Goodwill is only allocated to the sale if the set is considered to be a business. When we divest a portion of a reporting unit that constitutes a business in accordance with U.S. GAAP, we allocate goodwill associated with that business to be included in the gain or loss on divestiture. When divesting a business, goodwill is allocated based on the relative fair values of the business being divested and the portion of the reporting unit that will be retained.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During the year ended December 31, 2019, we recognized $99.3 million in goodwill related to our acquisitions; $36.9 million was allocated to our cemetery segment and $62.4 million was allocated to our funeral home segment.</w:t>
      </w:r>
    </w:p>
    <w:p>
      <w:pPr>
        <w:spacing w:after="0" w:line="48"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 xml:space="preserve">In addition, we allocated $4.2 million of goodwill to the sale of a funeral home for a loss recorded in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 xml:space="preserve"> We also recorded a goodwill impairment of $0.7 million during 2019 related to two funeral homes that we divested which was recorded as a loss in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w:t>
      </w:r>
    </w:p>
    <w:p>
      <w:pPr>
        <w:spacing w:after="0" w:line="48"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See Notes 1, 3 and 5 to the Consolidated Financial Statements included herein, for a discussion of the methodology used for our annual goodwill impairment test and a discussion of our acquisitions and divestitures,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DIVESTED OPERATIONS</w:t>
      </w:r>
    </w:p>
    <w:p>
      <w:pPr>
        <w:spacing w:after="0" w:line="97" w:lineRule="exact"/>
        <w:rPr>
          <w:sz w:val="20"/>
          <w:szCs w:val="20"/>
          <w:color w:val="auto"/>
        </w:rPr>
      </w:pPr>
    </w:p>
    <w:p>
      <w:pPr>
        <w:ind w:firstLine="318"/>
        <w:spacing w:after="0" w:line="320" w:lineRule="auto"/>
        <w:rPr>
          <w:sz w:val="20"/>
          <w:szCs w:val="20"/>
          <w:color w:val="auto"/>
        </w:rPr>
      </w:pPr>
      <w:r>
        <w:rPr>
          <w:rFonts w:ascii="Arial" w:cs="Arial" w:eastAsia="Arial" w:hAnsi="Arial"/>
          <w:sz w:val="13"/>
          <w:szCs w:val="13"/>
          <w:color w:val="auto"/>
        </w:rPr>
        <w:t>During 2020, we sold eight funeral homes for $8.4 million. During 2019, we divested three funeral homes whose building leases expired and sold a funeral home for $0.9 million. In addition, we merged a funeral home with a business in an existing market. During 2018, our management agreement with a Florida municipality expired and as a result, we divested three of our cemeteries.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operating results of these divested funeral homes and cemeteries are reflected on our Consolidated Statements of Operations as shown in the table below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3"/>
                <w:szCs w:val="13"/>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r>
      <w:tr>
        <w:trPr>
          <w:trHeight w:val="160"/>
        </w:trPr>
        <w:tc>
          <w:tcPr>
            <w:tcW w:w="4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2020</w:t>
            </w:r>
          </w:p>
        </w:tc>
      </w:tr>
      <w:tr>
        <w:trPr>
          <w:trHeight w:val="18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w:t>
            </w:r>
          </w:p>
        </w:tc>
      </w:tr>
      <w:tr>
        <w:trPr>
          <w:trHeight w:val="85"/>
        </w:trPr>
        <w:tc>
          <w:tcPr>
            <w:tcW w:w="4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0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01"/>
        </w:trPr>
        <w:tc>
          <w:tcPr>
            <w:tcW w:w="4220" w:type="dxa"/>
            <w:vAlign w:val="bottom"/>
          </w:tcPr>
          <w:p>
            <w:pPr>
              <w:ind w:left="20"/>
              <w:spacing w:after="0" w:line="201" w:lineRule="exact"/>
              <w:rPr>
                <w:sz w:val="20"/>
                <w:szCs w:val="20"/>
                <w:color w:val="auto"/>
              </w:rPr>
            </w:pPr>
            <w:r>
              <w:rPr>
                <w:rFonts w:ascii="Arial" w:cs="Arial" w:eastAsia="Arial" w:hAnsi="Arial"/>
                <w:sz w:val="14"/>
                <w:szCs w:val="14"/>
                <w:color w:val="auto"/>
              </w:rPr>
              <w:t>Net loss on divestitures</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(6,749)</w:t>
            </w:r>
          </w:p>
        </w:tc>
      </w:tr>
      <w:tr>
        <w:trPr>
          <w:trHeight w:val="20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w:t>
            </w:r>
          </w:p>
        </w:tc>
      </w:tr>
      <w:tr>
        <w:trPr>
          <w:trHeight w:val="171"/>
        </w:trPr>
        <w:tc>
          <w:tcPr>
            <w:tcW w:w="4220" w:type="dxa"/>
            <w:vAlign w:val="bottom"/>
          </w:tcPr>
          <w:p>
            <w:pPr>
              <w:ind w:left="20"/>
              <w:spacing w:after="0"/>
              <w:rPr>
                <w:sz w:val="20"/>
                <w:szCs w:val="20"/>
                <w:color w:val="auto"/>
              </w:rPr>
            </w:pPr>
            <w:r>
              <w:rPr>
                <w:rFonts w:ascii="Arial" w:cs="Arial" w:eastAsia="Arial" w:hAnsi="Arial"/>
                <w:sz w:val="14"/>
                <w:szCs w:val="14"/>
                <w:color w:val="auto"/>
              </w:rPr>
              <w:t>Net income (loss) from divested operations, after tax</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(4,455)</w:t>
            </w: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80645</wp:posOffset>
            </wp:positionV>
            <wp:extent cx="71348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22" w:lineRule="exact"/>
        <w:rPr>
          <w:sz w:val="20"/>
          <w:szCs w:val="20"/>
          <w:color w:val="auto"/>
        </w:rPr>
      </w:pPr>
    </w:p>
    <w:p>
      <w:pPr>
        <w:ind w:left="440" w:hanging="400"/>
        <w:spacing w:after="0"/>
        <w:tabs>
          <w:tab w:leader="none" w:pos="440" w:val="left"/>
        </w:tabs>
        <w:numPr>
          <w:ilvl w:val="1"/>
          <w:numId w:val="27"/>
        </w:numPr>
        <w:rPr>
          <w:rFonts w:ascii="Arial" w:cs="Arial" w:eastAsia="Arial" w:hAnsi="Arial"/>
          <w:sz w:val="13"/>
          <w:szCs w:val="13"/>
          <w:color w:val="auto"/>
        </w:rPr>
      </w:pPr>
      <w:r>
        <w:rPr>
          <w:rFonts w:ascii="Arial" w:cs="Arial" w:eastAsia="Arial" w:hAnsi="Arial"/>
          <w:sz w:val="13"/>
          <w:szCs w:val="13"/>
          <w:color w:val="auto"/>
        </w:rPr>
        <w:t xml:space="preserve">Net loss on divestitures is recorded in </w:t>
      </w:r>
      <w:r>
        <w:rPr>
          <w:rFonts w:ascii="Arial" w:cs="Arial" w:eastAsia="Arial" w:hAnsi="Arial"/>
          <w:sz w:val="13"/>
          <w:szCs w:val="13"/>
          <w:i w:val="1"/>
          <w:iCs w:val="1"/>
          <w:color w:val="auto"/>
        </w:rPr>
        <w:t>Net loss on divestitures and impairment charges</w:t>
      </w:r>
      <w:r>
        <w:rPr>
          <w:rFonts w:ascii="Arial" w:cs="Arial" w:eastAsia="Arial" w:hAnsi="Arial"/>
          <w:sz w:val="13"/>
          <w:szCs w:val="13"/>
          <w:color w:val="auto"/>
        </w:rPr>
        <w:t xml:space="preserve"> on our Consolidated Statements of Operations.</w:t>
      </w:r>
    </w:p>
    <w:p>
      <w:pPr>
        <w:spacing w:after="0" w:line="276" w:lineRule="exact"/>
        <w:rPr>
          <w:rFonts w:ascii="Arial" w:cs="Arial" w:eastAsia="Arial" w:hAnsi="Arial"/>
          <w:sz w:val="13"/>
          <w:szCs w:val="13"/>
          <w:color w:val="auto"/>
        </w:rPr>
      </w:pPr>
    </w:p>
    <w:p>
      <w:pPr>
        <w:ind w:left="520" w:hanging="515"/>
        <w:spacing w:after="0"/>
        <w:tabs>
          <w:tab w:leader="none" w:pos="52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RECEIVABLES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Accounts receivable is comprised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3"/>
                <w:szCs w:val="13"/>
                <w:b w:val="1"/>
                <w:bCs w:val="1"/>
                <w:color w:val="auto"/>
              </w:rPr>
              <w:t>December 31, 2020</w:t>
            </w: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5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3"/>
          </w:tcPr>
          <w:p>
            <w:pPr>
              <w:ind w:left="360"/>
              <w:spacing w:after="0"/>
              <w:rPr>
                <w:sz w:val="20"/>
                <w:szCs w:val="20"/>
                <w:color w:val="auto"/>
              </w:rPr>
            </w:pPr>
            <w:r>
              <w:rPr>
                <w:rFonts w:ascii="Arial" w:cs="Arial" w:eastAsia="Arial" w:hAnsi="Arial"/>
                <w:sz w:val="13"/>
                <w:szCs w:val="13"/>
                <w:b w:val="1"/>
                <w:bCs w:val="1"/>
                <w:color w:val="auto"/>
              </w:rPr>
              <w:t>Funeral</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3"/>
          </w:tcPr>
          <w:p>
            <w:pPr>
              <w:ind w:left="320"/>
              <w:spacing w:after="0"/>
              <w:rPr>
                <w:sz w:val="20"/>
                <w:szCs w:val="20"/>
                <w:color w:val="auto"/>
              </w:rPr>
            </w:pPr>
            <w:r>
              <w:rPr>
                <w:rFonts w:ascii="Arial" w:cs="Arial" w:eastAsia="Arial" w:hAnsi="Arial"/>
                <w:sz w:val="13"/>
                <w:szCs w:val="13"/>
                <w:b w:val="1"/>
                <w:bCs w:val="1"/>
                <w:color w:val="auto"/>
              </w:rPr>
              <w:t>Cemetery</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Arial" w:cs="Arial" w:eastAsia="Arial" w:hAnsi="Arial"/>
                <w:sz w:val="13"/>
                <w:szCs w:val="13"/>
                <w:b w:val="1"/>
                <w:bCs w:val="1"/>
                <w:color w:val="auto"/>
              </w:rPr>
              <w:t>Corporate</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r>
      <w:tr>
        <w:trPr>
          <w:trHeight w:val="17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and financed receivables</w:t>
            </w:r>
          </w:p>
        </w:tc>
        <w:tc>
          <w:tcPr>
            <w:tcW w:w="500" w:type="dxa"/>
            <w:vAlign w:val="bottom"/>
            <w:tcBorders>
              <w:top w:val="single" w:sz="8" w:color="auto"/>
            </w:tcBorders>
            <w:gridSpan w:val="2"/>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11,448</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12,230</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23,678</w:t>
            </w:r>
          </w:p>
        </w:tc>
        <w:tc>
          <w:tcPr>
            <w:tcW w:w="60" w:type="dxa"/>
            <w:vAlign w:val="bottom"/>
          </w:tcPr>
          <w:p>
            <w:pPr>
              <w:spacing w:after="0"/>
              <w:rPr>
                <w:sz w:val="15"/>
                <w:szCs w:val="15"/>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2,712</w:t>
            </w:r>
          </w:p>
        </w:tc>
        <w:tc>
          <w:tcPr>
            <w:tcW w:w="60" w:type="dxa"/>
            <w:vAlign w:val="bottom"/>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60" w:type="dxa"/>
            <w:vAlign w:val="bottom"/>
          </w:tcPr>
          <w:p>
            <w:pPr>
              <w:spacing w:after="0"/>
              <w:rPr>
                <w:sz w:val="15"/>
                <w:szCs w:val="15"/>
                <w:color w:val="auto"/>
              </w:rPr>
            </w:pPr>
          </w:p>
        </w:tc>
      </w:tr>
      <w:tr>
        <w:trPr>
          <w:trHeight w:val="170"/>
        </w:trPr>
        <w:tc>
          <w:tcPr>
            <w:tcW w:w="5400" w:type="dxa"/>
            <w:vAlign w:val="bottom"/>
          </w:tcPr>
          <w:p>
            <w:pPr>
              <w:ind w:left="20"/>
              <w:spacing w:after="0" w:line="160" w:lineRule="exact"/>
              <w:rPr>
                <w:sz w:val="20"/>
                <w:szCs w:val="20"/>
                <w:color w:val="auto"/>
              </w:rPr>
            </w:pPr>
            <w:r>
              <w:rPr>
                <w:rFonts w:ascii="Arial" w:cs="Arial" w:eastAsia="Arial" w:hAnsi="Arial"/>
                <w:sz w:val="14"/>
                <w:szCs w:val="14"/>
                <w:color w:val="auto"/>
              </w:rPr>
              <w:t>Accounts receivable, net</w:t>
            </w:r>
          </w:p>
        </w:tc>
        <w:tc>
          <w:tcPr>
            <w:tcW w:w="500" w:type="dxa"/>
            <w:vAlign w:val="bottom"/>
            <w:tcBorders>
              <w:top w:val="single" w:sz="8" w:color="auto"/>
              <w:bottom w:val="single" w:sz="8" w:color="auto"/>
            </w:tcBorders>
            <w:gridSpan w:val="2"/>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13,414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4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25,103</w:t>
            </w:r>
          </w:p>
        </w:tc>
        <w:tc>
          <w:tcPr>
            <w:tcW w:w="60" w:type="dxa"/>
            <w:vAlign w:val="bottom"/>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0"/>
        </w:trPr>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3"/>
                <w:szCs w:val="13"/>
                <w:b w:val="1"/>
                <w:bCs w:val="1"/>
                <w:color w:val="auto"/>
              </w:rPr>
              <w:t>December 31, 2019</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0"/>
        </w:trPr>
        <w:tc>
          <w:tcPr>
            <w:tcW w:w="5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3"/>
          </w:tcPr>
          <w:p>
            <w:pPr>
              <w:ind w:left="420"/>
              <w:spacing w:after="0"/>
              <w:rPr>
                <w:sz w:val="20"/>
                <w:szCs w:val="20"/>
                <w:color w:val="auto"/>
              </w:rPr>
            </w:pPr>
            <w:r>
              <w:rPr>
                <w:rFonts w:ascii="Arial" w:cs="Arial" w:eastAsia="Arial" w:hAnsi="Arial"/>
                <w:sz w:val="13"/>
                <w:szCs w:val="13"/>
                <w:b w:val="1"/>
                <w:bCs w:val="1"/>
                <w:color w:val="auto"/>
              </w:rPr>
              <w:t>Funeral</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3"/>
          </w:tcPr>
          <w:p>
            <w:pPr>
              <w:ind w:left="360"/>
              <w:spacing w:after="0"/>
              <w:rPr>
                <w:sz w:val="20"/>
                <w:szCs w:val="20"/>
                <w:color w:val="auto"/>
              </w:rPr>
            </w:pPr>
            <w:r>
              <w:rPr>
                <w:rFonts w:ascii="Arial" w:cs="Arial" w:eastAsia="Arial" w:hAnsi="Arial"/>
                <w:sz w:val="13"/>
                <w:szCs w:val="13"/>
                <w:b w:val="1"/>
                <w:bCs w:val="1"/>
                <w:color w:val="auto"/>
              </w:rPr>
              <w:t>Cemetery</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3"/>
          </w:tcPr>
          <w:p>
            <w:pPr>
              <w:ind w:left="200"/>
              <w:spacing w:after="0"/>
              <w:rPr>
                <w:sz w:val="20"/>
                <w:szCs w:val="20"/>
                <w:color w:val="auto"/>
              </w:rPr>
            </w:pPr>
            <w:r>
              <w:rPr>
                <w:rFonts w:ascii="Arial" w:cs="Arial" w:eastAsia="Arial" w:hAnsi="Arial"/>
                <w:sz w:val="13"/>
                <w:szCs w:val="13"/>
                <w:b w:val="1"/>
                <w:bCs w:val="1"/>
                <w:color w:val="auto"/>
              </w:rPr>
              <w:t>Corporate</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Total</w:t>
            </w:r>
          </w:p>
        </w:tc>
      </w:tr>
      <w:tr>
        <w:trPr>
          <w:trHeight w:val="17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and financed receivables</w:t>
            </w: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10,046</w:t>
            </w: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10,508</w:t>
            </w: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20,554</w:t>
            </w:r>
          </w:p>
        </w:tc>
        <w:tc>
          <w:tcPr>
            <w:tcW w:w="60" w:type="dxa"/>
            <w:vAlign w:val="bottom"/>
            <w:tcBorders>
              <w:top w:val="single" w:sz="8" w:color="auto"/>
            </w:tcBorders>
            <w:shd w:val="clear" w:color="auto" w:fill="CCEEFF"/>
          </w:tcPr>
          <w:p>
            <w:pPr>
              <w:spacing w:after="0"/>
              <w:rPr>
                <w:sz w:val="15"/>
                <w:szCs w:val="15"/>
                <w:color w:val="auto"/>
              </w:rPr>
            </w:pP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1,773</w:t>
            </w:r>
          </w:p>
        </w:tc>
        <w:tc>
          <w:tcPr>
            <w:tcW w:w="60" w:type="dxa"/>
            <w:vAlign w:val="bottom"/>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bad debt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(626)</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(849)</w:t>
            </w:r>
          </w:p>
        </w:tc>
      </w:tr>
      <w:tr>
        <w:trPr>
          <w:trHeight w:val="170"/>
        </w:trPr>
        <w:tc>
          <w:tcPr>
            <w:tcW w:w="5400" w:type="dxa"/>
            <w:vAlign w:val="bottom"/>
          </w:tcPr>
          <w:p>
            <w:pPr>
              <w:ind w:left="20"/>
              <w:spacing w:after="0" w:line="160" w:lineRule="exact"/>
              <w:rPr>
                <w:sz w:val="20"/>
                <w:szCs w:val="20"/>
                <w:color w:val="auto"/>
              </w:rPr>
            </w:pPr>
            <w:r>
              <w:rPr>
                <w:rFonts w:ascii="Arial" w:cs="Arial" w:eastAsia="Arial" w:hAnsi="Arial"/>
                <w:sz w:val="14"/>
                <w:szCs w:val="14"/>
                <w:color w:val="auto"/>
              </w:rPr>
              <w:t>Accounts receivable, net</w:t>
            </w:r>
          </w:p>
        </w:tc>
        <w:tc>
          <w:tcPr>
            <w:tcW w:w="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10,758</w:t>
            </w: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10,039</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21,478</w:t>
            </w:r>
          </w:p>
        </w:tc>
        <w:tc>
          <w:tcPr>
            <w:tcW w:w="60" w:type="dxa"/>
            <w:vAlign w:val="bottom"/>
            <w:tcBorders>
              <w:top w:val="single" w:sz="8" w:color="auto"/>
              <w:bottom w:val="single" w:sz="8" w:color="auto"/>
            </w:tcBorders>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activity in our allowance for credit losses by portfolio segment for the year ended December 31, 2020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Provision for</w:t>
            </w:r>
          </w:p>
        </w:tc>
        <w:tc>
          <w:tcPr>
            <w:tcW w:w="16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Allowance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January 1, 2020</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28" w:lineRule="exact"/>
              <w:rPr>
                <w:sz w:val="20"/>
                <w:szCs w:val="20"/>
                <w:color w:val="auto"/>
              </w:rPr>
            </w:pPr>
            <w:r>
              <w:rPr>
                <w:rFonts w:ascii="Arial" w:cs="Arial" w:eastAsia="Arial" w:hAnsi="Arial"/>
                <w:sz w:val="13"/>
                <w:szCs w:val="13"/>
                <w:b w:val="1"/>
                <w:bCs w:val="1"/>
                <w:color w:val="auto"/>
                <w:w w:val="87"/>
              </w:rPr>
              <w:t>Recorded at</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Write Offs</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Recoveries</w:t>
            </w:r>
          </w:p>
        </w:tc>
        <w:tc>
          <w:tcPr>
            <w:tcW w:w="140" w:type="dxa"/>
            <w:vAlign w:val="bottom"/>
          </w:tcPr>
          <w:p>
            <w:pPr>
              <w:spacing w:after="0"/>
              <w:rPr>
                <w:sz w:val="11"/>
                <w:szCs w:val="11"/>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w w:val="92"/>
              </w:rPr>
              <w:t>December 31, 2020</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Credit Losses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Acquisition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80" w:type="dxa"/>
            <w:vAlign w:val="bottom"/>
          </w:tcPr>
          <w:p>
            <w:pPr>
              <w:ind w:left="20"/>
              <w:spacing w:after="0"/>
              <w:rPr>
                <w:sz w:val="20"/>
                <w:szCs w:val="20"/>
                <w:color w:val="auto"/>
              </w:rPr>
            </w:pPr>
            <w:r>
              <w:rPr>
                <w:rFonts w:ascii="Arial" w:cs="Arial" w:eastAsia="Arial" w:hAnsi="Arial"/>
                <w:sz w:val="14"/>
                <w:szCs w:val="14"/>
                <w:color w:val="auto"/>
              </w:rPr>
              <w:t>Trade and financed receivables:</w:t>
            </w: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Funeral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Cemetery</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Total allowance for credit losses on Trade and financed receivables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 xml:space="preserve">As noted in Note 3, we acquired preneed cemetery receivables in connection with the funeral home and cemetery combination business in Lafayette, California acquired on January 3, 2020. We recorded an allowance for credit losses of $0.4 million on these acquired receivables ($0.2 million current portion shown above in </w:t>
      </w:r>
      <w:r>
        <w:rPr>
          <w:rFonts w:ascii="Arial" w:cs="Arial" w:eastAsia="Arial" w:hAnsi="Arial"/>
          <w:sz w:val="14"/>
          <w:szCs w:val="14"/>
          <w:i w:val="1"/>
          <w:iCs w:val="1"/>
          <w:color w:val="auto"/>
        </w:rPr>
        <w:t>Accounts receivable, net</w:t>
      </w:r>
      <w:r>
        <w:rPr>
          <w:rFonts w:ascii="Arial" w:cs="Arial" w:eastAsia="Arial" w:hAnsi="Arial"/>
          <w:sz w:val="14"/>
          <w:szCs w:val="14"/>
          <w:color w:val="auto"/>
        </w:rPr>
        <w:t xml:space="preserve"> and $0.2 million non-current portion shown below in </w:t>
      </w:r>
      <w:r>
        <w:rPr>
          <w:rFonts w:ascii="Arial" w:cs="Arial" w:eastAsia="Arial" w:hAnsi="Arial"/>
          <w:sz w:val="14"/>
          <w:szCs w:val="14"/>
          <w:i w:val="1"/>
          <w:iCs w:val="1"/>
          <w:color w:val="auto"/>
        </w:rPr>
        <w:t>Preneed cemetery receivables, net</w:t>
      </w:r>
      <w:r>
        <w:rPr>
          <w:rFonts w:ascii="Arial" w:cs="Arial" w:eastAsia="Arial" w:hAnsi="Arial"/>
          <w:sz w:val="14"/>
          <w:szCs w:val="14"/>
          <w:color w:val="auto"/>
        </w:rPr>
        <w:t xml:space="preserve"> as noted in the respective allowance rollforward tables under Allowance Recorded at Acquisition). We accounted for the allowance for credit losses on these purchased financed assets using specific identification as these assets have a unique set of risk characteristics. For these specifically identified receivables, we determined the allowance to be 60% of the face value.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Bad debt expense for accounts receivable totaled $1.1 million for both the years ended December 31, 2018 and 2019.</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Preneed Cemetery Receivables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preneed cemetery receivables are comprised of the following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ind w:left="160"/>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4"/>
                <w:szCs w:val="14"/>
                <w:color w:val="auto"/>
              </w:rPr>
            </w:pPr>
          </w:p>
        </w:tc>
        <w:tc>
          <w:tcPr>
            <w:tcW w:w="1600" w:type="dxa"/>
            <w:vAlign w:val="bottom"/>
          </w:tcPr>
          <w:p>
            <w:pPr>
              <w:jc w:val="right"/>
              <w:ind w:right="351"/>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173"/>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Cemetery interment rights</w:t>
            </w:r>
          </w:p>
        </w:tc>
        <w:tc>
          <w:tcPr>
            <w:tcW w:w="260" w:type="dxa"/>
            <w:vAlign w:val="bottom"/>
            <w:tcBorders>
              <w:top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31,366</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36,696</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Cemetery merchandise and services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9,950</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10,526</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Cemetery financed receivables</w:t>
            </w:r>
          </w:p>
        </w:tc>
        <w:tc>
          <w:tcPr>
            <w:tcW w:w="26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41,316</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47,222</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rPr>
              <w:t>The components of our preneed cemetery receivables are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ind w:left="580"/>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73"/>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Preneed cemetery receivables</w:t>
            </w: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w w:val="93"/>
              </w:rPr>
              <w:t>41,316</w:t>
            </w: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47,222</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unearned finance charges</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color w:val="auto"/>
                <w:w w:val="90"/>
              </w:rPr>
              <w:t>(4,522)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(4,348)</w:t>
            </w:r>
          </w:p>
        </w:tc>
        <w:tc>
          <w:tcPr>
            <w:tcW w:w="0" w:type="dxa"/>
            <w:vAlign w:val="bottom"/>
          </w:tcPr>
          <w:p>
            <w:pPr>
              <w:spacing w:after="0"/>
              <w:rPr>
                <w:sz w:val="1"/>
                <w:szCs w:val="1"/>
                <w:color w:val="auto"/>
              </w:rPr>
            </w:pPr>
          </w:p>
        </w:tc>
      </w:tr>
      <w:tr>
        <w:trPr>
          <w:trHeight w:val="171"/>
        </w:trPr>
        <w:tc>
          <w:tcPr>
            <w:tcW w:w="734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Preneed cemetery receivables, at amortized cost</w:t>
            </w: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w w:val="93"/>
              </w:rPr>
              <w:t>36,794</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42,874</w:t>
            </w:r>
          </w:p>
        </w:tc>
        <w:tc>
          <w:tcPr>
            <w:tcW w:w="0" w:type="dxa"/>
            <w:vAlign w:val="bottom"/>
          </w:tcPr>
          <w:p>
            <w:pPr>
              <w:spacing w:after="0"/>
              <w:rPr>
                <w:sz w:val="1"/>
                <w:szCs w:val="1"/>
                <w:color w:val="auto"/>
              </w:rPr>
            </w:pPr>
          </w:p>
        </w:tc>
      </w:tr>
      <w:tr>
        <w:trPr>
          <w:trHeight w:val="170"/>
        </w:trPr>
        <w:tc>
          <w:tcPr>
            <w:tcW w:w="7340" w:type="dxa"/>
            <w:vAlign w:val="bottom"/>
          </w:tcPr>
          <w:p>
            <w:pPr>
              <w:ind w:left="20"/>
              <w:spacing w:after="0" w:line="160" w:lineRule="exact"/>
              <w:rPr>
                <w:sz w:val="20"/>
                <w:szCs w:val="20"/>
                <w:color w:val="auto"/>
              </w:rPr>
            </w:pPr>
            <w:r>
              <w:rPr>
                <w:rFonts w:ascii="Arial" w:cs="Arial" w:eastAsia="Arial" w:hAnsi="Arial"/>
                <w:sz w:val="14"/>
                <w:szCs w:val="14"/>
                <w:color w:val="auto"/>
              </w:rPr>
              <w:t>Less: allowance for bad debt and credit 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ind w:left="1200"/>
              <w:spacing w:after="0"/>
              <w:rPr>
                <w:sz w:val="20"/>
                <w:szCs w:val="20"/>
                <w:color w:val="auto"/>
              </w:rPr>
            </w:pPr>
            <w:r>
              <w:rPr>
                <w:rFonts w:ascii="Arial" w:cs="Arial" w:eastAsia="Arial" w:hAnsi="Arial"/>
                <w:sz w:val="14"/>
                <w:szCs w:val="14"/>
                <w:color w:val="auto"/>
                <w:w w:val="90"/>
              </w:rPr>
              <w:t>(1,916)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(2,604)</w:t>
            </w: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balances due on undelivered cemetery preneed contracts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w w:val="90"/>
              </w:rPr>
              <w:t>(4,823)</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(7,919)</w:t>
            </w:r>
          </w:p>
        </w:tc>
        <w:tc>
          <w:tcPr>
            <w:tcW w:w="0" w:type="dxa"/>
            <w:vAlign w:val="bottom"/>
          </w:tcPr>
          <w:p>
            <w:pPr>
              <w:spacing w:after="0"/>
              <w:rPr>
                <w:sz w:val="1"/>
                <w:szCs w:val="1"/>
                <w:color w:val="auto"/>
              </w:rPr>
            </w:pPr>
          </w:p>
        </w:tc>
      </w:tr>
      <w:tr>
        <w:trPr>
          <w:trHeight w:val="18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amounts in accounts receivable</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color w:val="auto"/>
                <w:w w:val="90"/>
              </w:rPr>
              <w:t>(9,882)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(11,270)</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Preneed cemetery receivables, net</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w w:val="93"/>
              </w:rPr>
              <w:t>20,173</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The following table summarizes the activity in our allowance for credit losses for </w:t>
      </w:r>
      <w:r>
        <w:rPr>
          <w:rFonts w:ascii="Arial" w:cs="Arial" w:eastAsia="Arial" w:hAnsi="Arial"/>
          <w:sz w:val="14"/>
          <w:szCs w:val="14"/>
          <w:i w:val="1"/>
          <w:iCs w:val="1"/>
          <w:color w:val="auto"/>
        </w:rPr>
        <w:t>Preneed cemetery receivables, net</w:t>
      </w:r>
      <w:r>
        <w:rPr>
          <w:rFonts w:ascii="Arial" w:cs="Arial" w:eastAsia="Arial" w:hAnsi="Arial"/>
          <w:sz w:val="14"/>
          <w:szCs w:val="14"/>
          <w:color w:val="auto"/>
        </w:rPr>
        <w:t xml:space="preserve"> for the year ended December 31, 2020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January 1, 2020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4"/>
          </w:tcPr>
          <w:p>
            <w:pPr>
              <w:ind w:left="120"/>
              <w:spacing w:after="0"/>
              <w:rPr>
                <w:sz w:val="20"/>
                <w:szCs w:val="20"/>
                <w:color w:val="auto"/>
              </w:rPr>
            </w:pPr>
            <w:r>
              <w:rPr>
                <w:rFonts w:ascii="Arial" w:cs="Arial" w:eastAsia="Arial" w:hAnsi="Arial"/>
                <w:sz w:val="13"/>
                <w:szCs w:val="13"/>
                <w:b w:val="1"/>
                <w:bCs w:val="1"/>
                <w:color w:val="auto"/>
              </w:rPr>
              <w:t>Provision for Credit</w:t>
            </w:r>
          </w:p>
        </w:tc>
        <w:tc>
          <w:tcPr>
            <w:tcW w:w="1320" w:type="dxa"/>
            <w:vAlign w:val="bottom"/>
            <w:gridSpan w:val="3"/>
          </w:tcPr>
          <w:p>
            <w:pPr>
              <w:ind w:left="40"/>
              <w:spacing w:after="0"/>
              <w:rPr>
                <w:sz w:val="20"/>
                <w:szCs w:val="20"/>
                <w:color w:val="auto"/>
              </w:rPr>
            </w:pPr>
            <w:r>
              <w:rPr>
                <w:rFonts w:ascii="Arial" w:cs="Arial" w:eastAsia="Arial" w:hAnsi="Arial"/>
                <w:sz w:val="13"/>
                <w:szCs w:val="13"/>
                <w:b w:val="1"/>
                <w:bCs w:val="1"/>
                <w:color w:val="auto"/>
                <w:w w:val="88"/>
              </w:rPr>
              <w:t>Allowance Recorded at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w w:val="93"/>
              </w:rPr>
              <w:t>Write Offs</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restart"/>
          </w:tcPr>
          <w:p>
            <w:pPr>
              <w:jc w:val="right"/>
              <w:ind w:right="140"/>
              <w:spacing w:after="0"/>
              <w:rPr>
                <w:sz w:val="20"/>
                <w:szCs w:val="20"/>
                <w:color w:val="auto"/>
              </w:rPr>
            </w:pPr>
            <w:r>
              <w:rPr>
                <w:rFonts w:ascii="Arial" w:cs="Arial" w:eastAsia="Arial" w:hAnsi="Arial"/>
                <w:sz w:val="13"/>
                <w:szCs w:val="13"/>
                <w:b w:val="1"/>
                <w:bCs w:val="1"/>
                <w:color w:val="auto"/>
                <w:w w:val="90"/>
              </w:rPr>
              <w:t>December 31, 2020</w:t>
            </w:r>
          </w:p>
        </w:tc>
        <w:tc>
          <w:tcPr>
            <w:tcW w:w="0" w:type="dxa"/>
            <w:vAlign w:val="bottom"/>
          </w:tcPr>
          <w:p>
            <w:pPr>
              <w:spacing w:after="0"/>
              <w:rPr>
                <w:sz w:val="1"/>
                <w:szCs w:val="1"/>
                <w:color w:val="auto"/>
              </w:rPr>
            </w:pPr>
          </w:p>
        </w:tc>
      </w:tr>
      <w:tr>
        <w:trPr>
          <w:trHeight w:val="167"/>
        </w:trPr>
        <w:tc>
          <w:tcPr>
            <w:tcW w:w="28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Acquisition</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2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w w:val="92"/>
              </w:rPr>
              <w:t xml:space="preserve">Total allowance for credit losses on </w:t>
            </w:r>
            <w:r>
              <w:rPr>
                <w:rFonts w:ascii="Arial" w:cs="Arial" w:eastAsia="Arial" w:hAnsi="Arial"/>
                <w:sz w:val="14"/>
                <w:szCs w:val="14"/>
                <w:i w:val="1"/>
                <w:iCs w:val="1"/>
                <w:color w:val="auto"/>
                <w:w w:val="92"/>
              </w:rPr>
              <w:t>Preneed cemetery receivables, net</w:t>
            </w: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1"/>
              </w:rPr>
              <w:t>(701)</w:t>
            </w:r>
          </w:p>
        </w:tc>
        <w:tc>
          <w:tcPr>
            <w:tcW w:w="14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319"/>
        </w:trPr>
        <w:tc>
          <w:tcPr>
            <w:tcW w:w="280" w:type="dxa"/>
            <w:vAlign w:val="bottom"/>
          </w:tcPr>
          <w:p>
            <w:pPr>
              <w:spacing w:after="0"/>
              <w:rPr>
                <w:sz w:val="24"/>
                <w:szCs w:val="24"/>
                <w:color w:val="auto"/>
              </w:rPr>
            </w:pPr>
          </w:p>
        </w:tc>
        <w:tc>
          <w:tcPr>
            <w:tcW w:w="8580" w:type="dxa"/>
            <w:vAlign w:val="bottom"/>
            <w:gridSpan w:val="20"/>
          </w:tcPr>
          <w:p>
            <w:pPr>
              <w:ind w:left="40"/>
              <w:spacing w:after="0"/>
              <w:rPr>
                <w:sz w:val="20"/>
                <w:szCs w:val="20"/>
                <w:color w:val="auto"/>
              </w:rPr>
            </w:pPr>
            <w:r>
              <w:rPr>
                <w:rFonts w:ascii="Arial" w:cs="Arial" w:eastAsia="Arial" w:hAnsi="Arial"/>
                <w:sz w:val="14"/>
                <w:szCs w:val="14"/>
                <w:color w:val="auto"/>
                <w:w w:val="93"/>
              </w:rPr>
              <w:t>Bad debt expense for our preneed receivables totaled $0.7 million and $0.5 million for the years ended December 31, 2018 and 2019, respectively.</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8080" w:type="dxa"/>
            <w:vAlign w:val="bottom"/>
            <w:gridSpan w:val="18"/>
          </w:tcPr>
          <w:p>
            <w:pPr>
              <w:ind w:left="40"/>
              <w:spacing w:after="0"/>
              <w:rPr>
                <w:sz w:val="20"/>
                <w:szCs w:val="20"/>
                <w:color w:val="auto"/>
              </w:rPr>
            </w:pPr>
            <w:r>
              <w:rPr>
                <w:rFonts w:ascii="Arial" w:cs="Arial" w:eastAsia="Arial" w:hAnsi="Arial"/>
                <w:sz w:val="14"/>
                <w:szCs w:val="14"/>
                <w:color w:val="auto"/>
                <w:w w:val="93"/>
              </w:rPr>
              <w:t>The amortized cost basis of our preneed cemetery receivables by year of origination as of December 31, 2020 is as follows (in thousands):</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8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Prior</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4"/>
                <w:szCs w:val="14"/>
                <w:color w:val="auto"/>
                <w:w w:val="95"/>
              </w:rPr>
              <w:t>Total preneed cemetery receivables, at amortized</w:t>
            </w:r>
          </w:p>
        </w:tc>
        <w:tc>
          <w:tcPr>
            <w:tcW w:w="3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4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10,593</w:t>
            </w: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5,820</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1,431</w:t>
            </w:r>
          </w:p>
        </w:tc>
        <w:tc>
          <w:tcPr>
            <w:tcW w:w="64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5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cost</w:t>
            </w:r>
          </w:p>
        </w:tc>
        <w:tc>
          <w:tcPr>
            <w:tcW w:w="3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560" w:type="dxa"/>
            <w:vAlign w:val="bottom"/>
            <w:gridSpan w:val="4"/>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8"/>
        </w:trPr>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ind w:right="694"/>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aging of past due preneed cemetery receivables as of December 31, 2020 is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740" w:type="dxa"/>
            <w:vAlign w:val="bottom"/>
          </w:tcPr>
          <w:p>
            <w:pPr>
              <w:jc w:val="right"/>
              <w:ind w:right="16"/>
              <w:spacing w:after="0"/>
              <w:rPr>
                <w:sz w:val="20"/>
                <w:szCs w:val="20"/>
                <w:color w:val="auto"/>
              </w:rPr>
            </w:pPr>
            <w:r>
              <w:rPr>
                <w:rFonts w:ascii="Arial" w:cs="Arial" w:eastAsia="Arial" w:hAnsi="Arial"/>
                <w:sz w:val="11"/>
                <w:szCs w:val="11"/>
                <w:color w:val="auto"/>
              </w:rPr>
              <w:t>31-60</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36"/>
              <w:spacing w:after="0"/>
              <w:rPr>
                <w:sz w:val="20"/>
                <w:szCs w:val="20"/>
                <w:color w:val="auto"/>
              </w:rPr>
            </w:pPr>
            <w:r>
              <w:rPr>
                <w:rFonts w:ascii="Arial" w:cs="Arial" w:eastAsia="Arial" w:hAnsi="Arial"/>
                <w:sz w:val="11"/>
                <w:szCs w:val="11"/>
                <w:color w:val="auto"/>
              </w:rPr>
              <w:t>61-90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6"/>
              <w:spacing w:after="0"/>
              <w:rPr>
                <w:sz w:val="20"/>
                <w:szCs w:val="20"/>
                <w:color w:val="auto"/>
              </w:rPr>
            </w:pPr>
            <w:r>
              <w:rPr>
                <w:rFonts w:ascii="Arial" w:cs="Arial" w:eastAsia="Arial" w:hAnsi="Arial"/>
                <w:sz w:val="11"/>
                <w:szCs w:val="11"/>
                <w:color w:val="auto"/>
              </w:rPr>
              <w:t>91-120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ind w:right="355"/>
              <w:spacing w:after="0"/>
              <w:rPr>
                <w:sz w:val="20"/>
                <w:szCs w:val="20"/>
                <w:color w:val="auto"/>
              </w:rPr>
            </w:pPr>
            <w:r>
              <w:rPr>
                <w:rFonts w:ascii="Arial" w:cs="Arial" w:eastAsia="Arial" w:hAnsi="Arial"/>
                <w:sz w:val="11"/>
                <w:szCs w:val="11"/>
                <w:color w:val="auto"/>
              </w:rPr>
              <w:t>&gt;120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color w:val="auto"/>
                <w:w w:val="88"/>
              </w:rPr>
              <w:t>Total Past</w:t>
            </w: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color w:val="auto"/>
              </w:rPr>
              <w:t>Current</w:t>
            </w:r>
          </w:p>
        </w:tc>
        <w:tc>
          <w:tcPr>
            <w:tcW w:w="180" w:type="dxa"/>
            <w:vAlign w:val="bottom"/>
          </w:tcPr>
          <w:p>
            <w:pPr>
              <w:spacing w:after="0"/>
              <w:rPr>
                <w:sz w:val="10"/>
                <w:szCs w:val="10"/>
                <w:color w:val="auto"/>
              </w:rPr>
            </w:pPr>
          </w:p>
        </w:tc>
        <w:tc>
          <w:tcPr>
            <w:tcW w:w="1080" w:type="dxa"/>
            <w:vAlign w:val="bottom"/>
          </w:tcPr>
          <w:p>
            <w:pPr>
              <w:jc w:val="right"/>
              <w:ind w:right="215"/>
              <w:spacing w:after="0"/>
              <w:rPr>
                <w:sz w:val="20"/>
                <w:szCs w:val="20"/>
                <w:color w:val="auto"/>
              </w:rPr>
            </w:pPr>
            <w:r>
              <w:rPr>
                <w:rFonts w:ascii="Arial" w:cs="Arial" w:eastAsia="Arial" w:hAnsi="Arial"/>
                <w:sz w:val="11"/>
                <w:szCs w:val="11"/>
                <w:color w:val="auto"/>
              </w:rPr>
              <w:t>Total Financing</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Past Due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Past Due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Past Due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Past Due</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1"/>
                <w:szCs w:val="11"/>
                <w:color w:val="auto"/>
                <w:w w:val="88"/>
              </w:rPr>
              <w:t>Due</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95"/>
              <w:spacing w:after="0"/>
              <w:rPr>
                <w:sz w:val="20"/>
                <w:szCs w:val="20"/>
                <w:color w:val="auto"/>
              </w:rPr>
            </w:pPr>
            <w:r>
              <w:rPr>
                <w:rFonts w:ascii="Arial" w:cs="Arial" w:eastAsia="Arial" w:hAnsi="Arial"/>
                <w:sz w:val="11"/>
                <w:szCs w:val="11"/>
                <w:color w:val="auto"/>
              </w:rPr>
              <w:t>Receivables</w:t>
            </w:r>
          </w:p>
        </w:tc>
        <w:tc>
          <w:tcPr>
            <w:tcW w:w="0" w:type="dxa"/>
            <w:vAlign w:val="bottom"/>
          </w:tcPr>
          <w:p>
            <w:pPr>
              <w:spacing w:after="0"/>
              <w:rPr>
                <w:sz w:val="1"/>
                <w:szCs w:val="1"/>
                <w:color w:val="auto"/>
              </w:rPr>
            </w:pPr>
          </w:p>
        </w:tc>
      </w:tr>
      <w:tr>
        <w:trPr>
          <w:trHeight w:val="17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Recognized revenue</w:t>
            </w:r>
          </w:p>
        </w:tc>
        <w:tc>
          <w:tcPr>
            <w:tcW w:w="74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759</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348</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32,219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revenue</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11,959</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contracts</w:t>
            </w: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979</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478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216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43,229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aging of past due preneed cemetery receivables as of December 31, 2019 is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740" w:type="dxa"/>
            <w:vAlign w:val="bottom"/>
          </w:tcPr>
          <w:p>
            <w:pPr>
              <w:jc w:val="right"/>
              <w:ind w:right="16"/>
              <w:spacing w:after="0"/>
              <w:rPr>
                <w:sz w:val="20"/>
                <w:szCs w:val="20"/>
                <w:color w:val="auto"/>
              </w:rPr>
            </w:pPr>
            <w:r>
              <w:rPr>
                <w:rFonts w:ascii="Arial" w:cs="Arial" w:eastAsia="Arial" w:hAnsi="Arial"/>
                <w:sz w:val="11"/>
                <w:szCs w:val="11"/>
                <w:color w:val="auto"/>
              </w:rPr>
              <w:t>31-60</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36"/>
              <w:spacing w:after="0"/>
              <w:rPr>
                <w:sz w:val="20"/>
                <w:szCs w:val="20"/>
                <w:color w:val="auto"/>
              </w:rPr>
            </w:pPr>
            <w:r>
              <w:rPr>
                <w:rFonts w:ascii="Arial" w:cs="Arial" w:eastAsia="Arial" w:hAnsi="Arial"/>
                <w:sz w:val="11"/>
                <w:szCs w:val="11"/>
                <w:color w:val="auto"/>
              </w:rPr>
              <w:t>61-90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6"/>
              <w:spacing w:after="0"/>
              <w:rPr>
                <w:sz w:val="20"/>
                <w:szCs w:val="20"/>
                <w:color w:val="auto"/>
              </w:rPr>
            </w:pPr>
            <w:r>
              <w:rPr>
                <w:rFonts w:ascii="Arial" w:cs="Arial" w:eastAsia="Arial" w:hAnsi="Arial"/>
                <w:sz w:val="11"/>
                <w:szCs w:val="11"/>
                <w:color w:val="auto"/>
              </w:rPr>
              <w:t>91-120</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right"/>
              <w:ind w:right="355"/>
              <w:spacing w:after="0"/>
              <w:rPr>
                <w:sz w:val="20"/>
                <w:szCs w:val="20"/>
                <w:color w:val="auto"/>
              </w:rPr>
            </w:pPr>
            <w:r>
              <w:rPr>
                <w:rFonts w:ascii="Arial" w:cs="Arial" w:eastAsia="Arial" w:hAnsi="Arial"/>
                <w:sz w:val="11"/>
                <w:szCs w:val="11"/>
                <w:color w:val="auto"/>
              </w:rPr>
              <w:t>&gt;120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color w:val="auto"/>
                <w:w w:val="88"/>
              </w:rPr>
              <w:t>Total Past</w:t>
            </w: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color w:val="auto"/>
              </w:rPr>
              <w:t>Current</w:t>
            </w:r>
          </w:p>
        </w:tc>
        <w:tc>
          <w:tcPr>
            <w:tcW w:w="180" w:type="dxa"/>
            <w:vAlign w:val="bottom"/>
          </w:tcPr>
          <w:p>
            <w:pPr>
              <w:spacing w:after="0"/>
              <w:rPr>
                <w:sz w:val="10"/>
                <w:szCs w:val="10"/>
                <w:color w:val="auto"/>
              </w:rPr>
            </w:pPr>
          </w:p>
        </w:tc>
        <w:tc>
          <w:tcPr>
            <w:tcW w:w="1080" w:type="dxa"/>
            <w:vAlign w:val="bottom"/>
          </w:tcPr>
          <w:p>
            <w:pPr>
              <w:jc w:val="right"/>
              <w:ind w:right="215"/>
              <w:spacing w:after="0"/>
              <w:rPr>
                <w:sz w:val="20"/>
                <w:szCs w:val="20"/>
                <w:color w:val="auto"/>
              </w:rPr>
            </w:pPr>
            <w:r>
              <w:rPr>
                <w:rFonts w:ascii="Arial" w:cs="Arial" w:eastAsia="Arial" w:hAnsi="Arial"/>
                <w:sz w:val="11"/>
                <w:szCs w:val="11"/>
                <w:color w:val="auto"/>
              </w:rPr>
              <w:t>Total Financing</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Past Due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Past Due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Past Due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Past Due</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1"/>
                <w:szCs w:val="11"/>
                <w:color w:val="auto"/>
                <w:w w:val="88"/>
              </w:rPr>
              <w:t>Due</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95"/>
              <w:spacing w:after="0"/>
              <w:rPr>
                <w:sz w:val="20"/>
                <w:szCs w:val="20"/>
                <w:color w:val="auto"/>
              </w:rPr>
            </w:pPr>
            <w:r>
              <w:rPr>
                <w:rFonts w:ascii="Arial" w:cs="Arial" w:eastAsia="Arial" w:hAnsi="Arial"/>
                <w:sz w:val="11"/>
                <w:szCs w:val="11"/>
                <w:color w:val="auto"/>
              </w:rPr>
              <w:t>Receivables</w:t>
            </w:r>
          </w:p>
        </w:tc>
        <w:tc>
          <w:tcPr>
            <w:tcW w:w="0" w:type="dxa"/>
            <w:vAlign w:val="bottom"/>
          </w:tcPr>
          <w:p>
            <w:pPr>
              <w:spacing w:after="0"/>
              <w:rPr>
                <w:sz w:val="1"/>
                <w:szCs w:val="1"/>
                <w:color w:val="auto"/>
              </w:rPr>
            </w:pPr>
          </w:p>
        </w:tc>
      </w:tr>
      <w:tr>
        <w:trPr>
          <w:trHeight w:val="172"/>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Recognized revenue</w:t>
            </w:r>
          </w:p>
        </w:tc>
        <w:tc>
          <w:tcPr>
            <w:tcW w:w="74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745</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392</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28,382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30,876</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revenue</w:t>
            </w: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219</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10,440</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contracts</w:t>
            </w: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964</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295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41,316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TRUST INVESTMENTS</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Arial" w:cs="Arial" w:eastAsia="Arial" w:hAnsi="Arial"/>
          <w:sz w:val="14"/>
          <w:szCs w:val="14"/>
          <w:i w:val="1"/>
          <w:iCs w:val="1"/>
          <w:color w:val="auto"/>
        </w:rPr>
        <w:t>Other revenue</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Statements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w:t>
      </w:r>
      <w:r>
        <w:rPr>
          <w:rFonts w:ascii="Arial" w:cs="Arial" w:eastAsia="Arial" w:hAnsi="Arial"/>
          <w:sz w:val="14"/>
          <w:szCs w:val="14"/>
          <w:color w:val="auto"/>
        </w:rPr>
        <w:t>, when a service is performed or merchandise is delivered. Trust management fees charged by CSV RIA are included as revenue in the period in which they are earned. Our investments are</w:t>
      </w:r>
      <w:r>
        <w:rPr>
          <w:rFonts w:ascii="Arial" w:cs="Arial" w:eastAsia="Arial" w:hAnsi="Arial"/>
          <w:sz w:val="14"/>
          <w:szCs w:val="14"/>
          <w:i w:val="1"/>
          <w:iCs w:val="1"/>
          <w:color w:val="auto"/>
        </w:rPr>
        <w:t xml:space="preserve"> </w:t>
      </w:r>
      <w:r>
        <w:rPr>
          <w:rFonts w:ascii="Arial" w:cs="Arial" w:eastAsia="Arial" w:hAnsi="Arial"/>
          <w:sz w:val="14"/>
          <w:szCs w:val="14"/>
          <w:color w:val="auto"/>
        </w:rPr>
        <w:t>diversified across multiple industry segments using a balanced allocation strategy to minimize long-term risk. We do not intend to sell and it is likely that we will not be required to sell the securities prior to their anticipated recovery.</w:t>
      </w:r>
    </w:p>
    <w:p>
      <w:pPr>
        <w:spacing w:after="0" w:line="6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in </w:t>
      </w:r>
      <w:r>
        <w:rPr>
          <w:rFonts w:ascii="Arial" w:cs="Arial" w:eastAsia="Arial" w:hAnsi="Arial"/>
          <w:sz w:val="14"/>
          <w:szCs w:val="14"/>
          <w:i w:val="1"/>
          <w:iCs w:val="1"/>
          <w:color w:val="auto"/>
        </w:rPr>
        <w:t>Other</w:t>
      </w:r>
      <w:r>
        <w:rPr>
          <w:rFonts w:ascii="Arial" w:cs="Arial" w:eastAsia="Arial" w:hAnsi="Arial"/>
          <w:sz w:val="14"/>
          <w:szCs w:val="14"/>
          <w:color w:val="auto"/>
        </w:rPr>
        <w:t xml:space="preserve"> </w:t>
      </w:r>
      <w:r>
        <w:rPr>
          <w:rFonts w:ascii="Arial" w:cs="Arial" w:eastAsia="Arial" w:hAnsi="Arial"/>
          <w:sz w:val="14"/>
          <w:szCs w:val="14"/>
          <w:i w:val="1"/>
          <w:iCs w:val="1"/>
          <w:color w:val="auto"/>
        </w:rPr>
        <w:t>revenue.</w:t>
      </w:r>
    </w:p>
    <w:p>
      <w:pPr>
        <w:spacing w:after="0" w:line="58"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See Note 10 to the Consolidated Financial Statements included herein for further information of the fair value measurement.</w:t>
      </w:r>
    </w:p>
    <w:p>
      <w:pPr>
        <w:spacing w:after="0" w:line="47"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Changes in the fair value of our trust fund assets (</w:t>
      </w:r>
      <w:r>
        <w:rPr>
          <w:rFonts w:ascii="Arial" w:cs="Arial" w:eastAsia="Arial" w:hAnsi="Arial"/>
          <w:sz w:val="13"/>
          <w:szCs w:val="13"/>
          <w:i w:val="1"/>
          <w:iCs w:val="1"/>
          <w:color w:val="auto"/>
        </w:rPr>
        <w:t>Preneed funeral, cemetery and perpetual care trust investments</w:t>
      </w:r>
      <w:r>
        <w:rPr>
          <w:rFonts w:ascii="Arial" w:cs="Arial" w:eastAsia="Arial" w:hAnsi="Arial"/>
          <w:sz w:val="13"/>
          <w:szCs w:val="13"/>
          <w:color w:val="auto"/>
        </w:rPr>
        <w:t>) are offset by changes in the fair value of our trust fund liabilities (</w:t>
      </w:r>
      <w:r>
        <w:rPr>
          <w:rFonts w:ascii="Arial" w:cs="Arial" w:eastAsia="Arial" w:hAnsi="Arial"/>
          <w:sz w:val="13"/>
          <w:szCs w:val="13"/>
          <w:i w:val="1"/>
          <w:iCs w:val="1"/>
          <w:color w:val="auto"/>
        </w:rPr>
        <w:t>Deferred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preneed funeral and cemetery receipts held in trust </w:t>
      </w:r>
      <w:r>
        <w:rPr>
          <w:rFonts w:ascii="Arial" w:cs="Arial" w:eastAsia="Arial" w:hAnsi="Arial"/>
          <w:sz w:val="13"/>
          <w:szCs w:val="13"/>
          <w:color w:val="auto"/>
        </w:rPr>
        <w:t>and</w:t>
      </w:r>
      <w:r>
        <w:rPr>
          <w:rFonts w:ascii="Arial" w:cs="Arial" w:eastAsia="Arial" w:hAnsi="Arial"/>
          <w:sz w:val="13"/>
          <w:szCs w:val="13"/>
          <w:i w:val="1"/>
          <w:iCs w:val="1"/>
          <w:color w:val="auto"/>
        </w:rPr>
        <w:t xml:space="preserve"> Care trusts’ corpus</w:t>
      </w:r>
      <w:r>
        <w:rPr>
          <w:rFonts w:ascii="Arial" w:cs="Arial" w:eastAsia="Arial" w:hAnsi="Arial"/>
          <w:sz w:val="13"/>
          <w:szCs w:val="13"/>
          <w:color w:val="auto"/>
        </w:rPr>
        <w:t>) and reflected in</w:t>
      </w:r>
      <w:r>
        <w:rPr>
          <w:rFonts w:ascii="Arial" w:cs="Arial" w:eastAsia="Arial" w:hAnsi="Arial"/>
          <w:sz w:val="13"/>
          <w:szCs w:val="13"/>
          <w:i w:val="1"/>
          <w:iCs w:val="1"/>
          <w:color w:val="auto"/>
        </w:rPr>
        <w:t xml:space="preserve"> Other, net</w:t>
      </w:r>
      <w:r>
        <w:rPr>
          <w:rFonts w:ascii="Arial" w:cs="Arial" w:eastAsia="Arial" w:hAnsi="Arial"/>
          <w:sz w:val="13"/>
          <w:szCs w:val="13"/>
          <w:color w:val="auto"/>
        </w:rPr>
        <w:t>. There is no impact on earnings until such time the services are performed or the merchandise is</w:t>
      </w:r>
      <w:r>
        <w:rPr>
          <w:rFonts w:ascii="Arial" w:cs="Arial" w:eastAsia="Arial" w:hAnsi="Arial"/>
          <w:sz w:val="13"/>
          <w:szCs w:val="13"/>
          <w:i w:val="1"/>
          <w:iCs w:val="1"/>
          <w:color w:val="auto"/>
        </w:rPr>
        <w:t xml:space="preserve"> </w:t>
      </w:r>
      <w:r>
        <w:rPr>
          <w:rFonts w:ascii="Arial" w:cs="Arial" w:eastAsia="Arial" w:hAnsi="Arial"/>
          <w:sz w:val="13"/>
          <w:szCs w:val="13"/>
          <w:color w:val="auto"/>
        </w:rPr>
        <w:t>delivered, causing the contract to be withdrawn from the trust in accordance with state regulations and the gain or loss is allocated to the contract.</w:t>
      </w:r>
    </w:p>
    <w:p>
      <w:pPr>
        <w:spacing w:after="0" w:line="4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For fixed income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fixed income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unrealized loss that has not been recorded through an allowance for credit losses is recognized in other comprehensive income.</w:t>
      </w:r>
    </w:p>
    <w:p>
      <w:pPr>
        <w:spacing w:after="0" w:line="5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Preneed Cemetery Trust Investments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The components of </w:t>
      </w:r>
      <w:r>
        <w:rPr>
          <w:rFonts w:ascii="Arial" w:cs="Arial" w:eastAsia="Arial" w:hAnsi="Arial"/>
          <w:sz w:val="14"/>
          <w:szCs w:val="14"/>
          <w:i w:val="1"/>
          <w:iCs w:val="1"/>
          <w:color w:val="auto"/>
        </w:rPr>
        <w:t>Preneed cemetery trust investments</w:t>
      </w:r>
      <w:r>
        <w:rPr>
          <w:rFonts w:ascii="Arial" w:cs="Arial" w:eastAsia="Arial" w:hAnsi="Arial"/>
          <w:sz w:val="14"/>
          <w:szCs w:val="14"/>
          <w:color w:val="auto"/>
        </w:rPr>
        <w:t xml:space="preserve"> on our Consolidated Balance Sheet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2019</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December 31, 2020</w:t>
            </w:r>
          </w:p>
        </w:tc>
        <w:tc>
          <w:tcPr>
            <w:tcW w:w="0" w:type="dxa"/>
            <w:vAlign w:val="bottom"/>
          </w:tcPr>
          <w:p>
            <w:pPr>
              <w:spacing w:after="0"/>
              <w:rPr>
                <w:sz w:val="1"/>
                <w:szCs w:val="1"/>
                <w:color w:val="auto"/>
              </w:rPr>
            </w:pPr>
          </w:p>
        </w:tc>
      </w:tr>
      <w:tr>
        <w:trPr>
          <w:trHeight w:val="17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Preneed cemetery trust investments, at market value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74,572</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jc w:val="center"/>
              <w:ind w:right="249"/>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3"/>
              </w:rPr>
              <w:t>89,081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allowance for contract cancellation</w:t>
            </w: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0"/>
              </w:rPr>
              <w:t>(2,190)</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w w:val="90"/>
              </w:rPr>
              <w:t>(2,477)</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Preneed cemetery trust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w w:val="97"/>
              </w:rPr>
              <w:t>72,382</w:t>
            </w: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center"/>
              <w:ind w:right="249"/>
              <w:spacing w:after="0"/>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w w:val="93"/>
              </w:rPr>
              <w:t>86,604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780" w:type="dxa"/>
            <w:vAlign w:val="bottom"/>
            <w:gridSpan w:val="9"/>
          </w:tcPr>
          <w:p>
            <w:pPr>
              <w:ind w:left="320"/>
              <w:spacing w:after="0"/>
              <w:rPr>
                <w:sz w:val="20"/>
                <w:szCs w:val="20"/>
                <w:color w:val="auto"/>
              </w:rPr>
            </w:pPr>
            <w:r>
              <w:rPr>
                <w:rFonts w:ascii="Arial" w:cs="Arial" w:eastAsia="Arial" w:hAnsi="Arial"/>
                <w:sz w:val="14"/>
                <w:szCs w:val="14"/>
                <w:color w:val="auto"/>
                <w:w w:val="96"/>
              </w:rPr>
              <w:t>The cost and fair market values associated with preneed cemetery trust investments at December 31, 2020 are detailed below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Fair Value</w:t>
            </w:r>
          </w:p>
        </w:tc>
        <w:tc>
          <w:tcPr>
            <w:tcW w:w="260" w:type="dxa"/>
            <w:vAlign w:val="bottom"/>
          </w:tcPr>
          <w:p>
            <w:pPr>
              <w:spacing w:after="0"/>
              <w:rPr>
                <w:sz w:val="12"/>
                <w:szCs w:val="12"/>
                <w:color w:val="auto"/>
              </w:rPr>
            </w:pPr>
          </w:p>
        </w:tc>
        <w:tc>
          <w:tcPr>
            <w:tcW w:w="900" w:type="dxa"/>
            <w:vAlign w:val="bottom"/>
            <w:gridSpan w:val="2"/>
            <w:vMerge w:val="restart"/>
          </w:tcPr>
          <w:p>
            <w:pPr>
              <w:jc w:val="right"/>
              <w:ind w:right="389"/>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11"/>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2"/>
                <w:szCs w:val="12"/>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1"/>
              </w:rPr>
              <w:t>Unrealized</w:t>
            </w:r>
          </w:p>
        </w:tc>
        <w:tc>
          <w:tcPr>
            <w:tcW w:w="11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8"/>
              </w:rPr>
              <w:t>Fair Market Value</w:t>
            </w: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Hierarchy Level</w:t>
            </w: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51"/>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0"/>
              </w:rPr>
              <w:t>Losses</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money market accounts</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1,859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1,859</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debt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17,334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180"/>
              <w:spacing w:after="0"/>
              <w:rPr>
                <w:sz w:val="20"/>
                <w:szCs w:val="20"/>
                <w:color w:val="auto"/>
              </w:rPr>
            </w:pPr>
            <w:r>
              <w:rPr>
                <w:rFonts w:ascii="Arial" w:cs="Arial" w:eastAsia="Arial" w:hAnsi="Arial"/>
                <w:sz w:val="14"/>
                <w:szCs w:val="14"/>
                <w:color w:val="auto"/>
              </w:rPr>
              <w:t>Corporate debt</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14,856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16,318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11,886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12,530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1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31,294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Fixed Income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8,640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40" w:type="dxa"/>
            <w:vAlign w:val="bottom"/>
          </w:tcPr>
          <w:p>
            <w:pPr>
              <w:ind w:left="20"/>
              <w:spacing w:after="0" w:line="160" w:lineRule="exact"/>
              <w:rPr>
                <w:sz w:val="20"/>
                <w:szCs w:val="20"/>
                <w:color w:val="auto"/>
              </w:rPr>
            </w:pPr>
            <w:r>
              <w:rPr>
                <w:rFonts w:ascii="Arial" w:cs="Arial" w:eastAsia="Arial" w:hAnsi="Arial"/>
                <w:sz w:val="14"/>
                <w:szCs w:val="14"/>
                <w:color w:val="auto"/>
              </w:rPr>
              <w:t>Trust securities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82,573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13,856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(8,341)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88,088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Accrued investment income</w:t>
            </w: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993</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140" w:type="dxa"/>
            <w:vAlign w:val="bottom"/>
            <w:tcBorders>
              <w:top w:val="single" w:sz="8" w:color="CCEEFF"/>
            </w:tcBorders>
          </w:tcPr>
          <w:p>
            <w:pPr>
              <w:ind w:left="20"/>
              <w:spacing w:after="0" w:line="132" w:lineRule="exact"/>
              <w:rPr>
                <w:sz w:val="20"/>
                <w:szCs w:val="20"/>
                <w:color w:val="auto"/>
              </w:rPr>
            </w:pPr>
            <w:r>
              <w:rPr>
                <w:rFonts w:ascii="Arial" w:cs="Arial" w:eastAsia="Arial" w:hAnsi="Arial"/>
                <w:sz w:val="14"/>
                <w:szCs w:val="14"/>
                <w:color w:val="auto"/>
              </w:rPr>
              <w:t>Preneed cemetery trust investments</w:t>
            </w:r>
          </w:p>
        </w:tc>
        <w:tc>
          <w:tcPr>
            <w:tcW w:w="1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10"/>
              <w:spacing w:after="0" w:line="132" w:lineRule="exact"/>
              <w:rPr>
                <w:sz w:val="20"/>
                <w:szCs w:val="20"/>
                <w:color w:val="auto"/>
              </w:rPr>
            </w:pPr>
            <w:r>
              <w:rPr>
                <w:rFonts w:ascii="Arial" w:cs="Arial" w:eastAsia="Arial" w:hAnsi="Arial"/>
                <w:sz w:val="14"/>
                <w:szCs w:val="14"/>
                <w:color w:val="auto"/>
              </w:rPr>
              <w:t>89,081</w:t>
            </w:r>
          </w:p>
        </w:tc>
        <w:tc>
          <w:tcPr>
            <w:tcW w:w="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Market value as a percentage of cost</w:t>
            </w: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106.7%</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6"/>
            <w:vMerge w:val="restart"/>
          </w:tcPr>
          <w:p>
            <w:pPr>
              <w:ind w:left="320"/>
              <w:spacing w:after="0"/>
              <w:rPr>
                <w:sz w:val="20"/>
                <w:szCs w:val="20"/>
                <w:color w:val="auto"/>
              </w:rPr>
            </w:pPr>
            <w:r>
              <w:rPr>
                <w:rFonts w:ascii="Arial" w:cs="Arial" w:eastAsia="Arial" w:hAnsi="Arial"/>
                <w:sz w:val="14"/>
                <w:szCs w:val="14"/>
                <w:color w:val="auto"/>
                <w:w w:val="92"/>
              </w:rPr>
              <w:t>The estimated maturities of the fixed income securities (excluding mutual funds) included above are as follows (in thousands):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540" w:type="dxa"/>
            <w:vAlign w:val="bottom"/>
            <w:gridSpan w:val="6"/>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one year or less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Due in one to five years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five to ten years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fixed income securities</w:t>
            </w: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491"/>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51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cost and market values associated with preneed cemetery trust investments at December 31, 2019 are detailed below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Fair Value Hierarchy</w:t>
            </w:r>
          </w:p>
        </w:tc>
        <w:tc>
          <w:tcPr>
            <w:tcW w:w="320" w:type="dxa"/>
            <w:vAlign w:val="bottom"/>
          </w:tcPr>
          <w:p>
            <w:pPr>
              <w:spacing w:after="0"/>
              <w:rPr>
                <w:sz w:val="13"/>
                <w:szCs w:val="13"/>
                <w:color w:val="auto"/>
              </w:rPr>
            </w:pPr>
          </w:p>
        </w:tc>
        <w:tc>
          <w:tcPr>
            <w:tcW w:w="980" w:type="dxa"/>
            <w:vAlign w:val="bottom"/>
            <w:vMerge w:val="restart"/>
          </w:tcPr>
          <w:p>
            <w:pPr>
              <w:jc w:val="right"/>
              <w:ind w:right="45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3"/>
                <w:szCs w:val="13"/>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w w:val="94"/>
              </w:rPr>
              <w:t>Fair Market Value</w:t>
            </w: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Level</w:t>
            </w: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Gains</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75"/>
              </w:rPr>
              <w:t>Losses</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money market accounts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5,729</w:t>
            </w: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debt</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5,678</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Corporate debt</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16,916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17,311</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14,946</w:t>
            </w: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28,318</w:t>
            </w: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71"/>
        </w:trPr>
        <w:tc>
          <w:tcPr>
            <w:tcW w:w="4360" w:type="dxa"/>
            <w:vAlign w:val="bottom"/>
          </w:tcPr>
          <w:p>
            <w:pPr>
              <w:ind w:left="20"/>
              <w:spacing w:after="0" w:line="160" w:lineRule="exact"/>
              <w:rPr>
                <w:sz w:val="20"/>
                <w:szCs w:val="20"/>
                <w:color w:val="auto"/>
              </w:rPr>
            </w:pPr>
            <w:r>
              <w:rPr>
                <w:rFonts w:ascii="Arial" w:cs="Arial" w:eastAsia="Arial" w:hAnsi="Arial"/>
                <w:sz w:val="14"/>
                <w:szCs w:val="14"/>
                <w:color w:val="auto"/>
              </w:rPr>
              <w:t>Trust Securities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73,835</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Accrued investment income</w:t>
            </w: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32"/>
        </w:trPr>
        <w:tc>
          <w:tcPr>
            <w:tcW w:w="4360" w:type="dxa"/>
            <w:vAlign w:val="bottom"/>
            <w:tcBorders>
              <w:top w:val="single" w:sz="8" w:color="CCEEFF"/>
            </w:tcBorders>
          </w:tcPr>
          <w:p>
            <w:pPr>
              <w:ind w:left="20"/>
              <w:spacing w:after="0" w:line="132" w:lineRule="exact"/>
              <w:rPr>
                <w:sz w:val="20"/>
                <w:szCs w:val="20"/>
                <w:color w:val="auto"/>
              </w:rPr>
            </w:pPr>
            <w:r>
              <w:rPr>
                <w:rFonts w:ascii="Arial" w:cs="Arial" w:eastAsia="Arial" w:hAnsi="Arial"/>
                <w:sz w:val="14"/>
                <w:szCs w:val="14"/>
                <w:color w:val="auto"/>
              </w:rPr>
              <w:t>Preneed cemetery trust investments</w:t>
            </w:r>
          </w:p>
        </w:tc>
        <w:tc>
          <w:tcPr>
            <w:tcW w:w="13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30"/>
              <w:spacing w:after="0" w:line="132" w:lineRule="exact"/>
              <w:rPr>
                <w:sz w:val="20"/>
                <w:szCs w:val="20"/>
                <w:color w:val="auto"/>
              </w:rPr>
            </w:pPr>
            <w:r>
              <w:rPr>
                <w:rFonts w:ascii="Arial" w:cs="Arial" w:eastAsia="Arial" w:hAnsi="Arial"/>
                <w:sz w:val="14"/>
                <w:szCs w:val="14"/>
                <w:color w:val="auto"/>
              </w:rPr>
              <w:t>74,572</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Market value as a percentage of cost</w:t>
            </w: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4"/>
          <w:szCs w:val="14"/>
          <w:color w:val="auto"/>
        </w:rPr>
        <w:t>The following table summarized our fixed income securities (excluding mutual funds) within our preneed cemetery trust investments in an unrealized loss position at December 31, 2020, aggregated by major security type and length of time in a continuous unrealized loss position (in thousands):</w:t>
      </w: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w w:val="88"/>
              </w:rPr>
              <w:t>December 31, 2020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ind w:right="300"/>
              <w:spacing w:after="0" w:line="120" w:lineRule="exact"/>
              <w:rPr>
                <w:sz w:val="20"/>
                <w:szCs w:val="20"/>
                <w:color w:val="auto"/>
              </w:rPr>
            </w:pPr>
            <w:r>
              <w:rPr>
                <w:rFonts w:ascii="Arial" w:cs="Arial" w:eastAsia="Arial" w:hAnsi="Arial"/>
                <w:sz w:val="13"/>
                <w:szCs w:val="13"/>
                <w:b w:val="1"/>
                <w:bCs w:val="1"/>
                <w:color w:val="auto"/>
                <w:w w:val="88"/>
              </w:rPr>
              <w:t>In Loss Position Greater than 12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9"/>
              </w:rPr>
              <w:t>Total</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In Loss Position Less than 12 months</w:t>
            </w:r>
          </w:p>
        </w:tc>
        <w:tc>
          <w:tcPr>
            <w:tcW w:w="80" w:type="dxa"/>
            <w:vAlign w:val="bottom"/>
          </w:tcPr>
          <w:p>
            <w:pPr>
              <w:spacing w:after="0"/>
              <w:rPr>
                <w:sz w:val="8"/>
                <w:szCs w:val="8"/>
                <w:color w:val="auto"/>
              </w:rPr>
            </w:pPr>
          </w:p>
        </w:tc>
        <w:tc>
          <w:tcPr>
            <w:tcW w:w="2340" w:type="dxa"/>
            <w:vAlign w:val="bottom"/>
            <w:gridSpan w:val="5"/>
            <w:vMerge w:val="restart"/>
          </w:tcPr>
          <w:p>
            <w:pPr>
              <w:jc w:val="center"/>
              <w:ind w:right="300"/>
              <w:spacing w:after="0"/>
              <w:rPr>
                <w:sz w:val="20"/>
                <w:szCs w:val="20"/>
                <w:color w:val="auto"/>
              </w:rPr>
            </w:pPr>
            <w:r>
              <w:rPr>
                <w:rFonts w:ascii="Arial" w:cs="Arial" w:eastAsia="Arial" w:hAnsi="Arial"/>
                <w:sz w:val="13"/>
                <w:szCs w:val="13"/>
                <w:b w:val="1"/>
                <w:bCs w:val="1"/>
                <w:color w:val="auto"/>
                <w:w w:val="85"/>
              </w:rPr>
              <w:t>months</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1"/>
              </w:rPr>
              <w:t>Fair market value</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0" w:type="dxa"/>
            <w:vAlign w:val="bottom"/>
          </w:tcPr>
          <w:p>
            <w:pPr>
              <w:spacing w:after="0"/>
              <w:rPr>
                <w:sz w:val="1"/>
                <w:szCs w:val="1"/>
                <w:color w:val="auto"/>
              </w:rPr>
            </w:pPr>
          </w:p>
        </w:tc>
      </w:tr>
      <w:tr>
        <w:trPr>
          <w:trHeight w:val="16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income securities:</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2,517</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371</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(645)</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2,888</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4,049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4,758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line="160" w:lineRule="exact"/>
              <w:rPr>
                <w:sz w:val="20"/>
                <w:szCs w:val="20"/>
                <w:color w:val="auto"/>
              </w:rPr>
            </w:pPr>
            <w:r>
              <w:rPr>
                <w:rFonts w:ascii="Arial" w:cs="Arial" w:eastAsia="Arial" w:hAnsi="Arial"/>
                <w:sz w:val="14"/>
                <w:szCs w:val="14"/>
                <w:color w:val="auto"/>
              </w:rPr>
              <w:t>Total fixed income securities with an unrealized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4,010</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9,084</w:t>
            </w: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firstLine="318"/>
        <w:spacing w:after="0" w:line="276" w:lineRule="auto"/>
        <w:rPr>
          <w:sz w:val="20"/>
          <w:szCs w:val="20"/>
          <w:color w:val="auto"/>
        </w:rPr>
      </w:pPr>
      <w:r>
        <w:rPr>
          <w:rFonts w:ascii="Arial" w:cs="Arial" w:eastAsia="Arial" w:hAnsi="Arial"/>
          <w:sz w:val="14"/>
          <w:szCs w:val="14"/>
          <w:color w:val="auto"/>
        </w:rPr>
        <w:t>The following table summarized our fixed income securities within our preneed cemetery trust investments in an unrealized loss position at December 31, 2019, aggregated by major security type and length of time in a continuous unrealized loss position (in thousands):</w:t>
      </w:r>
    </w:p>
    <w:tbl>
      <w:tblPr>
        <w:tblLayout w:type="fixed"/>
        <w:tblInd w:w="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w w:val="87"/>
              </w:rPr>
              <w:t>December 31, 2019</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0"/>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5"/>
          </w:tcPr>
          <w:p>
            <w:pPr>
              <w:ind w:left="80"/>
              <w:spacing w:after="0"/>
              <w:rPr>
                <w:sz w:val="20"/>
                <w:szCs w:val="20"/>
                <w:color w:val="auto"/>
              </w:rPr>
            </w:pPr>
            <w:r>
              <w:rPr>
                <w:rFonts w:ascii="Arial" w:cs="Arial" w:eastAsia="Arial" w:hAnsi="Arial"/>
                <w:sz w:val="13"/>
                <w:szCs w:val="13"/>
                <w:b w:val="1"/>
                <w:bCs w:val="1"/>
                <w:color w:val="auto"/>
              </w:rPr>
              <w:t>In Loss Position Less than 12 months</w:t>
            </w:r>
          </w:p>
        </w:tc>
        <w:tc>
          <w:tcPr>
            <w:tcW w:w="80" w:type="dxa"/>
            <w:vAlign w:val="bottom"/>
          </w:tcPr>
          <w:p>
            <w:pPr>
              <w:spacing w:after="0"/>
              <w:rPr>
                <w:sz w:val="13"/>
                <w:szCs w:val="13"/>
                <w:color w:val="auto"/>
              </w:rPr>
            </w:pPr>
          </w:p>
        </w:tc>
        <w:tc>
          <w:tcPr>
            <w:tcW w:w="25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7"/>
              </w:rPr>
              <w:t>In Loss Position Greater than 12 months</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3"/>
                <w:szCs w:val="13"/>
                <w:b w:val="1"/>
                <w:bCs w:val="1"/>
                <w:color w:val="auto"/>
                <w:w w:val="89"/>
              </w:rPr>
              <w:t>Total</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3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1"/>
                <w:szCs w:val="11"/>
                <w:color w:val="auto"/>
              </w:rPr>
              <w:t>Fair market value</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1"/>
                <w:szCs w:val="11"/>
                <w:color w:val="auto"/>
              </w:rPr>
              <w:t>Fair market value</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1"/>
                <w:szCs w:val="11"/>
                <w:color w:val="auto"/>
                <w:w w:val="92"/>
              </w:rPr>
              <w:t>Unrealized Losses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94"/>
              </w:rPr>
              <w:t>Fair market value</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1"/>
                <w:szCs w:val="11"/>
                <w:color w:val="auto"/>
                <w:w w:val="92"/>
              </w:rPr>
              <w:t>Unrealized Losses</w:t>
            </w:r>
          </w:p>
        </w:tc>
        <w:tc>
          <w:tcPr>
            <w:tcW w:w="80" w:type="dxa"/>
            <w:vAlign w:val="bottom"/>
          </w:tcPr>
          <w:p>
            <w:pPr>
              <w:spacing w:after="0"/>
              <w:rPr>
                <w:sz w:val="12"/>
                <w:szCs w:val="12"/>
                <w:color w:val="auto"/>
              </w:rPr>
            </w:pPr>
          </w:p>
        </w:tc>
      </w:tr>
      <w:tr>
        <w:trPr>
          <w:trHeight w:val="16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income securities:</w:t>
            </w: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268</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758</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1,026</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5"/>
                <w:szCs w:val="15"/>
                <w:color w:val="auto"/>
              </w:rPr>
            </w:pPr>
          </w:p>
        </w:tc>
      </w:tr>
      <w:tr>
        <w:trPr>
          <w:trHeight w:val="180"/>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5,888</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5"/>
                <w:szCs w:val="15"/>
                <w:color w:val="auto"/>
              </w:rPr>
            </w:pPr>
          </w:p>
        </w:tc>
      </w:tr>
      <w:tr>
        <w:trPr>
          <w:trHeight w:val="180"/>
        </w:trPr>
        <w:tc>
          <w:tcPr>
            <w:tcW w:w="362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4,135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4,135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r>
      <w:tr>
        <w:trPr>
          <w:trHeight w:val="180"/>
        </w:trPr>
        <w:tc>
          <w:tcPr>
            <w:tcW w:w="3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5"/>
                <w:szCs w:val="15"/>
                <w:color w:val="auto"/>
              </w:rPr>
            </w:pPr>
          </w:p>
        </w:tc>
      </w:tr>
      <w:tr>
        <w:trPr>
          <w:trHeight w:val="170"/>
        </w:trPr>
        <w:tc>
          <w:tcPr>
            <w:tcW w:w="3620" w:type="dxa"/>
            <w:vAlign w:val="bottom"/>
          </w:tcPr>
          <w:p>
            <w:pPr>
              <w:ind w:left="20"/>
              <w:spacing w:after="0" w:line="160" w:lineRule="exact"/>
              <w:rPr>
                <w:sz w:val="20"/>
                <w:szCs w:val="20"/>
                <w:color w:val="auto"/>
              </w:rPr>
            </w:pPr>
            <w:r>
              <w:rPr>
                <w:rFonts w:ascii="Arial" w:cs="Arial" w:eastAsia="Arial" w:hAnsi="Arial"/>
                <w:sz w:val="14"/>
                <w:szCs w:val="14"/>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5,771</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11,451</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80" w:type="dxa"/>
            <w:vAlign w:val="bottom"/>
          </w:tcPr>
          <w:p>
            <w:pPr>
              <w:spacing w:after="0"/>
              <w:rPr>
                <w:sz w:val="14"/>
                <w:szCs w:val="14"/>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0"/>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11"/>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6"/>
        </w:trPr>
        <w:tc>
          <w:tcPr>
            <w:tcW w:w="3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Preneed cemetery trust investment security transactions recorded in </w:t>
      </w:r>
      <w:r>
        <w:rPr>
          <w:rFonts w:ascii="Arial" w:cs="Arial" w:eastAsia="Arial" w:hAnsi="Arial"/>
          <w:sz w:val="14"/>
          <w:szCs w:val="14"/>
          <w:i w:val="1"/>
          <w:iCs w:val="1"/>
          <w:color w:val="auto"/>
        </w:rPr>
        <w:t>Other, net</w:t>
      </w:r>
      <w:r>
        <w:rPr>
          <w:rFonts w:ascii="Arial" w:cs="Arial" w:eastAsia="Arial" w:hAnsi="Arial"/>
          <w:sz w:val="14"/>
          <w:szCs w:val="14"/>
          <w:color w:val="auto"/>
        </w:rPr>
        <w:t xml:space="preserve"> on our Consolidated Statements of Operations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Realized gains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4,546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6,353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8,922</w:t>
            </w:r>
          </w:p>
        </w:tc>
        <w:tc>
          <w:tcPr>
            <w:tcW w:w="0" w:type="dxa"/>
            <w:vAlign w:val="bottom"/>
          </w:tcPr>
          <w:p>
            <w:pPr>
              <w:spacing w:after="0"/>
              <w:rPr>
                <w:sz w:val="1"/>
                <w:szCs w:val="1"/>
                <w:color w:val="auto"/>
              </w:rPr>
            </w:pPr>
          </w:p>
        </w:tc>
      </w:tr>
      <w:tr>
        <w:trPr>
          <w:trHeight w:val="18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losses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Unrealized gains (losses), net</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(6,610)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5,515</w:t>
            </w:r>
          </w:p>
        </w:tc>
        <w:tc>
          <w:tcPr>
            <w:tcW w:w="0" w:type="dxa"/>
            <w:vAlign w:val="bottom"/>
          </w:tcPr>
          <w:p>
            <w:pPr>
              <w:spacing w:after="0"/>
              <w:rPr>
                <w:sz w:val="1"/>
                <w:szCs w:val="1"/>
                <w:color w:val="auto"/>
              </w:rPr>
            </w:pPr>
          </w:p>
        </w:tc>
      </w:tr>
      <w:tr>
        <w:trPr>
          <w:trHeight w:val="18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and taxes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8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change in deferred preneed cemetery receipts held in trust</w:t>
            </w: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(10,168)</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rPr>
              <w:t>Purchases and sales of investments in the preneed cemetery trusts are as follows (in thousands):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6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w w:val="96"/>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(40,984)</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(48,824)</w:t>
            </w:r>
          </w:p>
        </w:tc>
        <w:tc>
          <w:tcPr>
            <w:tcW w:w="0" w:type="dxa"/>
            <w:vAlign w:val="bottom"/>
          </w:tcPr>
          <w:p>
            <w:pPr>
              <w:spacing w:after="0"/>
              <w:rPr>
                <w:sz w:val="1"/>
                <w:szCs w:val="1"/>
                <w:color w:val="auto"/>
              </w:rPr>
            </w:pP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Sales</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39,180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29,635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41,178</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Preneed Funeral Trust Investments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The components of </w:t>
      </w:r>
      <w:r>
        <w:rPr>
          <w:rFonts w:ascii="Arial" w:cs="Arial" w:eastAsia="Arial" w:hAnsi="Arial"/>
          <w:sz w:val="14"/>
          <w:szCs w:val="14"/>
          <w:i w:val="1"/>
          <w:iCs w:val="1"/>
          <w:color w:val="auto"/>
        </w:rPr>
        <w:t>Preneed funeral trust investments</w:t>
      </w:r>
      <w:r>
        <w:rPr>
          <w:rFonts w:ascii="Arial" w:cs="Arial" w:eastAsia="Arial" w:hAnsi="Arial"/>
          <w:sz w:val="14"/>
          <w:szCs w:val="14"/>
          <w:color w:val="auto"/>
        </w:rPr>
        <w:t xml:space="preserve"> on our Consolidated Balance Sheet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820"/>
              <w:spacing w:after="0"/>
              <w:rPr>
                <w:sz w:val="20"/>
                <w:szCs w:val="20"/>
                <w:color w:val="auto"/>
              </w:rPr>
            </w:pPr>
            <w:r>
              <w:rPr>
                <w:rFonts w:ascii="Arial" w:cs="Arial" w:eastAsia="Arial" w:hAnsi="Arial"/>
                <w:sz w:val="13"/>
                <w:szCs w:val="13"/>
                <w:b w:val="1"/>
                <w:bCs w:val="1"/>
                <w:color w:val="auto"/>
              </w:rPr>
              <w:t>December 31, 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Preneed funeral trust investments, at market value</w:t>
            </w:r>
          </w:p>
        </w:tc>
        <w:tc>
          <w:tcPr>
            <w:tcW w:w="1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1"/>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97"/>
              </w:rPr>
              <w:t>99,246</w:t>
            </w: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104,166</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allowance for contract cancellation</w:t>
            </w: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90"/>
              </w:rPr>
              <w:t>(2,911)</w:t>
            </w:r>
          </w:p>
        </w:tc>
        <w:tc>
          <w:tcPr>
            <w:tcW w:w="2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(2,931)</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Preneed funeral trust investments</w:t>
            </w: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51"/>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97"/>
              </w:rPr>
              <w:t>96,335</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101,235</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gridSpan w:val="4"/>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560" w:type="dxa"/>
            <w:vAlign w:val="bottom"/>
            <w:gridSpan w:val="9"/>
          </w:tcPr>
          <w:p>
            <w:pPr>
              <w:ind w:left="320"/>
              <w:spacing w:after="0"/>
              <w:rPr>
                <w:sz w:val="20"/>
                <w:szCs w:val="20"/>
                <w:color w:val="auto"/>
              </w:rPr>
            </w:pPr>
            <w:r>
              <w:rPr>
                <w:rFonts w:ascii="Arial" w:cs="Arial" w:eastAsia="Arial" w:hAnsi="Arial"/>
                <w:sz w:val="14"/>
                <w:szCs w:val="14"/>
                <w:color w:val="auto"/>
                <w:w w:val="95"/>
              </w:rPr>
              <w:t>The cost and fair market values associated with preneed funeral trust investments at December 31, 2020 are detailed below (in thousands):</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Fair Value Hierarchy</w:t>
            </w:r>
          </w:p>
        </w:tc>
        <w:tc>
          <w:tcPr>
            <w:tcW w:w="320" w:type="dxa"/>
            <w:vAlign w:val="bottom"/>
          </w:tcPr>
          <w:p>
            <w:pPr>
              <w:spacing w:after="0"/>
              <w:rPr>
                <w:sz w:val="12"/>
                <w:szCs w:val="12"/>
                <w:color w:val="auto"/>
              </w:rPr>
            </w:pPr>
          </w:p>
        </w:tc>
        <w:tc>
          <w:tcPr>
            <w:tcW w:w="980" w:type="dxa"/>
            <w:vAlign w:val="bottom"/>
            <w:vMerge w:val="restart"/>
          </w:tcPr>
          <w:p>
            <w:pPr>
              <w:jc w:val="right"/>
              <w:ind w:right="45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Unrealized</w:t>
            </w:r>
          </w:p>
        </w:tc>
        <w:tc>
          <w:tcPr>
            <w:tcW w:w="160" w:type="dxa"/>
            <w:vAlign w:val="bottom"/>
          </w:tcPr>
          <w:p>
            <w:pPr>
              <w:spacing w:after="0"/>
              <w:rPr>
                <w:sz w:val="12"/>
                <w:szCs w:val="12"/>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4"/>
              </w:rPr>
              <w:t>Fair Market Value</w:t>
            </w: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Level</w:t>
            </w: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Gains</w:t>
            </w:r>
          </w:p>
        </w:tc>
        <w:tc>
          <w:tcPr>
            <w:tcW w:w="1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b w:val="1"/>
                <w:bCs w:val="1"/>
                <w:color w:val="auto"/>
                <w:w w:val="80"/>
              </w:rPr>
              <w:t>Losses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money market accounts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 S. treasury debt</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16,528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11,546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0"/>
              </w:rPr>
              <w:t>(6,052)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29,639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Mutual funds: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180"/>
              <w:spacing w:after="0"/>
              <w:rPr>
                <w:sz w:val="20"/>
                <w:szCs w:val="20"/>
                <w:color w:val="auto"/>
              </w:rPr>
            </w:pPr>
            <w:r>
              <w:rPr>
                <w:rFonts w:ascii="Arial" w:cs="Arial" w:eastAsia="Arial" w:hAnsi="Arial"/>
                <w:sz w:val="14"/>
                <w:szCs w:val="14"/>
                <w:color w:val="auto"/>
              </w:rPr>
              <w:t>Fixed income</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7,552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investments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60" w:type="dxa"/>
            <w:vAlign w:val="bottom"/>
          </w:tcPr>
          <w:p>
            <w:pPr>
              <w:ind w:left="20"/>
              <w:spacing w:after="0" w:line="160" w:lineRule="exact"/>
              <w:rPr>
                <w:sz w:val="20"/>
                <w:szCs w:val="20"/>
                <w:color w:val="auto"/>
              </w:rPr>
            </w:pPr>
            <w:r>
              <w:rPr>
                <w:rFonts w:ascii="Arial" w:cs="Arial" w:eastAsia="Arial" w:hAnsi="Arial"/>
                <w:sz w:val="14"/>
                <w:szCs w:val="14"/>
                <w:color w:val="auto"/>
              </w:rPr>
              <w:t>Trust securities</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97,700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(7,570)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103,255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Accrued investment income</w:t>
            </w: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4360" w:type="dxa"/>
            <w:vAlign w:val="bottom"/>
            <w:tcBorders>
              <w:top w:val="single" w:sz="8" w:color="CCEEFF"/>
            </w:tcBorders>
          </w:tcPr>
          <w:p>
            <w:pPr>
              <w:ind w:left="20"/>
              <w:spacing w:after="0" w:line="132" w:lineRule="exact"/>
              <w:rPr>
                <w:sz w:val="20"/>
                <w:szCs w:val="20"/>
                <w:color w:val="auto"/>
              </w:rPr>
            </w:pPr>
            <w:r>
              <w:rPr>
                <w:rFonts w:ascii="Arial" w:cs="Arial" w:eastAsia="Arial" w:hAnsi="Arial"/>
                <w:sz w:val="14"/>
                <w:szCs w:val="14"/>
                <w:color w:val="auto"/>
              </w:rPr>
              <w:t>Preneed funeral trust investments</w:t>
            </w:r>
          </w:p>
        </w:tc>
        <w:tc>
          <w:tcPr>
            <w:tcW w:w="13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50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30"/>
              <w:spacing w:after="0" w:line="132" w:lineRule="exact"/>
              <w:rPr>
                <w:sz w:val="20"/>
                <w:szCs w:val="20"/>
                <w:color w:val="auto"/>
              </w:rPr>
            </w:pPr>
            <w:r>
              <w:rPr>
                <w:rFonts w:ascii="Arial" w:cs="Arial" w:eastAsia="Arial" w:hAnsi="Arial"/>
                <w:sz w:val="14"/>
                <w:szCs w:val="14"/>
                <w:color w:val="auto"/>
              </w:rPr>
              <w:t>104,166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Market value as a percentage of cost</w:t>
            </w: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4"/>
                <w:szCs w:val="14"/>
                <w:color w:val="auto"/>
              </w:rPr>
              <w:t>71</w:t>
            </w: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436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3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5"/>
                <w:szCs w:val="15"/>
                <w:color w:val="auto"/>
              </w:rPr>
            </w:pPr>
          </w:p>
        </w:tc>
        <w:tc>
          <w:tcPr>
            <w:tcW w:w="5660" w:type="dxa"/>
            <w:vAlign w:val="bottom"/>
            <w:gridSpan w:val="9"/>
          </w:tcPr>
          <w:p>
            <w:pPr>
              <w:ind w:left="680"/>
              <w:spacing w:after="0"/>
              <w:rPr>
                <w:sz w:val="20"/>
                <w:szCs w:val="20"/>
                <w:color w:val="auto"/>
              </w:rPr>
            </w:pPr>
            <w:r>
              <w:rPr>
                <w:rFonts w:ascii="Arial" w:cs="Arial" w:eastAsia="Arial" w:hAnsi="Arial"/>
                <w:sz w:val="14"/>
                <w:szCs w:val="14"/>
                <w:b w:val="1"/>
                <w:bCs w:val="1"/>
                <w:color w:val="auto"/>
              </w:rPr>
              <w:t>NOTES TO CONSOLIDATED FINANCIAL STATEMENTS (continued)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5"/>
        </w:trPr>
        <w:tc>
          <w:tcPr>
            <w:tcW w:w="8420" w:type="dxa"/>
            <w:vAlign w:val="bottom"/>
            <w:gridSpan w:val="10"/>
          </w:tcPr>
          <w:p>
            <w:pPr>
              <w:ind w:left="320"/>
              <w:spacing w:after="0"/>
              <w:rPr>
                <w:sz w:val="20"/>
                <w:szCs w:val="20"/>
                <w:color w:val="auto"/>
              </w:rPr>
            </w:pPr>
            <w:r>
              <w:rPr>
                <w:rFonts w:ascii="Arial" w:cs="Arial" w:eastAsia="Arial" w:hAnsi="Arial"/>
                <w:sz w:val="14"/>
                <w:szCs w:val="14"/>
                <w:color w:val="auto"/>
              </w:rPr>
              <w:t>The estimated maturities of the fixed income securities (excluding mutual funds) included above are as follows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one year or less</w:t>
            </w:r>
          </w:p>
        </w:tc>
        <w:tc>
          <w:tcPr>
            <w:tcW w:w="1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Due in one to five years</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five to ten years</w:t>
            </w:r>
          </w:p>
        </w:tc>
        <w:tc>
          <w:tcPr>
            <w:tcW w:w="1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3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23,115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fixed income securities</w:t>
            </w:r>
          </w:p>
        </w:tc>
        <w:tc>
          <w:tcPr>
            <w:tcW w:w="1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43,658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10"/>
            <w:vMerge w:val="restart"/>
          </w:tcPr>
          <w:p>
            <w:pPr>
              <w:ind w:left="320"/>
              <w:spacing w:after="0"/>
              <w:rPr>
                <w:sz w:val="20"/>
                <w:szCs w:val="20"/>
                <w:color w:val="auto"/>
              </w:rPr>
            </w:pPr>
            <w:r>
              <w:rPr>
                <w:rFonts w:ascii="Arial" w:cs="Arial" w:eastAsia="Arial" w:hAnsi="Arial"/>
                <w:sz w:val="14"/>
                <w:szCs w:val="14"/>
                <w:color w:val="auto"/>
                <w:w w:val="96"/>
              </w:rPr>
              <w:t>The cost and market values associated with preneed funeral trust investments at December 31, 2019 are detailed below (in thousands):</w:t>
            </w: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20" w:type="dxa"/>
            <w:vAlign w:val="bottom"/>
            <w:gridSpan w:val="10"/>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Fair Value Hierarchy</w:t>
            </w:r>
          </w:p>
        </w:tc>
        <w:tc>
          <w:tcPr>
            <w:tcW w:w="320" w:type="dxa"/>
            <w:vAlign w:val="bottom"/>
          </w:tcPr>
          <w:p>
            <w:pPr>
              <w:spacing w:after="0"/>
              <w:rPr>
                <w:sz w:val="12"/>
                <w:szCs w:val="12"/>
                <w:color w:val="auto"/>
              </w:rPr>
            </w:pPr>
          </w:p>
        </w:tc>
        <w:tc>
          <w:tcPr>
            <w:tcW w:w="1040" w:type="dxa"/>
            <w:vAlign w:val="bottom"/>
            <w:vMerge w:val="restart"/>
          </w:tcPr>
          <w:p>
            <w:pPr>
              <w:jc w:val="right"/>
              <w:ind w:right="49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Unrealized</w:t>
            </w:r>
          </w:p>
        </w:tc>
        <w:tc>
          <w:tcPr>
            <w:tcW w:w="220" w:type="dxa"/>
            <w:vAlign w:val="bottom"/>
          </w:tcPr>
          <w:p>
            <w:pPr>
              <w:spacing w:after="0"/>
              <w:rPr>
                <w:sz w:val="12"/>
                <w:szCs w:val="1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Fair Market Value</w:t>
            </w: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Level</w:t>
            </w: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Gains</w:t>
            </w:r>
          </w:p>
        </w:tc>
        <w:tc>
          <w:tcPr>
            <w:tcW w:w="2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money market accounts</w:t>
            </w:r>
          </w:p>
        </w:tc>
        <w:tc>
          <w:tcPr>
            <w:tcW w:w="13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24,160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 treasury debt</w:t>
            </w:r>
          </w:p>
        </w:tc>
        <w:tc>
          <w:tcPr>
            <w:tcW w:w="2640" w:type="dxa"/>
            <w:vAlign w:val="bottom"/>
            <w:gridSpan w:val="2"/>
            <w:shd w:val="clear" w:color="auto" w:fill="CCEEFF"/>
          </w:tcPr>
          <w:p>
            <w:pPr>
              <w:jc w:val="center"/>
              <w:ind w:left="1229"/>
              <w:spacing w:after="0"/>
              <w:rPr>
                <w:sz w:val="20"/>
                <w:szCs w:val="20"/>
                <w:color w:val="auto"/>
              </w:rPr>
            </w:pPr>
            <w:r>
              <w:rPr>
                <w:rFonts w:ascii="Arial" w:cs="Arial" w:eastAsia="Arial" w:hAnsi="Arial"/>
                <w:sz w:val="14"/>
                <w:szCs w:val="14"/>
                <w:color w:val="auto"/>
                <w:w w:val="76"/>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2640" w:type="dxa"/>
            <w:vAlign w:val="bottom"/>
            <w:gridSpan w:val="2"/>
          </w:tcPr>
          <w:p>
            <w:pPr>
              <w:jc w:val="center"/>
              <w:ind w:left="1229"/>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5,664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2640" w:type="dxa"/>
            <w:vAlign w:val="bottom"/>
            <w:gridSpan w:val="2"/>
            <w:shd w:val="clear" w:color="auto" w:fill="CCEEFF"/>
          </w:tcPr>
          <w:p>
            <w:pPr>
              <w:jc w:val="center"/>
              <w:ind w:left="1229"/>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16,455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2640" w:type="dxa"/>
            <w:vAlign w:val="bottom"/>
            <w:gridSpan w:val="2"/>
          </w:tcPr>
          <w:p>
            <w:pPr>
              <w:jc w:val="center"/>
              <w:ind w:left="1229"/>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14,770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2640" w:type="dxa"/>
            <w:vAlign w:val="bottom"/>
            <w:gridSpan w:val="2"/>
            <w:shd w:val="clear" w:color="auto" w:fill="CCEEFF"/>
          </w:tcPr>
          <w:p>
            <w:pPr>
              <w:jc w:val="center"/>
              <w:ind w:left="1229"/>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640" w:type="dxa"/>
            <w:vAlign w:val="bottom"/>
            <w:gridSpan w:val="2"/>
          </w:tcPr>
          <w:p>
            <w:pPr>
              <w:jc w:val="center"/>
              <w:ind w:left="1229"/>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27,652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27,556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Mutual funds:</w:t>
            </w:r>
          </w:p>
        </w:tc>
        <w:tc>
          <w:tcPr>
            <w:tcW w:w="1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180"/>
              <w:spacing w:after="0"/>
              <w:rPr>
                <w:sz w:val="20"/>
                <w:szCs w:val="20"/>
                <w:color w:val="auto"/>
              </w:rPr>
            </w:pPr>
            <w:r>
              <w:rPr>
                <w:rFonts w:ascii="Arial" w:cs="Arial" w:eastAsia="Arial" w:hAnsi="Arial"/>
                <w:sz w:val="14"/>
                <w:szCs w:val="14"/>
                <w:color w:val="auto"/>
              </w:rPr>
              <w:t>Equity</w:t>
            </w:r>
          </w:p>
        </w:tc>
        <w:tc>
          <w:tcPr>
            <w:tcW w:w="2640" w:type="dxa"/>
            <w:vAlign w:val="bottom"/>
            <w:gridSpan w:val="2"/>
          </w:tcPr>
          <w:p>
            <w:pPr>
              <w:jc w:val="center"/>
              <w:ind w:left="1229"/>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1,385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w:t>
            </w:r>
          </w:p>
        </w:tc>
        <w:tc>
          <w:tcPr>
            <w:tcW w:w="2640" w:type="dxa"/>
            <w:vAlign w:val="bottom"/>
            <w:gridSpan w:val="2"/>
            <w:shd w:val="clear" w:color="auto" w:fill="CCEEFF"/>
          </w:tcPr>
          <w:p>
            <w:pPr>
              <w:jc w:val="center"/>
              <w:ind w:left="1229"/>
              <w:spacing w:after="0"/>
              <w:rPr>
                <w:sz w:val="20"/>
                <w:szCs w:val="20"/>
                <w:color w:val="auto"/>
              </w:rPr>
            </w:pPr>
            <w:r>
              <w:rPr>
                <w:rFonts w:ascii="Arial" w:cs="Arial" w:eastAsia="Arial" w:hAnsi="Arial"/>
                <w:sz w:val="14"/>
                <w:szCs w:val="14"/>
                <w:color w:val="auto"/>
                <w:w w:val="76"/>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investments</w:t>
            </w:r>
          </w:p>
        </w:tc>
        <w:tc>
          <w:tcPr>
            <w:tcW w:w="2640" w:type="dxa"/>
            <w:vAlign w:val="bottom"/>
            <w:tcBorders>
              <w:bottom w:val="single" w:sz="8" w:color="CCEEFF"/>
            </w:tcBorders>
            <w:gridSpan w:val="2"/>
          </w:tcPr>
          <w:p>
            <w:pPr>
              <w:jc w:val="center"/>
              <w:ind w:left="1229"/>
              <w:spacing w:after="0"/>
              <w:rPr>
                <w:sz w:val="20"/>
                <w:szCs w:val="20"/>
                <w:color w:val="auto"/>
              </w:rPr>
            </w:pPr>
            <w:r>
              <w:rPr>
                <w:rFonts w:ascii="Arial" w:cs="Arial" w:eastAsia="Arial" w:hAnsi="Arial"/>
                <w:sz w:val="14"/>
                <w:szCs w:val="14"/>
                <w:color w:val="auto"/>
                <w:w w:val="76"/>
              </w:rPr>
              <w:t>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Trust securities</w:t>
            </w:r>
          </w:p>
        </w:tc>
        <w:tc>
          <w:tcPr>
            <w:tcW w:w="1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(4,173)</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98,546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Accrued investment income</w:t>
            </w:r>
          </w:p>
        </w:tc>
        <w:tc>
          <w:tcPr>
            <w:tcW w:w="1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line="143" w:lineRule="exact"/>
              <w:rPr>
                <w:sz w:val="20"/>
                <w:szCs w:val="20"/>
                <w:color w:val="auto"/>
              </w:rPr>
            </w:pPr>
            <w:r>
              <w:rPr>
                <w:rFonts w:ascii="Arial" w:cs="Arial" w:eastAsia="Arial" w:hAnsi="Arial"/>
                <w:sz w:val="14"/>
                <w:szCs w:val="14"/>
                <w:color w:val="auto"/>
              </w:rPr>
              <w:t>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76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760" w:type="dxa"/>
            <w:vAlign w:val="bottom"/>
            <w:tcBorders>
              <w:top w:val="single" w:sz="8" w:color="CCEEFF"/>
              <w:bottom w:val="single" w:sz="8" w:color="CCEEFF"/>
            </w:tcBorders>
            <w:shd w:val="clear" w:color="auto" w:fill="CCEEFF"/>
          </w:tcPr>
          <w:p>
            <w:pPr>
              <w:ind w:left="20"/>
              <w:spacing w:after="0" w:line="132" w:lineRule="exact"/>
              <w:rPr>
                <w:sz w:val="20"/>
                <w:szCs w:val="20"/>
                <w:color w:val="auto"/>
              </w:rPr>
            </w:pPr>
            <w:r>
              <w:rPr>
                <w:rFonts w:ascii="Arial" w:cs="Arial" w:eastAsia="Arial" w:hAnsi="Arial"/>
                <w:sz w:val="14"/>
                <w:szCs w:val="14"/>
                <w:color w:val="auto"/>
              </w:rPr>
              <w:t>Preneed funeral trust investments</w:t>
            </w:r>
          </w:p>
        </w:tc>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CCEEFF"/>
              <w:bottom w:val="single" w:sz="8" w:color="auto"/>
            </w:tcBorders>
            <w:shd w:val="clear" w:color="auto" w:fill="CCEEFF"/>
          </w:tcPr>
          <w:p>
            <w:pPr>
              <w:jc w:val="right"/>
              <w:ind w:right="30"/>
              <w:spacing w:after="0" w:line="132" w:lineRule="exact"/>
              <w:rPr>
                <w:sz w:val="20"/>
                <w:szCs w:val="20"/>
                <w:color w:val="auto"/>
              </w:rPr>
            </w:pPr>
            <w:r>
              <w:rPr>
                <w:rFonts w:ascii="Arial" w:cs="Arial" w:eastAsia="Arial" w:hAnsi="Arial"/>
                <w:sz w:val="14"/>
                <w:szCs w:val="14"/>
                <w:color w:val="auto"/>
              </w:rPr>
              <w:t>99,246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Market value as a percentage of cost</w:t>
            </w:r>
          </w:p>
        </w:tc>
        <w:tc>
          <w:tcPr>
            <w:tcW w:w="1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0"/>
              <w:spacing w:after="0" w:line="143" w:lineRule="exact"/>
              <w:rPr>
                <w:sz w:val="20"/>
                <w:szCs w:val="20"/>
                <w:color w:val="auto"/>
              </w:rPr>
            </w:pPr>
            <w:r>
              <w:rPr>
                <w:rFonts w:ascii="Arial" w:cs="Arial" w:eastAsia="Arial" w:hAnsi="Arial"/>
                <w:sz w:val="14"/>
                <w:szCs w:val="14"/>
                <w:color w:val="auto"/>
              </w:rPr>
              <w:t>101.5%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4"/>
          <w:szCs w:val="14"/>
          <w:color w:val="auto"/>
        </w:rPr>
        <w:t>The following table summarized our fixed income securities (excluding mutual funds) within our preneed funeral trust investment in an unrealized loss position at December 31, 2020, aggregated by major security type and length of time in a continuous unrealized loss position (in thousands):</w:t>
      </w: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w w:val="88"/>
              </w:rPr>
              <w:t>December 31, 2020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ind w:right="300"/>
              <w:spacing w:after="0" w:line="120" w:lineRule="exact"/>
              <w:rPr>
                <w:sz w:val="20"/>
                <w:szCs w:val="20"/>
                <w:color w:val="auto"/>
              </w:rPr>
            </w:pPr>
            <w:r>
              <w:rPr>
                <w:rFonts w:ascii="Arial" w:cs="Arial" w:eastAsia="Arial" w:hAnsi="Arial"/>
                <w:sz w:val="13"/>
                <w:szCs w:val="13"/>
                <w:b w:val="1"/>
                <w:bCs w:val="1"/>
                <w:color w:val="auto"/>
                <w:w w:val="88"/>
              </w:rPr>
              <w:t>In Loss Position Greater than 12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9"/>
              </w:rPr>
              <w:t>Total</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In Loss Position Less than 12 months</w:t>
            </w:r>
          </w:p>
        </w:tc>
        <w:tc>
          <w:tcPr>
            <w:tcW w:w="80" w:type="dxa"/>
            <w:vAlign w:val="bottom"/>
          </w:tcPr>
          <w:p>
            <w:pPr>
              <w:spacing w:after="0"/>
              <w:rPr>
                <w:sz w:val="8"/>
                <w:szCs w:val="8"/>
                <w:color w:val="auto"/>
              </w:rPr>
            </w:pPr>
          </w:p>
        </w:tc>
        <w:tc>
          <w:tcPr>
            <w:tcW w:w="2340" w:type="dxa"/>
            <w:vAlign w:val="bottom"/>
            <w:gridSpan w:val="5"/>
            <w:vMerge w:val="restart"/>
          </w:tcPr>
          <w:p>
            <w:pPr>
              <w:jc w:val="center"/>
              <w:ind w:right="300"/>
              <w:spacing w:after="0"/>
              <w:rPr>
                <w:sz w:val="20"/>
                <w:szCs w:val="20"/>
                <w:color w:val="auto"/>
              </w:rPr>
            </w:pPr>
            <w:r>
              <w:rPr>
                <w:rFonts w:ascii="Arial" w:cs="Arial" w:eastAsia="Arial" w:hAnsi="Arial"/>
                <w:sz w:val="13"/>
                <w:szCs w:val="13"/>
                <w:b w:val="1"/>
                <w:bCs w:val="1"/>
                <w:color w:val="auto"/>
                <w:w w:val="85"/>
              </w:rPr>
              <w:t>months</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1"/>
              </w:rPr>
              <w:t>Fair market value</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0" w:type="dxa"/>
            <w:vAlign w:val="bottom"/>
          </w:tcPr>
          <w:p>
            <w:pPr>
              <w:spacing w:after="0"/>
              <w:rPr>
                <w:sz w:val="1"/>
                <w:szCs w:val="1"/>
                <w:color w:val="auto"/>
              </w:rPr>
            </w:pPr>
          </w:p>
        </w:tc>
      </w:tr>
      <w:tr>
        <w:trPr>
          <w:trHeight w:val="16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income securities:</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2,225</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2,562</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4,448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line="160" w:lineRule="exact"/>
              <w:rPr>
                <w:sz w:val="20"/>
                <w:szCs w:val="20"/>
                <w:color w:val="auto"/>
              </w:rPr>
            </w:pPr>
            <w:r>
              <w:rPr>
                <w:rFonts w:ascii="Arial" w:cs="Arial" w:eastAsia="Arial" w:hAnsi="Arial"/>
                <w:sz w:val="14"/>
                <w:szCs w:val="14"/>
                <w:color w:val="auto"/>
              </w:rPr>
              <w:t>Total fixed income securities with an unrealized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4,918</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8,412</w:t>
            </w: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firstLine="318"/>
        <w:spacing w:after="0" w:line="276" w:lineRule="auto"/>
        <w:rPr>
          <w:sz w:val="20"/>
          <w:szCs w:val="20"/>
          <w:color w:val="auto"/>
        </w:rPr>
      </w:pPr>
      <w:r>
        <w:rPr>
          <w:rFonts w:ascii="Arial" w:cs="Arial" w:eastAsia="Arial" w:hAnsi="Arial"/>
          <w:sz w:val="14"/>
          <w:szCs w:val="14"/>
          <w:color w:val="auto"/>
        </w:rPr>
        <w:t>The following table summarized our fixed income securities within our preneed funeral trust investment in an unrealized loss position at December 31, 2019, aggregated by major security type and length of time in a continuous unrealized loss position (in thousands):</w:t>
      </w: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left="333"/>
              <w:spacing w:after="0"/>
              <w:rPr>
                <w:sz w:val="20"/>
                <w:szCs w:val="20"/>
                <w:color w:val="auto"/>
              </w:rPr>
            </w:pPr>
            <w:r>
              <w:rPr>
                <w:rFonts w:ascii="Arial" w:cs="Arial" w:eastAsia="Arial" w:hAnsi="Arial"/>
                <w:sz w:val="13"/>
                <w:szCs w:val="13"/>
                <w:b w:val="1"/>
                <w:bCs w:val="1"/>
                <w:color w:val="auto"/>
                <w:w w:val="88"/>
              </w:rPr>
              <w:t>December 31, 2019</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9"/>
          </w:tcPr>
          <w:p>
            <w:pPr>
              <w:jc w:val="center"/>
              <w:ind w:right="400"/>
              <w:spacing w:after="0" w:line="120" w:lineRule="exact"/>
              <w:rPr>
                <w:sz w:val="20"/>
                <w:szCs w:val="20"/>
                <w:color w:val="auto"/>
              </w:rPr>
            </w:pPr>
            <w:r>
              <w:rPr>
                <w:rFonts w:ascii="Arial" w:cs="Arial" w:eastAsia="Arial" w:hAnsi="Arial"/>
                <w:sz w:val="13"/>
                <w:szCs w:val="13"/>
                <w:b w:val="1"/>
                <w:bCs w:val="1"/>
                <w:color w:val="auto"/>
                <w:w w:val="88"/>
              </w:rPr>
              <w:t>In Loss Position Greater than 12</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9"/>
              </w:rPr>
              <w:t>Total</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In Loss Position Less than 12 months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5"/>
            <w:vMerge w:val="restart"/>
          </w:tcPr>
          <w:p>
            <w:pPr>
              <w:jc w:val="center"/>
              <w:ind w:left="333"/>
              <w:spacing w:after="0"/>
              <w:rPr>
                <w:sz w:val="20"/>
                <w:szCs w:val="20"/>
                <w:color w:val="auto"/>
              </w:rPr>
            </w:pPr>
            <w:r>
              <w:rPr>
                <w:rFonts w:ascii="Arial" w:cs="Arial" w:eastAsia="Arial" w:hAnsi="Arial"/>
                <w:sz w:val="13"/>
                <w:szCs w:val="13"/>
                <w:b w:val="1"/>
                <w:bCs w:val="1"/>
                <w:color w:val="auto"/>
                <w:w w:val="85"/>
              </w:rPr>
              <w:t>months</w:t>
            </w: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w w:val="98"/>
              </w:rPr>
              <w:t>Fair market value</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29"/>
              <w:spacing w:after="0"/>
              <w:rPr>
                <w:sz w:val="20"/>
                <w:szCs w:val="20"/>
                <w:color w:val="auto"/>
              </w:rPr>
            </w:pPr>
            <w:r>
              <w:rPr>
                <w:rFonts w:ascii="Arial" w:cs="Arial" w:eastAsia="Arial" w:hAnsi="Arial"/>
                <w:sz w:val="11"/>
                <w:szCs w:val="11"/>
                <w:color w:val="auto"/>
                <w:w w:val="99"/>
              </w:rPr>
              <w:t>Unrealized Losses</w:t>
            </w: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color w:val="auto"/>
                <w:w w:val="91"/>
              </w:rPr>
              <w:t>Fair market value</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9"/>
              </w:rPr>
              <w:t>Unrealized Losses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income securities:</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5"/>
                <w:szCs w:val="15"/>
                <w:color w:val="auto"/>
              </w:rPr>
            </w:pPr>
          </w:p>
        </w:tc>
        <w:tc>
          <w:tcPr>
            <w:tcW w:w="160" w:type="dxa"/>
            <w:vAlign w:val="bottom"/>
            <w:gridSpan w:val="2"/>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723</w:t>
            </w:r>
          </w:p>
        </w:tc>
        <w:tc>
          <w:tcPr>
            <w:tcW w:w="520" w:type="dxa"/>
            <w:vAlign w:val="bottom"/>
            <w:gridSpan w:val="3"/>
          </w:tcPr>
          <w:p>
            <w:pPr>
              <w:jc w:val="right"/>
              <w:ind w:right="94"/>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997</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580"/>
              <w:spacing w:after="0"/>
              <w:rPr>
                <w:sz w:val="20"/>
                <w:szCs w:val="20"/>
                <w:color w:val="auto"/>
              </w:rPr>
            </w:pPr>
            <w:r>
              <w:rPr>
                <w:rFonts w:ascii="Arial" w:cs="Arial" w:eastAsia="Arial" w:hAnsi="Arial"/>
                <w:sz w:val="14"/>
                <w:szCs w:val="14"/>
                <w:color w:val="auto"/>
                <w:w w:val="97"/>
              </w:rPr>
              <w:t>(232)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5,836</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7"/>
              </w:rPr>
              <w:t>(646)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4,412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color w:val="auto"/>
                <w:w w:val="97"/>
              </w:rPr>
              <w:t>(198)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7"/>
              </w:rPr>
              <w:t>(117)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line="160" w:lineRule="exact"/>
              <w:rPr>
                <w:sz w:val="20"/>
                <w:szCs w:val="20"/>
                <w:color w:val="auto"/>
              </w:rPr>
            </w:pPr>
            <w:r>
              <w:rPr>
                <w:rFonts w:ascii="Arial" w:cs="Arial" w:eastAsia="Arial" w:hAnsi="Arial"/>
                <w:sz w:val="14"/>
                <w:szCs w:val="14"/>
                <w:color w:val="auto"/>
              </w:rPr>
              <w:t>Total fixed income securities with an unrealized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6,089</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5,595</w:t>
            </w: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(780)</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11,684</w:t>
            </w: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w w:val="94"/>
              </w:rPr>
              <w:t>(1,193)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9020" w:type="dxa"/>
            <w:vAlign w:val="bottom"/>
            <w:gridSpan w:val="18"/>
          </w:tcPr>
          <w:p>
            <w:pPr>
              <w:ind w:left="320"/>
              <w:spacing w:after="0"/>
              <w:rPr>
                <w:sz w:val="20"/>
                <w:szCs w:val="20"/>
                <w:color w:val="auto"/>
              </w:rPr>
            </w:pPr>
            <w:r>
              <w:rPr>
                <w:rFonts w:ascii="Arial" w:cs="Arial" w:eastAsia="Arial" w:hAnsi="Arial"/>
                <w:sz w:val="14"/>
                <w:szCs w:val="14"/>
                <w:color w:val="auto"/>
                <w:w w:val="91"/>
              </w:rPr>
              <w:t xml:space="preserve">Preneed funeral trust investment security transactions recorded in </w:t>
            </w:r>
            <w:r>
              <w:rPr>
                <w:rFonts w:ascii="Arial" w:cs="Arial" w:eastAsia="Arial" w:hAnsi="Arial"/>
                <w:sz w:val="14"/>
                <w:szCs w:val="14"/>
                <w:i w:val="1"/>
                <w:iCs w:val="1"/>
                <w:color w:val="auto"/>
                <w:w w:val="91"/>
              </w:rPr>
              <w:t>Other, net</w:t>
            </w:r>
            <w:r>
              <w:rPr>
                <w:rFonts w:ascii="Arial" w:cs="Arial" w:eastAsia="Arial" w:hAnsi="Arial"/>
                <w:sz w:val="14"/>
                <w:szCs w:val="14"/>
                <w:color w:val="auto"/>
                <w:w w:val="91"/>
              </w:rPr>
              <w:t xml:space="preserve"> on our Consolidated Statements of Operations are as follows (in thousands):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86"/>
              </w:rPr>
              <w:t>Years ended December 31,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w w:val="91"/>
              </w:rPr>
              <w:t>1,907</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Realized gains</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6,662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6,214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color w:val="auto"/>
                <w:w w:val="91"/>
              </w:rPr>
              <w:t>9,441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losses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(5,882)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(4,677)</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Unrealized gains (losses), net</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(6,727)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580"/>
              <w:spacing w:after="0"/>
              <w:rPr>
                <w:sz w:val="20"/>
                <w:szCs w:val="20"/>
                <w:color w:val="auto"/>
              </w:rPr>
            </w:pPr>
            <w:r>
              <w:rPr>
                <w:rFonts w:ascii="Arial" w:cs="Arial" w:eastAsia="Arial" w:hAnsi="Arial"/>
                <w:sz w:val="14"/>
                <w:szCs w:val="14"/>
                <w:color w:val="auto"/>
                <w:w w:val="91"/>
              </w:rPr>
              <w:t>5,555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 and taxes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change in deferred preneed funeral receipts held in trust</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5,209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(11,348)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gridSpan w:val="7"/>
            <w:vMerge w:val="restart"/>
          </w:tcPr>
          <w:p>
            <w:pPr>
              <w:ind w:left="320"/>
              <w:spacing w:after="0"/>
              <w:rPr>
                <w:sz w:val="20"/>
                <w:szCs w:val="20"/>
                <w:color w:val="auto"/>
              </w:rPr>
            </w:pPr>
            <w:r>
              <w:rPr>
                <w:rFonts w:ascii="Arial" w:cs="Arial" w:eastAsia="Arial" w:hAnsi="Arial"/>
                <w:sz w:val="14"/>
                <w:szCs w:val="14"/>
                <w:color w:val="auto"/>
              </w:rPr>
              <w:t>Purchases and sales of investments in the preneed funeral trusts are as follows (in thousands):</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8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w w:val="86"/>
              </w:rPr>
              <w:t>Years ended December 31,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120"/>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1"/>
              </w:rPr>
              <w:t>(28,264)</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(38,984)</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(47,315)</w:t>
            </w: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Arial" w:cs="Arial" w:eastAsia="Arial" w:hAnsi="Arial"/>
                <w:sz w:val="14"/>
                <w:szCs w:val="14"/>
                <w:color w:val="auto"/>
              </w:rPr>
              <w:t>Sales</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39,955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29,983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Cemetery Perpetual Care Trust Investments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 xml:space="preserve">Care trusts’ corpus </w:t>
      </w:r>
      <w:r>
        <w:rPr>
          <w:rFonts w:ascii="Arial" w:cs="Arial" w:eastAsia="Arial" w:hAnsi="Arial"/>
          <w:sz w:val="13"/>
          <w:szCs w:val="13"/>
          <w:color w:val="auto"/>
        </w:rPr>
        <w:t>on our Consolidated Balance Sheet represent the corpus of those trusts plus undistributed income. The components of</w:t>
      </w:r>
      <w:r>
        <w:rPr>
          <w:rFonts w:ascii="Arial" w:cs="Arial" w:eastAsia="Arial" w:hAnsi="Arial"/>
          <w:sz w:val="13"/>
          <w:szCs w:val="13"/>
          <w:i w:val="1"/>
          <w:iCs w:val="1"/>
          <w:color w:val="auto"/>
        </w:rPr>
        <w:t xml:space="preserve"> Care trusts’ corpus </w:t>
      </w:r>
      <w:r>
        <w:rPr>
          <w:rFonts w:ascii="Arial" w:cs="Arial" w:eastAsia="Arial" w:hAnsi="Arial"/>
          <w:sz w:val="13"/>
          <w:szCs w:val="13"/>
          <w:color w:val="auto"/>
        </w:rPr>
        <w:t>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b w:val="1"/>
                <w:bCs w:val="1"/>
                <w:color w:val="auto"/>
              </w:rPr>
              <w:t>December 31, 2019</w:t>
            </w:r>
          </w:p>
        </w:tc>
        <w:tc>
          <w:tcPr>
            <w:tcW w:w="46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Arial" w:cs="Arial" w:eastAsia="Arial" w:hAnsi="Arial"/>
                <w:sz w:val="13"/>
                <w:szCs w:val="13"/>
                <w:b w:val="1"/>
                <w:bCs w:val="1"/>
                <w:color w:val="auto"/>
                <w:w w:val="87"/>
              </w:rPr>
              <w:t>December 31, 2020</w:t>
            </w: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Cemetery perpetual care trust investments, at market value</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64,047</w:t>
            </w: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7"/>
              </w:rPr>
              <w:t>70,828</w:t>
            </w:r>
          </w:p>
        </w:tc>
      </w:tr>
      <w:tr>
        <w:trPr>
          <w:trHeight w:val="18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Obligations due from trust</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w w:val="90"/>
              </w:rPr>
              <w:t>(1,121)</w:t>
            </w:r>
          </w:p>
        </w:tc>
      </w:tr>
      <w:tr>
        <w:trPr>
          <w:trHeight w:val="196"/>
        </w:trPr>
        <w:tc>
          <w:tcPr>
            <w:tcW w:w="7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Care trusts’ corpus</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63,416</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w w:val="97"/>
              </w:rPr>
              <w:t>69,707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reflects the cost and fair market values associated with the trust investments held in perpetual care trust funds at December 31, 2020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2"/>
              </w:rPr>
              <w:t>Fair Value Hierarchy</w:t>
            </w:r>
          </w:p>
        </w:tc>
        <w:tc>
          <w:tcPr>
            <w:tcW w:w="160" w:type="dxa"/>
            <w:vAlign w:val="bottom"/>
          </w:tcPr>
          <w:p>
            <w:pPr>
              <w:spacing w:after="0"/>
              <w:rPr>
                <w:sz w:val="13"/>
                <w:szCs w:val="13"/>
                <w:color w:val="auto"/>
              </w:rPr>
            </w:pPr>
          </w:p>
        </w:tc>
        <w:tc>
          <w:tcPr>
            <w:tcW w:w="86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89"/>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94"/>
              </w:rPr>
              <w:t>Fair Market Value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center"/>
              <w:ind w:left="195"/>
              <w:spacing w:after="0"/>
              <w:rPr>
                <w:sz w:val="20"/>
                <w:szCs w:val="20"/>
                <w:color w:val="auto"/>
              </w:rPr>
            </w:pPr>
            <w:r>
              <w:rPr>
                <w:rFonts w:ascii="Arial" w:cs="Arial" w:eastAsia="Arial" w:hAnsi="Arial"/>
                <w:sz w:val="13"/>
                <w:szCs w:val="13"/>
                <w:b w:val="1"/>
                <w:bCs w:val="1"/>
                <w:color w:val="auto"/>
                <w:w w:val="84"/>
              </w:rPr>
              <w:t>Level</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Gains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money market accounts</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295"/>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686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686</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debt</w:t>
            </w:r>
          </w:p>
        </w:tc>
        <w:tc>
          <w:tcPr>
            <w:tcW w:w="1320" w:type="dxa"/>
            <w:vAlign w:val="bottom"/>
            <w:gridSpan w:val="2"/>
            <w:shd w:val="clear" w:color="auto" w:fill="CCEEFF"/>
          </w:tcPr>
          <w:p>
            <w:pPr>
              <w:jc w:val="center"/>
              <w:ind w:left="6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12,539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13,598</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rPr>
                <w:sz w:val="20"/>
                <w:szCs w:val="20"/>
                <w:color w:val="auto"/>
              </w:rPr>
            </w:pPr>
            <w:r>
              <w:rPr>
                <w:rFonts w:ascii="Arial" w:cs="Arial" w:eastAsia="Arial" w:hAnsi="Arial"/>
                <w:sz w:val="14"/>
                <w:szCs w:val="14"/>
                <w:color w:val="auto"/>
              </w:rPr>
              <w:t>Corporate debt</w:t>
            </w:r>
          </w:p>
        </w:tc>
        <w:tc>
          <w:tcPr>
            <w:tcW w:w="1320" w:type="dxa"/>
            <w:vAlign w:val="bottom"/>
            <w:gridSpan w:val="2"/>
          </w:tcPr>
          <w:p>
            <w:pPr>
              <w:jc w:val="center"/>
              <w:ind w:left="6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11,684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5"/>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12,950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320" w:type="dxa"/>
            <w:vAlign w:val="bottom"/>
            <w:gridSpan w:val="2"/>
            <w:shd w:val="clear" w:color="auto" w:fill="CCEEFF"/>
          </w:tcPr>
          <w:p>
            <w:pPr>
              <w:jc w:val="center"/>
              <w:ind w:left="6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10,444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819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10,908</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320" w:type="dxa"/>
            <w:vAlign w:val="bottom"/>
            <w:gridSpan w:val="2"/>
          </w:tcPr>
          <w:p>
            <w:pPr>
              <w:jc w:val="center"/>
              <w:ind w:left="6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w w:val="94"/>
              </w:rPr>
              <w:t>206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gridSpan w:val="5"/>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320" w:type="dxa"/>
            <w:vAlign w:val="bottom"/>
            <w:gridSpan w:val="2"/>
            <w:shd w:val="clear" w:color="auto" w:fill="CCEEFF"/>
          </w:tcPr>
          <w:p>
            <w:pPr>
              <w:jc w:val="center"/>
              <w:ind w:left="65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23,662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(5,255)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24,515</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w:t>
            </w:r>
          </w:p>
        </w:tc>
        <w:tc>
          <w:tcPr>
            <w:tcW w:w="1320" w:type="dxa"/>
            <w:vAlign w:val="bottom"/>
            <w:gridSpan w:val="2"/>
            <w:shd w:val="clear" w:color="auto" w:fill="CCEEFF"/>
          </w:tcPr>
          <w:p>
            <w:pPr>
              <w:jc w:val="center"/>
              <w:ind w:left="6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6,444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7,278</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20"/>
              <w:spacing w:after="0" w:line="160" w:lineRule="exact"/>
              <w:rPr>
                <w:sz w:val="20"/>
                <w:szCs w:val="20"/>
                <w:color w:val="auto"/>
              </w:rPr>
            </w:pPr>
            <w:r>
              <w:rPr>
                <w:rFonts w:ascii="Arial" w:cs="Arial" w:eastAsia="Arial" w:hAnsi="Arial"/>
                <w:sz w:val="14"/>
                <w:szCs w:val="14"/>
                <w:color w:val="auto"/>
              </w:rPr>
              <w:t>Trust securities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65,665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11,128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(6,773)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70,020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Accrued investment income</w:t>
            </w: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4"/>
              </w:rPr>
              <w:t>808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808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4000" w:type="dxa"/>
            <w:vAlign w:val="bottom"/>
            <w:tcBorders>
              <w:top w:val="single" w:sz="8" w:color="CCEEFF"/>
            </w:tcBorders>
          </w:tcPr>
          <w:p>
            <w:pPr>
              <w:ind w:left="20"/>
              <w:spacing w:after="0" w:line="132" w:lineRule="exact"/>
              <w:rPr>
                <w:sz w:val="20"/>
                <w:szCs w:val="20"/>
                <w:color w:val="auto"/>
              </w:rPr>
            </w:pPr>
            <w:r>
              <w:rPr>
                <w:rFonts w:ascii="Arial" w:cs="Arial" w:eastAsia="Arial" w:hAnsi="Arial"/>
                <w:sz w:val="14"/>
                <w:szCs w:val="14"/>
                <w:color w:val="auto"/>
              </w:rPr>
              <w:t>Cemetery perpetual care investments</w:t>
            </w:r>
          </w:p>
        </w:tc>
        <w:tc>
          <w:tcPr>
            <w:tcW w:w="36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10"/>
              <w:spacing w:after="0" w:line="132" w:lineRule="exact"/>
              <w:rPr>
                <w:sz w:val="20"/>
                <w:szCs w:val="20"/>
                <w:color w:val="auto"/>
              </w:rPr>
            </w:pPr>
            <w:r>
              <w:rPr>
                <w:rFonts w:ascii="Arial" w:cs="Arial" w:eastAsia="Arial" w:hAnsi="Arial"/>
                <w:sz w:val="14"/>
                <w:szCs w:val="14"/>
                <w:color w:val="auto"/>
              </w:rPr>
              <w:t>70,828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Market value as a percentage of cost</w:t>
            </w: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106.6%</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13"/>
            <w:vMerge w:val="restart"/>
          </w:tcPr>
          <w:p>
            <w:pPr>
              <w:ind w:left="320"/>
              <w:spacing w:after="0"/>
              <w:rPr>
                <w:sz w:val="20"/>
                <w:szCs w:val="20"/>
                <w:color w:val="auto"/>
              </w:rPr>
            </w:pPr>
            <w:r>
              <w:rPr>
                <w:rFonts w:ascii="Arial" w:cs="Arial" w:eastAsia="Arial" w:hAnsi="Arial"/>
                <w:sz w:val="14"/>
                <w:szCs w:val="14"/>
                <w:color w:val="auto"/>
              </w:rPr>
              <w:t>The estimated maturities of the fixed income securities (excluding mutual funds) included above are as follows (in thousands):</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180" w:type="dxa"/>
            <w:vAlign w:val="bottom"/>
            <w:gridSpan w:val="1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one year or less</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Due in one to five years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five to ten years</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7,789</w:t>
            </w:r>
          </w:p>
        </w:tc>
        <w:tc>
          <w:tcPr>
            <w:tcW w:w="4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20,933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fixed income securities</w:t>
            </w: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37,541</w:t>
            </w:r>
          </w:p>
        </w:tc>
        <w:tc>
          <w:tcPr>
            <w:tcW w:w="40" w:type="dxa"/>
            <w:vAlign w:val="bottom"/>
            <w:tcBorders>
              <w:left w:val="single" w:sz="8" w:color="CCEEFF"/>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gridSpan w:val="3"/>
          </w:tcPr>
          <w:p>
            <w:pPr>
              <w:spacing w:after="0" w:line="20" w:lineRule="exact"/>
              <w:rPr>
                <w:sz w:val="1"/>
                <w:szCs w:val="1"/>
                <w:color w:val="auto"/>
              </w:rPr>
            </w:pPr>
          </w:p>
        </w:tc>
        <w:tc>
          <w:tcPr>
            <w:tcW w:w="1540" w:type="dxa"/>
            <w:vAlign w:val="bottom"/>
            <w:tcBorders>
              <w:top w:val="single" w:sz="8" w:color="CCEEFF"/>
            </w:tcBorders>
            <w:gridSpan w:val="6"/>
          </w:tcPr>
          <w:p>
            <w:pPr>
              <w:spacing w:after="0" w:line="20" w:lineRule="exact"/>
              <w:rPr>
                <w:sz w:val="1"/>
                <w:szCs w:val="1"/>
                <w:color w:val="auto"/>
              </w:rPr>
            </w:pPr>
          </w:p>
        </w:tc>
        <w:tc>
          <w:tcPr>
            <w:tcW w:w="1360" w:type="dxa"/>
            <w:vAlign w:val="bottom"/>
            <w:tcBorders>
              <w:top w:val="single" w:sz="8" w:color="CCEEFF"/>
            </w:tcBorders>
            <w:gridSpan w:val="5"/>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4"/>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660" w:type="dxa"/>
            <w:vAlign w:val="bottom"/>
            <w:gridSpan w:val="20"/>
          </w:tcPr>
          <w:p>
            <w:pPr>
              <w:ind w:left="320"/>
              <w:spacing w:after="0"/>
              <w:rPr>
                <w:sz w:val="20"/>
                <w:szCs w:val="20"/>
                <w:color w:val="auto"/>
              </w:rPr>
            </w:pPr>
            <w:r>
              <w:rPr>
                <w:rFonts w:ascii="Arial" w:cs="Arial" w:eastAsia="Arial" w:hAnsi="Arial"/>
                <w:sz w:val="14"/>
                <w:szCs w:val="14"/>
                <w:color w:val="auto"/>
                <w:w w:val="91"/>
              </w:rPr>
              <w:t>The following table reflects the cost and market values associated with the trust investments held in perpetual care trust funds at December 31, 2019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Fair Value Hierarchy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490"/>
              <w:spacing w:after="0"/>
              <w:rPr>
                <w:sz w:val="20"/>
                <w:szCs w:val="20"/>
                <w:color w:val="auto"/>
              </w:rPr>
            </w:pPr>
            <w:r>
              <w:rPr>
                <w:rFonts w:ascii="Arial" w:cs="Arial" w:eastAsia="Arial" w:hAnsi="Arial"/>
                <w:sz w:val="13"/>
                <w:szCs w:val="13"/>
                <w:b w:val="1"/>
                <w:bCs w:val="1"/>
                <w:color w:val="auto"/>
                <w:w w:val="96"/>
              </w:rPr>
              <w:t>Cost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271"/>
              <w:spacing w:after="0"/>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89"/>
              <w:spacing w:after="0"/>
              <w:rPr>
                <w:sz w:val="20"/>
                <w:szCs w:val="20"/>
                <w:color w:val="auto"/>
              </w:rPr>
            </w:pPr>
            <w:r>
              <w:rPr>
                <w:rFonts w:ascii="Arial" w:cs="Arial" w:eastAsia="Arial" w:hAnsi="Arial"/>
                <w:sz w:val="13"/>
                <w:szCs w:val="13"/>
                <w:b w:val="1"/>
                <w:bCs w:val="1"/>
                <w:color w:val="auto"/>
                <w:w w:val="91"/>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150"/>
              <w:spacing w:after="0"/>
              <w:rPr>
                <w:sz w:val="20"/>
                <w:szCs w:val="20"/>
                <w:color w:val="auto"/>
              </w:rPr>
            </w:pPr>
            <w:r>
              <w:rPr>
                <w:rFonts w:ascii="Arial" w:cs="Arial" w:eastAsia="Arial" w:hAnsi="Arial"/>
                <w:sz w:val="13"/>
                <w:szCs w:val="13"/>
                <w:b w:val="1"/>
                <w:bCs w:val="1"/>
                <w:color w:val="auto"/>
                <w:w w:val="96"/>
              </w:rPr>
              <w:t>Fair Market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4"/>
              </w:rPr>
              <w:t>Level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411"/>
              <w:spacing w:after="0"/>
              <w:rPr>
                <w:sz w:val="20"/>
                <w:szCs w:val="20"/>
                <w:color w:val="auto"/>
              </w:rPr>
            </w:pPr>
            <w:r>
              <w:rPr>
                <w:rFonts w:ascii="Arial" w:cs="Arial" w:eastAsia="Arial" w:hAnsi="Arial"/>
                <w:sz w:val="13"/>
                <w:szCs w:val="13"/>
                <w:b w:val="1"/>
                <w:bCs w:val="1"/>
                <w:color w:val="auto"/>
              </w:rPr>
              <w:t>Gains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9"/>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money market accounts</w:t>
            </w: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4,624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Fixed income securities: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debt</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4,263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rPr>
                <w:sz w:val="20"/>
                <w:szCs w:val="20"/>
                <w:color w:val="auto"/>
              </w:rPr>
            </w:pPr>
            <w:r>
              <w:rPr>
                <w:rFonts w:ascii="Arial" w:cs="Arial" w:eastAsia="Arial" w:hAnsi="Arial"/>
                <w:sz w:val="14"/>
                <w:szCs w:val="14"/>
                <w:color w:val="auto"/>
              </w:rPr>
              <w:t>Corporate debt</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(534)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11,926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11,342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253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23,082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Fixed income</w:t>
            </w:r>
          </w:p>
        </w:tc>
        <w:tc>
          <w:tcPr>
            <w:tcW w:w="13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Trust securities</w:t>
            </w: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60,571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63,535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4"/>
                <w:szCs w:val="14"/>
                <w:color w:val="auto"/>
              </w:rPr>
              <w:t>Accrued investment income</w:t>
            </w: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110"/>
              <w:spacing w:after="0" w:line="143" w:lineRule="exact"/>
              <w:rPr>
                <w:sz w:val="20"/>
                <w:szCs w:val="20"/>
                <w:color w:val="auto"/>
              </w:rPr>
            </w:pPr>
            <w:r>
              <w:rPr>
                <w:rFonts w:ascii="Arial" w:cs="Arial" w:eastAsia="Arial" w:hAnsi="Arial"/>
                <w:sz w:val="14"/>
                <w:szCs w:val="14"/>
                <w:color w:val="auto"/>
              </w:rPr>
              <w:t>512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40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4000" w:type="dxa"/>
            <w:vAlign w:val="bottom"/>
            <w:tcBorders>
              <w:top w:val="single" w:sz="8" w:color="CCEEFF"/>
              <w:bottom w:val="single" w:sz="8" w:color="CCEEFF"/>
            </w:tcBorders>
            <w:shd w:val="clear" w:color="auto" w:fill="CCEEFF"/>
          </w:tcPr>
          <w:p>
            <w:pPr>
              <w:ind w:left="20"/>
              <w:spacing w:after="0" w:line="132" w:lineRule="exact"/>
              <w:rPr>
                <w:sz w:val="20"/>
                <w:szCs w:val="20"/>
                <w:color w:val="auto"/>
              </w:rPr>
            </w:pPr>
            <w:r>
              <w:rPr>
                <w:rFonts w:ascii="Arial" w:cs="Arial" w:eastAsia="Arial" w:hAnsi="Arial"/>
                <w:sz w:val="14"/>
                <w:szCs w:val="14"/>
                <w:color w:val="auto"/>
              </w:rPr>
              <w:t>Cemetery perpetual care investments</w:t>
            </w: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auto"/>
            </w:tcBorders>
            <w:shd w:val="clear" w:color="auto" w:fill="CCEEFF"/>
          </w:tcPr>
          <w:p>
            <w:pPr>
              <w:spacing w:after="0"/>
              <w:rPr>
                <w:sz w:val="13"/>
                <w:szCs w:val="13"/>
                <w:color w:val="auto"/>
              </w:rPr>
            </w:pPr>
          </w:p>
        </w:tc>
        <w:tc>
          <w:tcPr>
            <w:tcW w:w="1160" w:type="dxa"/>
            <w:vAlign w:val="bottom"/>
            <w:tcBorders>
              <w:top w:val="single" w:sz="8" w:color="CCEEFF"/>
              <w:bottom w:val="single" w:sz="8" w:color="auto"/>
            </w:tcBorders>
            <w:shd w:val="clear" w:color="auto" w:fill="CCEEFF"/>
          </w:tcPr>
          <w:p>
            <w:pPr>
              <w:jc w:val="right"/>
              <w:ind w:right="110"/>
              <w:spacing w:after="0" w:line="132" w:lineRule="exact"/>
              <w:rPr>
                <w:sz w:val="20"/>
                <w:szCs w:val="20"/>
                <w:color w:val="auto"/>
              </w:rPr>
            </w:pPr>
            <w:r>
              <w:rPr>
                <w:rFonts w:ascii="Arial" w:cs="Arial" w:eastAsia="Arial" w:hAnsi="Arial"/>
                <w:sz w:val="14"/>
                <w:szCs w:val="14"/>
                <w:color w:val="auto"/>
              </w:rPr>
              <w:t>64,047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Market value as a percentage of cost</w:t>
            </w: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104.9 %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firstLine="318"/>
        <w:spacing w:after="0" w:line="276" w:lineRule="auto"/>
        <w:rPr>
          <w:sz w:val="20"/>
          <w:szCs w:val="20"/>
          <w:color w:val="auto"/>
        </w:rPr>
      </w:pPr>
      <w:r>
        <w:rPr>
          <w:rFonts w:ascii="Arial" w:cs="Arial" w:eastAsia="Arial" w:hAnsi="Arial"/>
          <w:sz w:val="14"/>
          <w:szCs w:val="14"/>
          <w:color w:val="auto"/>
        </w:rPr>
        <w:t>The following table summarized our fixed income securities (excluding mutual funds) within our perpetual care trust investment in an unrealized loss position at December 31, 2020, aggregated by major security type and length of time in a continuous unrealized loss position (in thousands):</w:t>
      </w: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87"/>
              </w:rPr>
              <w:t>December 31, 2020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5"/>
          </w:tcPr>
          <w:p>
            <w:pPr>
              <w:jc w:val="center"/>
              <w:ind w:right="320"/>
              <w:spacing w:after="0" w:line="120" w:lineRule="exact"/>
              <w:rPr>
                <w:sz w:val="20"/>
                <w:szCs w:val="20"/>
                <w:color w:val="auto"/>
              </w:rPr>
            </w:pPr>
            <w:r>
              <w:rPr>
                <w:rFonts w:ascii="Arial" w:cs="Arial" w:eastAsia="Arial" w:hAnsi="Arial"/>
                <w:sz w:val="13"/>
                <w:szCs w:val="13"/>
                <w:b w:val="1"/>
                <w:bCs w:val="1"/>
                <w:color w:val="auto"/>
                <w:w w:val="89"/>
              </w:rPr>
              <w:t>In Loss Position Greater than 12</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3"/>
              </w:rPr>
              <w:t>Total</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9"/>
              </w:rPr>
              <w:t>In Loss Position Less than 12 months</w:t>
            </w:r>
          </w:p>
        </w:tc>
        <w:tc>
          <w:tcPr>
            <w:tcW w:w="100" w:type="dxa"/>
            <w:vAlign w:val="bottom"/>
          </w:tcPr>
          <w:p>
            <w:pPr>
              <w:spacing w:after="0"/>
              <w:rPr>
                <w:sz w:val="8"/>
                <w:szCs w:val="8"/>
                <w:color w:val="auto"/>
              </w:rPr>
            </w:pPr>
          </w:p>
        </w:tc>
        <w:tc>
          <w:tcPr>
            <w:tcW w:w="2340" w:type="dxa"/>
            <w:vAlign w:val="bottom"/>
            <w:gridSpan w:val="5"/>
            <w:vMerge w:val="restart"/>
          </w:tcPr>
          <w:p>
            <w:pPr>
              <w:jc w:val="center"/>
              <w:ind w:right="320"/>
              <w:spacing w:after="0"/>
              <w:rPr>
                <w:sz w:val="20"/>
                <w:szCs w:val="20"/>
                <w:color w:val="auto"/>
              </w:rPr>
            </w:pPr>
            <w:r>
              <w:rPr>
                <w:rFonts w:ascii="Arial" w:cs="Arial" w:eastAsia="Arial" w:hAnsi="Arial"/>
                <w:sz w:val="13"/>
                <w:szCs w:val="13"/>
                <w:b w:val="1"/>
                <w:bCs w:val="1"/>
                <w:color w:val="auto"/>
                <w:w w:val="89"/>
              </w:rPr>
              <w:t>months</w:t>
            </w: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Fair market value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Fair market value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4"/>
              </w:rPr>
              <w:t>Fair market value</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income securities:</w:t>
            </w: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1,728</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(539)</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2,040</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0"/>
        </w:trPr>
        <w:tc>
          <w:tcPr>
            <w:tcW w:w="408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4,202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70"/>
        </w:trPr>
        <w:tc>
          <w:tcPr>
            <w:tcW w:w="4080" w:type="dxa"/>
            <w:vAlign w:val="bottom"/>
          </w:tcPr>
          <w:p>
            <w:pPr>
              <w:ind w:left="20"/>
              <w:spacing w:after="0" w:line="160" w:lineRule="exact"/>
              <w:rPr>
                <w:sz w:val="20"/>
                <w:szCs w:val="20"/>
                <w:color w:val="auto"/>
              </w:rPr>
            </w:pPr>
            <w:r>
              <w:rPr>
                <w:rFonts w:ascii="Arial" w:cs="Arial" w:eastAsia="Arial" w:hAnsi="Arial"/>
                <w:sz w:val="14"/>
                <w:szCs w:val="14"/>
                <w:color w:val="auto"/>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3,462</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3,867</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7,329</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18"/>
        <w:spacing w:after="0" w:line="276" w:lineRule="auto"/>
        <w:rPr>
          <w:sz w:val="20"/>
          <w:szCs w:val="20"/>
          <w:color w:val="auto"/>
        </w:rPr>
      </w:pPr>
      <w:r>
        <w:rPr>
          <w:rFonts w:ascii="Arial" w:cs="Arial" w:eastAsia="Arial" w:hAnsi="Arial"/>
          <w:sz w:val="14"/>
          <w:szCs w:val="14"/>
          <w:color w:val="auto"/>
        </w:rPr>
        <w:t>The following table summarized our fixed income securities within our perpetual care trust investment in an unrealized loss position at December 31, 2019, aggregated by major security type and length of time in a continuous unrealized loss position (in thousands):</w:t>
      </w: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w w:val="88"/>
              </w:rPr>
              <w:t>December 31, 2019</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ind w:right="300"/>
              <w:spacing w:after="0" w:line="120" w:lineRule="exact"/>
              <w:rPr>
                <w:sz w:val="20"/>
                <w:szCs w:val="20"/>
                <w:color w:val="auto"/>
              </w:rPr>
            </w:pPr>
            <w:r>
              <w:rPr>
                <w:rFonts w:ascii="Arial" w:cs="Arial" w:eastAsia="Arial" w:hAnsi="Arial"/>
                <w:sz w:val="13"/>
                <w:szCs w:val="13"/>
                <w:b w:val="1"/>
                <w:bCs w:val="1"/>
                <w:color w:val="auto"/>
                <w:w w:val="88"/>
              </w:rPr>
              <w:t>In Loss Position Greater than 12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89"/>
              </w:rPr>
              <w:t>Total</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In Loss Position Less than 12 months</w:t>
            </w:r>
          </w:p>
        </w:tc>
        <w:tc>
          <w:tcPr>
            <w:tcW w:w="80" w:type="dxa"/>
            <w:vAlign w:val="bottom"/>
          </w:tcPr>
          <w:p>
            <w:pPr>
              <w:spacing w:after="0"/>
              <w:rPr>
                <w:sz w:val="8"/>
                <w:szCs w:val="8"/>
                <w:color w:val="auto"/>
              </w:rPr>
            </w:pPr>
          </w:p>
        </w:tc>
        <w:tc>
          <w:tcPr>
            <w:tcW w:w="2340" w:type="dxa"/>
            <w:vAlign w:val="bottom"/>
            <w:gridSpan w:val="5"/>
            <w:vMerge w:val="restart"/>
          </w:tcPr>
          <w:p>
            <w:pPr>
              <w:jc w:val="center"/>
              <w:ind w:right="300"/>
              <w:spacing w:after="0"/>
              <w:rPr>
                <w:sz w:val="20"/>
                <w:szCs w:val="20"/>
                <w:color w:val="auto"/>
              </w:rPr>
            </w:pPr>
            <w:r>
              <w:rPr>
                <w:rFonts w:ascii="Arial" w:cs="Arial" w:eastAsia="Arial" w:hAnsi="Arial"/>
                <w:sz w:val="13"/>
                <w:szCs w:val="13"/>
                <w:b w:val="1"/>
                <w:bCs w:val="1"/>
                <w:color w:val="auto"/>
                <w:w w:val="85"/>
              </w:rPr>
              <w:t>months</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1"/>
                <w:szCs w:val="11"/>
                <w:color w:val="auto"/>
                <w:w w:val="90"/>
              </w:rPr>
              <w:t>Unrealized Losses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color w:val="auto"/>
              </w:rPr>
              <w:t>Fair market value</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1"/>
              </w:rPr>
              <w:t>Fair market value</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w w:val="88"/>
              </w:rPr>
              <w:t>Unrealized Losses</w:t>
            </w:r>
          </w:p>
        </w:tc>
        <w:tc>
          <w:tcPr>
            <w:tcW w:w="0" w:type="dxa"/>
            <w:vAlign w:val="bottom"/>
          </w:tcPr>
          <w:p>
            <w:pPr>
              <w:spacing w:after="0"/>
              <w:rPr>
                <w:sz w:val="1"/>
                <w:szCs w:val="1"/>
                <w:color w:val="auto"/>
              </w:rPr>
            </w:pPr>
          </w:p>
        </w:tc>
      </w:tr>
      <w:tr>
        <w:trPr>
          <w:trHeight w:val="16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income securities:</w:t>
            </w: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Foreign debt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717</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2,989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2,989</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Mortgage-backed securities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0"/>
        </w:trPr>
        <w:tc>
          <w:tcPr>
            <w:tcW w:w="4140" w:type="dxa"/>
            <w:vAlign w:val="bottom"/>
          </w:tcPr>
          <w:p>
            <w:pPr>
              <w:ind w:left="20"/>
              <w:spacing w:after="0" w:line="160" w:lineRule="exact"/>
              <w:rPr>
                <w:sz w:val="20"/>
                <w:szCs w:val="20"/>
                <w:color w:val="auto"/>
              </w:rPr>
            </w:pPr>
            <w:r>
              <w:rPr>
                <w:rFonts w:ascii="Arial" w:cs="Arial" w:eastAsia="Arial" w:hAnsi="Arial"/>
                <w:sz w:val="14"/>
                <w:szCs w:val="14"/>
                <w:color w:val="auto"/>
              </w:rPr>
              <w:t>Total fixed income securities with an unrealized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8,268</w:t>
            </w: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Perpetual care trust investment security transactions recorded in </w:t>
      </w:r>
      <w:r>
        <w:rPr>
          <w:rFonts w:ascii="Arial" w:cs="Arial" w:eastAsia="Arial" w:hAnsi="Arial"/>
          <w:sz w:val="14"/>
          <w:szCs w:val="14"/>
          <w:i w:val="1"/>
          <w:iCs w:val="1"/>
          <w:color w:val="auto"/>
        </w:rPr>
        <w:t>Other, net</w:t>
      </w:r>
      <w:r>
        <w:rPr>
          <w:rFonts w:ascii="Arial" w:cs="Arial" w:eastAsia="Arial" w:hAnsi="Arial"/>
          <w:sz w:val="14"/>
          <w:szCs w:val="14"/>
          <w:color w:val="auto"/>
        </w:rPr>
        <w:t xml:space="preserve"> on our Consolidated Statements of Operations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gains</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Realized losses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(1,896)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(1,258)</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(1,695)</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gains (losses), net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2,964</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w:t>
            </w:r>
          </w:p>
        </w:tc>
      </w:tr>
      <w:tr>
        <w:trPr>
          <w:trHeight w:val="18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change in Care trusts’ corpus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4,937</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(3,369)</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r>
      <w:tr>
        <w:trPr>
          <w:trHeight w:val="196"/>
        </w:trPr>
        <w:tc>
          <w:tcPr>
            <w:tcW w:w="63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Perpetual care trust investment security transactions recorded in </w:t>
      </w:r>
      <w:r>
        <w:rPr>
          <w:rFonts w:ascii="Arial" w:cs="Arial" w:eastAsia="Arial" w:hAnsi="Arial"/>
          <w:sz w:val="14"/>
          <w:szCs w:val="14"/>
          <w:i w:val="1"/>
          <w:iCs w:val="1"/>
          <w:color w:val="auto"/>
        </w:rPr>
        <w:t>Other revenue</w:t>
      </w:r>
      <w:r>
        <w:rPr>
          <w:rFonts w:ascii="Arial" w:cs="Arial" w:eastAsia="Arial" w:hAnsi="Arial"/>
          <w:sz w:val="14"/>
          <w:szCs w:val="14"/>
          <w:color w:val="auto"/>
        </w:rPr>
        <w:t xml:space="preserve">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8,461</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Realized losses</w:t>
            </w:r>
          </w:p>
        </w:tc>
        <w:tc>
          <w:tcPr>
            <w:tcW w:w="7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w:t>
            </w:r>
          </w:p>
        </w:tc>
        <w:tc>
          <w:tcPr>
            <w:tcW w:w="7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4,579</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4,123</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w w:val="89"/>
              </w:rPr>
              <w:t>Purchases and sales of investments in the perpetual care trusts are as follows (in thousands):</w:t>
            </w:r>
          </w:p>
        </w:tc>
        <w:tc>
          <w:tcPr>
            <w:tcW w:w="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5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5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w:t>
            </w:r>
          </w:p>
        </w:tc>
        <w:tc>
          <w:tcPr>
            <w:tcW w:w="7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(17,313)</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(38,168)</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Arial" w:cs="Arial" w:eastAsia="Arial" w:hAnsi="Arial"/>
                <w:sz w:val="14"/>
                <w:szCs w:val="14"/>
                <w:color w:val="auto"/>
              </w:rPr>
              <w:t>Sales</w:t>
            </w: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25,786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17,588</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34,316</w:t>
            </w:r>
          </w:p>
        </w:tc>
        <w:tc>
          <w:tcPr>
            <w:tcW w:w="0" w:type="dxa"/>
            <w:vAlign w:val="bottom"/>
          </w:tcPr>
          <w:p>
            <w:pPr>
              <w:spacing w:after="0"/>
              <w:rPr>
                <w:sz w:val="1"/>
                <w:szCs w:val="1"/>
                <w:color w:val="auto"/>
              </w:rPr>
            </w:pPr>
          </w:p>
        </w:tc>
      </w:tr>
      <w:tr>
        <w:trPr>
          <w:trHeight w:val="667"/>
        </w:trPr>
        <w:tc>
          <w:tcPr>
            <w:tcW w:w="5540" w:type="dxa"/>
            <w:vAlign w:val="bottom"/>
          </w:tcPr>
          <w:p>
            <w:pPr>
              <w:spacing w:after="0"/>
              <w:rPr>
                <w:sz w:val="24"/>
                <w:szCs w:val="24"/>
                <w:color w:val="auto"/>
              </w:rPr>
            </w:pPr>
          </w:p>
        </w:tc>
        <w:tc>
          <w:tcPr>
            <w:tcW w:w="760" w:type="dxa"/>
            <w:vAlign w:val="bottom"/>
          </w:tcPr>
          <w:p>
            <w:pPr>
              <w:jc w:val="right"/>
              <w:ind w:right="509"/>
              <w:spacing w:after="0"/>
              <w:rPr>
                <w:sz w:val="20"/>
                <w:szCs w:val="20"/>
                <w:color w:val="auto"/>
              </w:rPr>
            </w:pPr>
            <w:r>
              <w:rPr>
                <w:rFonts w:ascii="Arial" w:cs="Arial" w:eastAsia="Arial" w:hAnsi="Arial"/>
                <w:sz w:val="14"/>
                <w:szCs w:val="14"/>
                <w:color w:val="auto"/>
              </w:rPr>
              <w:t>75</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5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RECEIVABLES FROM PRENEED TRUSTS</w:t>
      </w:r>
    </w:p>
    <w:p>
      <w:pPr>
        <w:spacing w:after="0" w:line="9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4"/>
          <w:szCs w:val="14"/>
          <w:color w:val="auto"/>
        </w:rPr>
        <w:t>Our receivables from preneed trusts represent assets in trusts which are controlled and operated by third parties in which we do not have a controlling financial interest (less than 50%) in the trust assets. We account for these investments at cost. Receivables from preneed trusts are as follows (in thousands):</w:t>
      </w: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3"/>
                <w:szCs w:val="13"/>
                <w:b w:val="1"/>
                <w:bCs w:val="1"/>
                <w:color w:val="auto"/>
              </w:rPr>
              <w:t>December 31, 2019</w:t>
            </w:r>
          </w:p>
        </w:tc>
        <w:tc>
          <w:tcPr>
            <w:tcW w:w="4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Preneed trust funds, at cost</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18,581</w:t>
            </w: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17,365</w:t>
            </w:r>
          </w:p>
        </w:tc>
      </w:tr>
      <w:tr>
        <w:trPr>
          <w:trHeight w:val="18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allowance for contract cancellation</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r>
      <w:tr>
        <w:trPr>
          <w:trHeight w:val="196"/>
        </w:trPr>
        <w:tc>
          <w:tcPr>
            <w:tcW w:w="7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Receivables from preneed trusts, net</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18,024</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following summary reflects the composition of the assets held in trust and controlled by third parties to satisfy our future obligations under preneed arrangements related to the preceding contracts at December 31, 2019 and 2020. The cost basis includes reinvested interest and dividends that have been earned on the trust assets. Fair value includes unrealized gains and losses on trust assets.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composition of the preneed trust funds at December 31, 2020 is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1320" w:type="dxa"/>
            <w:vAlign w:val="bottom"/>
          </w:tcPr>
          <w:p>
            <w:pPr>
              <w:ind w:left="660"/>
              <w:spacing w:after="0"/>
              <w:rPr>
                <w:sz w:val="20"/>
                <w:szCs w:val="20"/>
                <w:color w:val="auto"/>
              </w:rPr>
            </w:pPr>
            <w:r>
              <w:rPr>
                <w:rFonts w:ascii="Arial" w:cs="Arial" w:eastAsia="Arial" w:hAnsi="Arial"/>
                <w:sz w:val="13"/>
                <w:szCs w:val="13"/>
                <w:b w:val="1"/>
                <w:bCs w:val="1"/>
                <w:color w:val="auto"/>
              </w:rPr>
              <w:t>Historical</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vMerge w:val="restart"/>
          </w:tcPr>
          <w:p>
            <w:pPr>
              <w:jc w:val="right"/>
              <w:ind w:right="571"/>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73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w w:val="95"/>
              </w:rPr>
              <w:t>Cost Basis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2020</w:t>
            </w: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6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320" w:type="dxa"/>
            <w:vAlign w:val="bottom"/>
          </w:tcPr>
          <w:p>
            <w:pPr>
              <w:jc w:val="right"/>
              <w:ind w:right="117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4,604</w:t>
            </w:r>
          </w:p>
        </w:tc>
        <w:tc>
          <w:tcPr>
            <w:tcW w:w="2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4,604</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investments</w:t>
            </w:r>
          </w:p>
        </w:tc>
        <w:tc>
          <w:tcPr>
            <w:tcW w:w="13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10,355</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10,355</w:t>
            </w:r>
          </w:p>
        </w:tc>
        <w:tc>
          <w:tcPr>
            <w:tcW w:w="0" w:type="dxa"/>
            <w:vAlign w:val="bottom"/>
          </w:tcPr>
          <w:p>
            <w:pPr>
              <w:spacing w:after="0"/>
              <w:rPr>
                <w:sz w:val="1"/>
                <w:szCs w:val="1"/>
                <w:color w:val="auto"/>
              </w:rPr>
            </w:pPr>
          </w:p>
        </w:tc>
      </w:tr>
      <w:tr>
        <w:trPr>
          <w:trHeight w:val="180"/>
        </w:trPr>
        <w:tc>
          <w:tcPr>
            <w:tcW w:w="7360" w:type="dxa"/>
            <w:vAlign w:val="bottom"/>
          </w:tcPr>
          <w:p>
            <w:pPr>
              <w:ind w:left="180"/>
              <w:spacing w:after="0"/>
              <w:rPr>
                <w:sz w:val="20"/>
                <w:szCs w:val="20"/>
                <w:color w:val="auto"/>
              </w:rPr>
            </w:pPr>
            <w:r>
              <w:rPr>
                <w:rFonts w:ascii="Arial" w:cs="Arial" w:eastAsia="Arial" w:hAnsi="Arial"/>
                <w:sz w:val="14"/>
                <w:szCs w:val="14"/>
                <w:color w:val="auto"/>
              </w:rPr>
              <w:t>Mutual funds and common stocks</w:t>
            </w:r>
          </w:p>
        </w:tc>
        <w:tc>
          <w:tcPr>
            <w:tcW w:w="1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2,402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Annuities</w:t>
            </w:r>
          </w:p>
        </w:tc>
        <w:tc>
          <w:tcPr>
            <w:tcW w:w="13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736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17,365</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320"/>
              <w:spacing w:after="0"/>
              <w:rPr>
                <w:sz w:val="20"/>
                <w:szCs w:val="20"/>
                <w:color w:val="auto"/>
              </w:rPr>
            </w:pPr>
            <w:r>
              <w:rPr>
                <w:rFonts w:ascii="Arial" w:cs="Arial" w:eastAsia="Arial" w:hAnsi="Arial"/>
                <w:sz w:val="14"/>
                <w:szCs w:val="14"/>
                <w:color w:val="auto"/>
              </w:rPr>
              <w:t>The composition of the preneed trust funds at December 31, 2019 is as follows (in thousands):</w:t>
            </w: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3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320" w:type="dxa"/>
            <w:vAlign w:val="bottom"/>
          </w:tcPr>
          <w:p>
            <w:pPr>
              <w:ind w:left="660"/>
              <w:spacing w:after="0"/>
              <w:rPr>
                <w:sz w:val="20"/>
                <w:szCs w:val="20"/>
                <w:color w:val="auto"/>
              </w:rPr>
            </w:pPr>
            <w:r>
              <w:rPr>
                <w:rFonts w:ascii="Arial" w:cs="Arial" w:eastAsia="Arial" w:hAnsi="Arial"/>
                <w:sz w:val="13"/>
                <w:szCs w:val="13"/>
                <w:b w:val="1"/>
                <w:bCs w:val="1"/>
                <w:color w:val="auto"/>
              </w:rPr>
              <w:t>Historical</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restart"/>
          </w:tcPr>
          <w:p>
            <w:pPr>
              <w:jc w:val="right"/>
              <w:ind w:right="571"/>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73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w w:val="95"/>
              </w:rPr>
              <w:t>Cost Basis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2019</w:t>
            </w:r>
          </w:p>
        </w:tc>
        <w:tc>
          <w:tcPr>
            <w:tcW w:w="1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6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320" w:type="dxa"/>
            <w:vAlign w:val="bottom"/>
          </w:tcPr>
          <w:p>
            <w:pPr>
              <w:jc w:val="right"/>
              <w:ind w:right="1173"/>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4,533</w:t>
            </w:r>
          </w:p>
        </w:tc>
        <w:tc>
          <w:tcPr>
            <w:tcW w:w="2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4,533</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investments</w:t>
            </w:r>
          </w:p>
        </w:tc>
        <w:tc>
          <w:tcPr>
            <w:tcW w:w="13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11,603</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11,603</w:t>
            </w:r>
          </w:p>
        </w:tc>
        <w:tc>
          <w:tcPr>
            <w:tcW w:w="0" w:type="dxa"/>
            <w:vAlign w:val="bottom"/>
          </w:tcPr>
          <w:p>
            <w:pPr>
              <w:spacing w:after="0"/>
              <w:rPr>
                <w:sz w:val="1"/>
                <w:szCs w:val="1"/>
                <w:color w:val="auto"/>
              </w:rPr>
            </w:pPr>
          </w:p>
        </w:tc>
      </w:tr>
      <w:tr>
        <w:trPr>
          <w:trHeight w:val="180"/>
        </w:trPr>
        <w:tc>
          <w:tcPr>
            <w:tcW w:w="7360" w:type="dxa"/>
            <w:vAlign w:val="bottom"/>
          </w:tcPr>
          <w:p>
            <w:pPr>
              <w:ind w:left="180"/>
              <w:spacing w:after="0"/>
              <w:rPr>
                <w:sz w:val="20"/>
                <w:szCs w:val="20"/>
                <w:color w:val="auto"/>
              </w:rPr>
            </w:pPr>
            <w:r>
              <w:rPr>
                <w:rFonts w:ascii="Arial" w:cs="Arial" w:eastAsia="Arial" w:hAnsi="Arial"/>
                <w:sz w:val="14"/>
                <w:szCs w:val="14"/>
                <w:color w:val="auto"/>
              </w:rPr>
              <w:t>Mutual funds and common stocks</w:t>
            </w:r>
          </w:p>
        </w:tc>
        <w:tc>
          <w:tcPr>
            <w:tcW w:w="1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2,440</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Annuities</w:t>
            </w:r>
          </w:p>
        </w:tc>
        <w:tc>
          <w:tcPr>
            <w:tcW w:w="13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0"/>
        </w:trPr>
        <w:tc>
          <w:tcPr>
            <w:tcW w:w="736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18,581</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CONTRACTS FUNDED BY INSURANCE</w:t>
      </w:r>
    </w:p>
    <w:p>
      <w:pPr>
        <w:spacing w:after="0" w:line="9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When preneed funeral contracts are funded through third-party insurance policies, we earn a commission on the sale of the policies. Insurance commissions are subject to refund (charge-back) if the preneed policy is cancelled within a year or if there is an imminent death of beneficiary before the first year anniversary of the policy. We record these insurance commissions as </w:t>
      </w:r>
      <w:r>
        <w:rPr>
          <w:rFonts w:ascii="Arial" w:cs="Arial" w:eastAsia="Arial" w:hAnsi="Arial"/>
          <w:sz w:val="13"/>
          <w:szCs w:val="13"/>
          <w:i w:val="1"/>
          <w:iCs w:val="1"/>
          <w:color w:val="auto"/>
        </w:rPr>
        <w:t>Other revenue</w:t>
      </w:r>
      <w:r>
        <w:rPr>
          <w:rFonts w:ascii="Arial" w:cs="Arial" w:eastAsia="Arial" w:hAnsi="Arial"/>
          <w:sz w:val="13"/>
          <w:szCs w:val="13"/>
          <w:color w:val="auto"/>
        </w:rPr>
        <w:t>, as noted in our table of disaggregated revenue in Note 21 to the Consolidated Financial Statements included herein, when the commission is no longer subject to refund, which is typically one year after the policy is issued. All selling costs incurred pursuant to the sale of the insurance funded preneed contracts are expensed as incurred.</w:t>
      </w:r>
    </w:p>
    <w:p>
      <w:pPr>
        <w:spacing w:after="0" w:line="4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generally revocable and the proceeds from the policy are portable, so the customer can choose to use an alternative provider at the time of need.</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Preneed funeral contracts to be funded at maturity by third-party insurance policies totaled $408.8 million and $395.4 million at December 31, 2019 and 2020, respectively, and are not recorded as assets or liabilities on our Consolidated Balance Sheet.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FAIR VALUE MEASUREMENTS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Fair value is defined as the price that would be received from the sale of an asset or paid to transfer a liability in an orderly transaction between market participants at the measurement date applicable for items that are recognized or disclosed at fair value in the financial statements on a recurring basis.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w:t>
      </w:r>
    </w:p>
    <w:p>
      <w:pPr>
        <w:spacing w:after="0" w:line="62"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12), Convertible Notes (as defined in Note 13) and Senior Notes (as defined in Note 14) are classified within Level 2 of the Fair Value Measurements hierarchy.</w:t>
      </w:r>
    </w:p>
    <w:p>
      <w:pPr>
        <w:spacing w:after="0" w:line="45"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At December 31, 2020, the carrying value and fair value of our Credit Facility was $47.2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December 31, 2020, the carrying value of our acquisition debt was $5.5 million, which approximated its fair value. The fair value of our Convertible Notes was approximately $3.7 million at December 31, 2020 based on the last traded or broker quoted price. The fair value of our Senior Notes was approximately $427.9 million at December 31, 2020 based on the last traded or broker quoted price.</w:t>
      </w:r>
    </w:p>
    <w:p>
      <w:pPr>
        <w:spacing w:after="0" w:line="4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trusts represent assets in trusts which are controlled and operated by third parties in which we do not have a controlling financial interest (less than 50%) in the trust assets. We account for these investments at cost.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following three-level valuation hierarchy based upon the transparency of inputs is utilized in the measurement and valuation of financial assets or liabilities as of the measurement date:</w:t>
      </w:r>
    </w:p>
    <w:p>
      <w:pPr>
        <w:spacing w:after="0" w:line="105" w:lineRule="exact"/>
        <w:rPr>
          <w:sz w:val="20"/>
          <w:szCs w:val="20"/>
          <w:color w:val="auto"/>
        </w:rPr>
      </w:pPr>
    </w:p>
    <w:p>
      <w:pPr>
        <w:ind w:left="960" w:hanging="510"/>
        <w:spacing w:after="0" w:line="280" w:lineRule="auto"/>
        <w:tabs>
          <w:tab w:leader="none" w:pos="9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Level 1—Fair value of securities based on unadjusted quoted prices for identical assets or liabilities in active markets. Our investments classified as Level 1 securities include cash, U.S. treasury debt, common stock and equity mutual funds;</w:t>
      </w:r>
    </w:p>
    <w:p>
      <w:pPr>
        <w:spacing w:after="0" w:line="47" w:lineRule="exact"/>
        <w:rPr>
          <w:rFonts w:ascii="Arial" w:cs="Arial" w:eastAsia="Arial" w:hAnsi="Arial"/>
          <w:sz w:val="14"/>
          <w:szCs w:val="14"/>
          <w:color w:val="auto"/>
        </w:rPr>
      </w:pPr>
    </w:p>
    <w:p>
      <w:pPr>
        <w:jc w:val="both"/>
        <w:ind w:left="960" w:hanging="510"/>
        <w:spacing w:after="0" w:line="261" w:lineRule="auto"/>
        <w:tabs>
          <w:tab w:leader="none" w:pos="9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foreign debt, corporate debt, preferred stocks, mortgage-backed securities and fixed income mutual funds and other investments.</w:t>
      </w:r>
    </w:p>
    <w:p>
      <w:pPr>
        <w:spacing w:after="0" w:line="62" w:lineRule="exact"/>
        <w:rPr>
          <w:rFonts w:ascii="Arial" w:cs="Arial" w:eastAsia="Arial" w:hAnsi="Arial"/>
          <w:sz w:val="14"/>
          <w:szCs w:val="14"/>
          <w:color w:val="auto"/>
        </w:rPr>
      </w:pPr>
    </w:p>
    <w:p>
      <w:pPr>
        <w:ind w:left="960" w:hanging="510"/>
        <w:spacing w:after="0" w:line="280" w:lineRule="auto"/>
        <w:tabs>
          <w:tab w:leader="none" w:pos="9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Level 3—Unobservable inputs based upon the reporting entity’s internally developed assumptions, which market participants would use in pricing the asset or liability. As of December 31, 2019 and 2020, we did not have any assets that had fair values determined by Level 3 inputs and no liabilities measured at fair value.</w:t>
      </w:r>
    </w:p>
    <w:p>
      <w:pPr>
        <w:spacing w:after="0" w:line="48"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See Notes 7 and 8 to our Consolidated Financial Statements herein for additional information on the fair value hierarchy levels of our trust investments and receivables from preneed trusts,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INTANGIBLE AND OTHER NON-CURRENT ASSETS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Intangible and other non-current assets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4"/>
                <w:szCs w:val="14"/>
                <w:color w:val="auto"/>
              </w:rPr>
            </w:pPr>
          </w:p>
        </w:tc>
        <w:tc>
          <w:tcPr>
            <w:tcW w:w="1600" w:type="dxa"/>
            <w:vAlign w:val="bottom"/>
          </w:tcPr>
          <w:p>
            <w:pPr>
              <w:jc w:val="right"/>
              <w:ind w:right="351"/>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Tradenames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25,233</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23,565</w:t>
            </w:r>
          </w:p>
        </w:tc>
        <w:tc>
          <w:tcPr>
            <w:tcW w:w="0" w:type="dxa"/>
            <w:vAlign w:val="bottom"/>
          </w:tcPr>
          <w:p>
            <w:pPr>
              <w:spacing w:after="0"/>
              <w:rPr>
                <w:sz w:val="1"/>
                <w:szCs w:val="1"/>
                <w:color w:val="auto"/>
              </w:rPr>
            </w:pP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Prepaid agreements not-to-compete, net of accumulated amortization of $7,195 and $3,193, respectively</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3,915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38"/>
        </w:trPr>
        <w:tc>
          <w:tcPr>
            <w:tcW w:w="73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Capitalized commissions on preneed contracts, net of accumulated amortization</w:t>
            </w:r>
          </w:p>
        </w:tc>
        <w:tc>
          <w:tcPr>
            <w:tcW w:w="2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2,818</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$1,127 and $1,594, respectively</w:t>
            </w:r>
          </w:p>
        </w:tc>
        <w:tc>
          <w:tcPr>
            <w:tcW w:w="260" w:type="dxa"/>
            <w:vAlign w:val="bottom"/>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Intangible and other non-current assets, net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32,116</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4"/>
                <w:szCs w:val="14"/>
                <w:color w:val="auto"/>
              </w:rPr>
              <w:t>77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7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Tradenames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Our tradenames have indefinite lives and therefore are not amortized. During the years ended December 31, 2019 and 2020, we increased tradenames by $7.8 million and $0.4 million, respectively, related to our 2019 and 2020 acquisitions described in Note 3 to the Consolidated Financial Statements included herein.</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As a result of economic conditions caused by COVID-19, we performed a quantitative assessment of our tradenames at March 31, 2020 and we recorded an impairment to tradenames for certain of our funeral homes of $1.1 million during the quarter ended March 31, 2020 recorded in </w:t>
      </w:r>
      <w:r>
        <w:rPr>
          <w:rFonts w:ascii="Arial" w:cs="Arial" w:eastAsia="Arial" w:hAnsi="Arial"/>
          <w:sz w:val="14"/>
          <w:szCs w:val="14"/>
          <w:i w:val="1"/>
          <w:iCs w:val="1"/>
          <w:color w:val="auto"/>
        </w:rPr>
        <w:t>Net loss on divestitures and impairment charges,</w:t>
      </w:r>
      <w:r>
        <w:rPr>
          <w:rFonts w:ascii="Arial" w:cs="Arial" w:eastAsia="Arial" w:hAnsi="Arial"/>
          <w:sz w:val="14"/>
          <w:szCs w:val="14"/>
          <w:color w:val="auto"/>
        </w:rPr>
        <w:t xml:space="preserve"> as the carrying amount of these tradenames exceeded the fair value.</w:t>
      </w:r>
    </w:p>
    <w:p>
      <w:pPr>
        <w:spacing w:after="0" w:line="58"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During the year ended December 31, 2020, we divested four funeral homes that had a carrying value of tradenames of $1.0 million, which was included in the gain or loss on the sale of divestitures and recorded in </w:t>
      </w:r>
      <w:r>
        <w:rPr>
          <w:rFonts w:ascii="Arial" w:cs="Arial" w:eastAsia="Arial" w:hAnsi="Arial"/>
          <w:sz w:val="13"/>
          <w:szCs w:val="13"/>
          <w:i w:val="1"/>
          <w:iCs w:val="1"/>
          <w:color w:val="auto"/>
        </w:rPr>
        <w:t>Net loss on divestitures and impairment charges</w:t>
      </w:r>
      <w:r>
        <w:rPr>
          <w:rFonts w:ascii="Arial" w:cs="Arial" w:eastAsia="Arial" w:hAnsi="Arial"/>
          <w:sz w:val="13"/>
          <w:szCs w:val="13"/>
          <w:color w:val="auto"/>
        </w:rPr>
        <w:t xml:space="preserve"> on our Consolidated Statements of Operations. During 2019, we recorded an impairment to tradenames of $0.2 million as a result of our 2019 annual impairment test as the carrying amount of certain tradenames exceeded the fair value. See Notes 1, 3 and 5 to the Consolidated Financial Statements included herein, for a discussion of the methodology used for our indefinite-lived intangible asset impairment test and discussion of our acquisitions and divestitures,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Prepaid Agreements</w:t>
      </w:r>
    </w:p>
    <w:p>
      <w:pPr>
        <w:spacing w:after="0" w:line="93"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Prepaid agreements not-to-compete are amortized over the term of the respective agreements, ranging generally from one to ten years. Amortization expense was approximately $0.6 million, $0.7 million and $0.7 million for the years ended December 31, 2018, 2019 and 2020, respectively. During the year ended December 31, 2020, we divested three funeral homes that had a carrying value of prepaid agreements not-to-compete of $0.5 million, which was included in the gain or loss on the sale of divestitures and recorded in </w:t>
      </w:r>
      <w:r>
        <w:rPr>
          <w:rFonts w:ascii="Arial" w:cs="Arial" w:eastAsia="Arial" w:hAnsi="Arial"/>
          <w:sz w:val="13"/>
          <w:szCs w:val="13"/>
          <w:i w:val="1"/>
          <w:iCs w:val="1"/>
          <w:color w:val="auto"/>
        </w:rPr>
        <w:t>Net loss on divestitures and impairment charges</w:t>
      </w:r>
      <w:r>
        <w:rPr>
          <w:rFonts w:ascii="Arial" w:cs="Arial" w:eastAsia="Arial" w:hAnsi="Arial"/>
          <w:sz w:val="13"/>
          <w:szCs w:val="13"/>
          <w:color w:val="auto"/>
        </w:rPr>
        <w:t xml:space="preserve"> on our Consolidated Statements of Operations. See Note 5 to the Consolidated Financial Statements included herein, for a discussion of our divestitures.</w:t>
      </w:r>
    </w:p>
    <w:p>
      <w:pPr>
        <w:spacing w:after="0" w:line="4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year ended December 31, 2019, we increased prepaid agreements not-to-compete by $0.4 million related to our 2019 acquisitions described in Note 3 to the Consolidated Financial Statements included herein.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Capitalized Commissions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totaled $0.6 million for both the years ended December 31, 2019 and 2020.</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aggregate amortization expense for our non-compete agreements and capitalized commissions as of December 31, 2020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ind w:left="160"/>
              <w:spacing w:after="0"/>
              <w:rPr>
                <w:sz w:val="20"/>
                <w:szCs w:val="20"/>
                <w:color w:val="auto"/>
              </w:rPr>
            </w:pPr>
            <w:r>
              <w:rPr>
                <w:rFonts w:ascii="Arial" w:cs="Arial" w:eastAsia="Arial" w:hAnsi="Arial"/>
                <w:sz w:val="13"/>
                <w:szCs w:val="13"/>
                <w:b w:val="1"/>
                <w:bCs w:val="1"/>
                <w:color w:val="auto"/>
                <w:w w:val="98"/>
              </w:rPr>
              <w:t>Non-Compete Agreements</w:t>
            </w: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w w:val="97"/>
              </w:rPr>
              <w:t>Capitalized Commissions</w:t>
            </w:r>
          </w:p>
        </w:tc>
      </w:tr>
      <w:tr>
        <w:trPr>
          <w:trHeight w:val="16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Years ending December 31,</w:t>
            </w:r>
          </w:p>
        </w:tc>
        <w:tc>
          <w:tcPr>
            <w:tcW w:w="2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180"/>
        </w:trPr>
        <w:tc>
          <w:tcPr>
            <w:tcW w:w="7360" w:type="dxa"/>
            <w:vAlign w:val="bottom"/>
          </w:tcPr>
          <w:p>
            <w:pPr>
              <w:ind w:left="100"/>
              <w:spacing w:after="0"/>
              <w:rPr>
                <w:sz w:val="20"/>
                <w:szCs w:val="20"/>
                <w:color w:val="auto"/>
              </w:rPr>
            </w:pPr>
            <w:r>
              <w:rPr>
                <w:rFonts w:ascii="Arial" w:cs="Arial" w:eastAsia="Arial" w:hAnsi="Arial"/>
                <w:sz w:val="14"/>
                <w:szCs w:val="14"/>
                <w:color w:val="auto"/>
              </w:rPr>
              <w:t>2021</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618</w:t>
            </w:r>
          </w:p>
        </w:tc>
        <w:tc>
          <w:tcPr>
            <w:tcW w:w="2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180"/>
        </w:trPr>
        <w:tc>
          <w:tcPr>
            <w:tcW w:w="7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2022</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0"/>
        </w:trPr>
        <w:tc>
          <w:tcPr>
            <w:tcW w:w="7360" w:type="dxa"/>
            <w:vAlign w:val="bottom"/>
          </w:tcPr>
          <w:p>
            <w:pPr>
              <w:ind w:left="100"/>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488</w:t>
            </w:r>
          </w:p>
        </w:tc>
      </w:tr>
      <w:tr>
        <w:trPr>
          <w:trHeight w:val="180"/>
        </w:trPr>
        <w:tc>
          <w:tcPr>
            <w:tcW w:w="7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2024</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80"/>
        </w:trPr>
        <w:tc>
          <w:tcPr>
            <w:tcW w:w="7360" w:type="dxa"/>
            <w:vAlign w:val="bottom"/>
          </w:tcPr>
          <w:p>
            <w:pPr>
              <w:ind w:left="100"/>
              <w:spacing w:after="0"/>
              <w:rPr>
                <w:sz w:val="20"/>
                <w:szCs w:val="20"/>
                <w:color w:val="auto"/>
              </w:rPr>
            </w:pPr>
            <w:r>
              <w:rPr>
                <w:rFonts w:ascii="Arial" w:cs="Arial" w:eastAsia="Arial" w:hAnsi="Arial"/>
                <w:sz w:val="14"/>
                <w:szCs w:val="14"/>
                <w:color w:val="auto"/>
              </w:rPr>
              <w:t>2025</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180"/>
        </w:trPr>
        <w:tc>
          <w:tcPr>
            <w:tcW w:w="7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71"/>
        </w:trPr>
        <w:tc>
          <w:tcPr>
            <w:tcW w:w="7360" w:type="dxa"/>
            <w:vAlign w:val="bottom"/>
          </w:tcPr>
          <w:p>
            <w:pPr>
              <w:ind w:left="20"/>
              <w:spacing w:after="0"/>
              <w:rPr>
                <w:sz w:val="20"/>
                <w:szCs w:val="20"/>
                <w:color w:val="auto"/>
              </w:rPr>
            </w:pPr>
            <w:r>
              <w:rPr>
                <w:rFonts w:ascii="Arial" w:cs="Arial" w:eastAsia="Arial" w:hAnsi="Arial"/>
                <w:sz w:val="14"/>
                <w:szCs w:val="14"/>
                <w:color w:val="auto"/>
              </w:rPr>
              <w:t>Total amortization expense</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w:t>
            </w:r>
          </w:p>
        </w:tc>
        <w:tc>
          <w:tcPr>
            <w:tcW w:w="2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CREDIT FACILITY AND ACQUISITION DEBT</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December 19, 2019, we entered into a third amendment and commitment increase to our $150.0 million senior secured revolving credit facility (“Credit Facility”) with the financial institutions party thereto, as lenders, and Bank of America, N.A., as administrative agent (in such capacity, the “Administrative Agent”) to increase our commitment to $190.0 million and incurred $0.9 million in transactions costs, which were capitalized and will be amortized over the remaining term of the related debt using the straight-line method.</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At December 31, 2020, our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Company’s obligations under the Credit Facility are unconditionally guaranteed on a joint and several basis by the same subsidiaries which guarantee the Senior Notes (as defined in Note 14) and certain of the Company’s Credit Facility Guarantors.</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Credit Facility is secured by a first-priority perfected security interest in and lien on substantially all of the Company’s personal property assets and those of the Credit Facility Guarantors (as defined below).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48"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In addition, the Credit Facility also contains customary negative covenants, including, but not limited to, covenants that restrict (subject to certain exceptions) the ability of the Company and its subsidiaries and party thereto as guarantors (the “Credit Facility Guarantors”) to incur additional indebtedness, grant liens on assets, make investments, engage in mergers and acquisitions, and pay dividends and other restricted payments, and certain financial covenants. At December 31, 2020, we were subject to the following financial covenants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6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18, 2020, we received a limited waiver under our Credit Facility for the failure to comply with the Total Leverage Ratio covenant for the fiscal quarter ended March 31, 2020. In connection with the waiver, we also entered into a fourth amendment to the Credit Facility which increased the interest rate margin applicable to borrowings by up to 0.625% at each pricing level based on the Total Leverage Ratio. We did not incur any transaction costs related to the limited waiver and fourth amendment to the Credit Facility.</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August 7, 2020, we obtained a limited consent from the lenders under our Credit Facility in connection with our privately-negotiated repurchases of our Convertible Notes (as defined in Note 13). See Note 13 to the Consolidated Financial Statements included herein, for a discussion of our privately-negotiated repurchases.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were in compliance with the total leverage ratio, fixed charge coverage ratio and senior secured leverage ratio covenants contained in our Credit Facility at December 31, 2020.</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Credit Facility and Acquisition debt consisted of the following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4"/>
                <w:szCs w:val="14"/>
                <w:color w:val="auto"/>
              </w:rPr>
            </w:pPr>
          </w:p>
        </w:tc>
        <w:tc>
          <w:tcPr>
            <w:tcW w:w="1620" w:type="dxa"/>
            <w:vAlign w:val="bottom"/>
          </w:tcPr>
          <w:p>
            <w:pPr>
              <w:jc w:val="right"/>
              <w:ind w:right="350"/>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Facility</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83,800</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47,200</w:t>
            </w:r>
          </w:p>
        </w:tc>
      </w:tr>
      <w:tr>
        <w:trPr>
          <w:trHeight w:val="18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Debt issuance costs, net of accumulated amortization of $337 and $819, respectively</w:t>
            </w: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w:t>
            </w:r>
          </w:p>
        </w:tc>
      </w:tr>
      <w:tr>
        <w:trPr>
          <w:trHeight w:val="196"/>
        </w:trPr>
        <w:tc>
          <w:tcPr>
            <w:tcW w:w="7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Credit Facility</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82,182</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46,064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debt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5,509</w:t>
            </w:r>
          </w:p>
        </w:tc>
      </w:tr>
      <w:tr>
        <w:trPr>
          <w:trHeight w:val="18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w:t>
            </w: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r>
      <w:tr>
        <w:trPr>
          <w:trHeight w:val="196"/>
        </w:trPr>
        <w:tc>
          <w:tcPr>
            <w:tcW w:w="73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acquisition debt, net of current portion</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5,658</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At December 31, 2020, we had outstanding borrowings under the Credit Facility of $47.2 million. We had one letter of credit for $2.0 million issued on November 30, 2019 and outstanding under the Credit Facility, which was increased to $2.1 million on September 29, 2020. The letter of credit bears interest at 3.125% and will expire on November 26, 2021. The letter of credit automatically renews annually and secures our obligations under our various self-insured policies. At December 31, 2020, we had $140.7 million of availability under the Credit Facility after giving affect to the $2.1 million of the outstanding letter of credit.</w:t>
      </w:r>
    </w:p>
    <w:p>
      <w:pPr>
        <w:spacing w:after="0" w:line="6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Outstanding borrowings under our Credit Facility bear interest at either a prime rate or a LIBOR rate, plus an applicable margin based upon our leverage ratio. At December 31, 2020, the prime rate margin was equivalent to 1.5% and the LIBOR rate margin was 2.5%. The weighted average interest rate on our Credit Facility for the years ended December 31, 2019 and 2020 was 2.9% and 3.8%, respectively.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We have no material assets or operations independent of our subsidiaries. All assets and operations are held and conducted by subsidiaries, each of which have fully and unconditionally guaranteed our obligations under the Credit Facility. Additionally, we do not currently have any significant restrictions on our ability to receive dividends or loans from any Credit Facility Guarantors.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interest expense and amortization of debt issuance costs related to our Credit Facility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Facility interest expense</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4,351</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3"/>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Credit Facility amortization of debt issuance costs</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482</w:t>
            </w:r>
          </w:p>
        </w:tc>
      </w:tr>
    </w:tbl>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imputed interest expense related to our acquisition debt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89"/>
              </w:rPr>
              <w:t>2018</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89"/>
              </w:rPr>
              <w:t>2019</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w w:val="82"/>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debt imputed interest expense</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791</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489</w:t>
            </w:r>
          </w:p>
        </w:tc>
      </w:tr>
    </w:tbl>
    <w:p>
      <w:pPr>
        <w:spacing w:after="0" w:line="138"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4"/>
          <w:szCs w:val="14"/>
          <w:color w:val="auto"/>
        </w:rPr>
        <w:t>The aggregate maturities of our Credit Facility and acquisition debt for the next five years subsequent to December 31, 2020 and thereafter, excluding debt issuance costs, are as follows (in thousands):</w:t>
      </w:r>
    </w:p>
    <w:tbl>
      <w:tblPr>
        <w:tblLayout w:type="fixed"/>
        <w:tblInd w:w="0" w:type="dxa"/>
        <w:tblCellMar>
          <w:top w:w="0" w:type="dxa"/>
          <w:left w:w="0" w:type="dxa"/>
          <w:bottom w:w="0" w:type="dxa"/>
          <w:right w:w="0" w:type="dxa"/>
        </w:tblCellMar>
      </w:tblPr>
      <w:tr>
        <w:trPr>
          <w:trHeight w:val="184"/>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Credit Facility</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Acquisition Debt</w:t>
            </w:r>
          </w:p>
        </w:tc>
        <w:tc>
          <w:tcPr>
            <w:tcW w:w="0" w:type="dxa"/>
            <w:vAlign w:val="bottom"/>
          </w:tcPr>
          <w:p>
            <w:pPr>
              <w:spacing w:after="0"/>
              <w:rPr>
                <w:sz w:val="1"/>
                <w:szCs w:val="1"/>
                <w:color w:val="auto"/>
              </w:rPr>
            </w:pPr>
          </w:p>
        </w:tc>
      </w:tr>
      <w:tr>
        <w:trPr>
          <w:trHeight w:val="160"/>
        </w:trPr>
        <w:tc>
          <w:tcPr>
            <w:tcW w:w="71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480" w:type="dxa"/>
            <w:vAlign w:val="bottom"/>
            <w:shd w:val="clear" w:color="auto" w:fill="CCEEFF"/>
          </w:tcPr>
          <w:p>
            <w:pPr>
              <w:jc w:val="right"/>
              <w:ind w:right="1329"/>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2022</w:t>
            </w:r>
          </w:p>
        </w:tc>
        <w:tc>
          <w:tcPr>
            <w:tcW w:w="14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4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47,200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2024</w:t>
            </w:r>
          </w:p>
        </w:tc>
        <w:tc>
          <w:tcPr>
            <w:tcW w:w="14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4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4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171"/>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Credit Facility and acquisition debt</w:t>
            </w:r>
          </w:p>
        </w:tc>
        <w:tc>
          <w:tcPr>
            <w:tcW w:w="1480" w:type="dxa"/>
            <w:vAlign w:val="bottom"/>
            <w:tcBorders>
              <w:top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47,200</w:t>
            </w: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7,912</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Less: Interest</w:t>
            </w:r>
          </w:p>
        </w:tc>
        <w:tc>
          <w:tcPr>
            <w:tcW w:w="148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Credit Facility and acquisition debt</w:t>
            </w:r>
          </w:p>
        </w:tc>
        <w:tc>
          <w:tcPr>
            <w:tcW w:w="1480" w:type="dxa"/>
            <w:vAlign w:val="bottom"/>
            <w:tcBorders>
              <w:top w:val="single" w:sz="8" w:color="auto"/>
              <w:bottom w:val="single" w:sz="8" w:color="auto"/>
            </w:tcBorders>
            <w:shd w:val="clear" w:color="auto" w:fill="CCEEFF"/>
          </w:tcPr>
          <w:p>
            <w:pPr>
              <w:jc w:val="right"/>
              <w:ind w:right="132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47,200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CONVERTIBLE SUBORDINATED NOTES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March 19, 2014, we issued $143.75 million aggregate principal amount of our 2.75% convertible subordinated notes due 2021 (the “Convertible Notes”). The Convertible Notes are due on March 15, 2021 and bear interest at 2.75% per year, which is payable semi-annually in arrears on March 15 and September 15 of each year.</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7, 2018, we completed our exchange of approximately $115.0 million in aggregate principal amount of Convertible Notes in a privately-negotiated exchange agreement with a limited number of convertible noteholders. On December 24, 2018, we completed privately-negotiated repurchases of an additional $22.4 million in aggregate principal amount of Convertible Notes. On April 4, 2019, we completed a privately-negotiated repurchase of $25,000 in aggregate principal amount of Convertible Notes then outstanding for $27,163.</w:t>
      </w:r>
    </w:p>
    <w:p>
      <w:pPr>
        <w:spacing w:after="0" w:line="58"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On September 9, 2020, we completed privately-negotiated repurchases of $3.8 million in aggregate principal amount of our Convertible Notes for $4.6 million in cash (including accrued interest of $0.1 million) and recorded $0.8 million for the reacquisition of the equity component. The September 2020 repurchases represented approximately 60% of the aggregate principal amount of Convertible Notes then outstanding. Following the settlement of the September 2020 repurchases, the aggregate principal amount of the Convertible Notes was reduced to approximately $2.6 million.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carrying values of the liability and equity components of the Convertible Notes are reflected on our Consolidated Balance Sheet as follows (in thousands):</w:t>
      </w:r>
    </w:p>
    <w:p>
      <w:pPr>
        <w:spacing w:after="0" w:line="95" w:lineRule="exact"/>
        <w:rPr>
          <w:sz w:val="20"/>
          <w:szCs w:val="20"/>
          <w:color w:val="auto"/>
        </w:rPr>
      </w:pPr>
    </w:p>
    <w:p>
      <w:pPr>
        <w:ind w:left="4660"/>
        <w:spacing w:after="0"/>
        <w:tabs>
          <w:tab w:leader="none" w:pos="6080" w:val="left"/>
        </w:tabs>
        <w:rPr>
          <w:sz w:val="20"/>
          <w:szCs w:val="20"/>
          <w:color w:val="auto"/>
        </w:rPr>
      </w:pPr>
      <w:r>
        <w:rPr>
          <w:rFonts w:ascii="Arial" w:cs="Arial" w:eastAsia="Arial" w:hAnsi="Arial"/>
          <w:sz w:val="13"/>
          <w:szCs w:val="13"/>
          <w:b w:val="1"/>
          <w:bCs w:val="1"/>
          <w:color w:val="auto"/>
        </w:rPr>
        <w:t>December 31, 2019</w:t>
      </w:r>
      <w:r>
        <w:rPr>
          <w:sz w:val="20"/>
          <w:szCs w:val="20"/>
          <w:color w:val="auto"/>
        </w:rPr>
        <w:tab/>
      </w:r>
      <w:r>
        <w:rPr>
          <w:rFonts w:ascii="Arial" w:cs="Arial" w:eastAsia="Arial" w:hAnsi="Arial"/>
          <w:sz w:val="11"/>
          <w:szCs w:val="11"/>
          <w:b w:val="1"/>
          <w:bCs w:val="1"/>
          <w:color w:val="auto"/>
        </w:rPr>
        <w:t>December 31, 2020</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4599940" cy="134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99940" cy="13462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9" w:lineRule="exact"/>
        <w:rPr>
          <w:sz w:val="20"/>
          <w:szCs w:val="20"/>
          <w:color w:val="auto"/>
        </w:rPr>
      </w:pPr>
    </w:p>
    <w:p>
      <w:pPr>
        <w:ind w:left="180"/>
        <w:spacing w:after="0"/>
        <w:tabs>
          <w:tab w:leader="none" w:pos="4540" w:val="left"/>
        </w:tabs>
        <w:rPr>
          <w:sz w:val="20"/>
          <w:szCs w:val="20"/>
          <w:color w:val="auto"/>
        </w:rPr>
      </w:pPr>
      <w:r>
        <w:rPr>
          <w:rFonts w:ascii="Arial" w:cs="Arial" w:eastAsia="Arial" w:hAnsi="Arial"/>
          <w:sz w:val="14"/>
          <w:szCs w:val="14"/>
          <w:color w:val="auto"/>
        </w:rPr>
        <w:t>Principal amount</w:t>
      </w:r>
      <w:r>
        <w:rPr>
          <w:sz w:val="20"/>
          <w:szCs w:val="20"/>
          <w:color w:val="auto"/>
        </w:rPr>
        <w:tab/>
      </w:r>
      <w:r>
        <w:rPr>
          <w:rFonts w:ascii="Arial" w:cs="Arial" w:eastAsia="Arial" w:hAnsi="Arial"/>
          <w:sz w:val="21"/>
          <w:szCs w:val="21"/>
          <w:color w:val="auto"/>
          <w:vertAlign w:val="subscript"/>
        </w:rPr>
        <w: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Unamortized discount of liability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4599940" cy="134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99940" cy="134620"/>
                    </a:xfrm>
                    <a:prstGeom prst="rect">
                      <a:avLst/>
                    </a:prstGeom>
                    <a:noFill/>
                  </pic:spPr>
                </pic:pic>
              </a:graphicData>
            </a:graphic>
          </wp:anchor>
        </w:drawing>
      </w:r>
    </w:p>
    <w:p>
      <w:pPr>
        <w:spacing w:after="0" w:line="31" w:lineRule="exact"/>
        <w:rPr>
          <w:sz w:val="20"/>
          <w:szCs w:val="20"/>
          <w:color w:val="auto"/>
        </w:rPr>
      </w:pPr>
    </w:p>
    <w:p>
      <w:pPr>
        <w:ind w:left="180" w:right="300"/>
        <w:spacing w:after="0" w:line="236" w:lineRule="auto"/>
        <w:rPr>
          <w:sz w:val="20"/>
          <w:szCs w:val="20"/>
          <w:color w:val="auto"/>
        </w:rPr>
      </w:pPr>
      <w:r>
        <w:rPr>
          <w:rFonts w:ascii="Arial" w:cs="Arial" w:eastAsia="Arial" w:hAnsi="Arial"/>
          <w:sz w:val="14"/>
          <w:szCs w:val="14"/>
          <w:color w:val="auto"/>
        </w:rPr>
        <w:t>Convertible Notes issuance costs, net of accumulated amortization of $130 and $63, respectively</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tabs>
          <w:tab w:leader="none" w:pos="560" w:val="left"/>
          <w:tab w:leader="none" w:pos="1420" w:val="left"/>
        </w:tabs>
        <w:rPr>
          <w:sz w:val="20"/>
          <w:szCs w:val="20"/>
          <w:color w:val="auto"/>
        </w:rPr>
      </w:pPr>
      <w:r>
        <w:rPr>
          <w:rFonts w:ascii="Arial" w:cs="Arial" w:eastAsia="Arial" w:hAnsi="Arial"/>
          <w:sz w:val="14"/>
          <w:szCs w:val="14"/>
          <w:color w:val="auto"/>
        </w:rPr>
        <w:t>6,319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2,559</w:t>
      </w:r>
    </w:p>
    <w:p>
      <w:pPr>
        <w:spacing w:after="0" w:line="51" w:lineRule="exact"/>
        <w:rPr>
          <w:sz w:val="20"/>
          <w:szCs w:val="20"/>
          <w:color w:val="auto"/>
        </w:rPr>
      </w:pPr>
    </w:p>
    <w:p>
      <w:pPr>
        <w:ind w:left="1560" w:hanging="1509"/>
        <w:spacing w:after="0"/>
        <w:tabs>
          <w:tab w:leader="none" w:pos="15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(20)</w:t>
      </w:r>
    </w:p>
    <w:p>
      <w:pPr>
        <w:spacing w:after="0" w:line="189"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3"/>
          <w:szCs w:val="13"/>
          <w:color w:val="auto"/>
        </w:rPr>
        <w:t>(29)</w:t>
      </w:r>
      <w:r>
        <w:rPr>
          <w:sz w:val="20"/>
          <w:szCs w:val="20"/>
          <w:color w:val="auto"/>
        </w:rPr>
        <w:tab/>
      </w:r>
      <w:r>
        <w:rPr>
          <w:rFonts w:ascii="Arial" w:cs="Arial" w:eastAsia="Arial" w:hAnsi="Arial"/>
          <w:sz w:val="13"/>
          <w:szCs w:val="13"/>
          <w:color w:val="auto"/>
        </w:rPr>
        <w:t>(1)</w:t>
      </w:r>
    </w:p>
    <w:p>
      <w:pPr>
        <w:spacing w:after="0" w:line="28" w:lineRule="exact"/>
        <w:rPr>
          <w:sz w:val="20"/>
          <w:szCs w:val="20"/>
          <w:color w:val="auto"/>
        </w:rPr>
      </w:pPr>
    </w:p>
    <w:p>
      <w:pPr>
        <w:sectPr>
          <w:pgSz w:w="11900" w:h="16838" w:orient="portrait"/>
          <w:cols w:equalWidth="0" w:num="2">
            <w:col w:w="4700" w:space="720"/>
            <w:col w:w="58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Carrying value of the liability component</w:t>
            </w: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5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95"/>
        </w:trPr>
        <w:tc>
          <w:tcPr>
            <w:tcW w:w="454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Carrying value of the equity component</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The carrying value of the liability component and the carrying value of the equity component are recorded in </w:t>
      </w:r>
      <w:r>
        <w:rPr>
          <w:rFonts w:ascii="Arial" w:cs="Arial" w:eastAsia="Arial" w:hAnsi="Arial"/>
          <w:sz w:val="14"/>
          <w:szCs w:val="14"/>
          <w:i w:val="1"/>
          <w:iCs w:val="1"/>
          <w:color w:val="auto"/>
        </w:rPr>
        <w:t>Convertible subordinated notes due 2021</w:t>
      </w:r>
      <w:r>
        <w:rPr>
          <w:rFonts w:ascii="Arial" w:cs="Arial" w:eastAsia="Arial" w:hAnsi="Arial"/>
          <w:sz w:val="14"/>
          <w:szCs w:val="14"/>
          <w:color w:val="auto"/>
        </w:rPr>
        <w:t xml:space="preserve"> and </w:t>
      </w:r>
      <w:r>
        <w:rPr>
          <w:rFonts w:ascii="Arial" w:cs="Arial" w:eastAsia="Arial" w:hAnsi="Arial"/>
          <w:sz w:val="14"/>
          <w:szCs w:val="14"/>
          <w:i w:val="1"/>
          <w:iCs w:val="1"/>
          <w:color w:val="auto"/>
        </w:rPr>
        <w:t>Additional paid-in capital</w:t>
      </w:r>
      <w:r>
        <w:rPr>
          <w:rFonts w:ascii="Arial" w:cs="Arial" w:eastAsia="Arial" w:hAnsi="Arial"/>
          <w:sz w:val="14"/>
          <w:szCs w:val="14"/>
          <w:color w:val="auto"/>
        </w:rPr>
        <w:t>, respectively, on our Consolidated Balance Sheet at December 31, 2019 and 2020.</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 of the Convertible Notes, which are Level 2 measurements, was $3.7 million at December 31, 2020.</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the adjusted conversion rate of the Convertible Notes is 45.9712 shares of our common stock per $1,000 principal amount of Convertible Notes, equivalent to an adjusted conversion price of $21.75 per share of common stock.</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interest expense and accretion of debt discount and debt issuance costs related to our Convertible Notes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Years ended December 31,</w:t>
            </w: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0"/>
        </w:trPr>
        <w:tc>
          <w:tcPr>
            <w:tcW w:w="63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interest expense</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Convertible Notes accretion of debt discount</w:t>
            </w: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2,192</w:t>
            </w:r>
          </w:p>
        </w:tc>
        <w:tc>
          <w:tcPr>
            <w:tcW w:w="160" w:type="dxa"/>
            <w:vAlign w:val="bottom"/>
          </w:tcPr>
          <w:p>
            <w:pPr>
              <w:spacing w:after="0"/>
              <w:rPr>
                <w:sz w:val="15"/>
                <w:szCs w:val="15"/>
                <w:color w:val="auto"/>
              </w:rPr>
            </w:pPr>
          </w:p>
        </w:tc>
        <w:tc>
          <w:tcPr>
            <w:tcW w:w="660" w:type="dxa"/>
            <w:vAlign w:val="bottom"/>
          </w:tcPr>
          <w:p>
            <w:pPr>
              <w:jc w:val="right"/>
              <w:ind w:right="5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241</w:t>
            </w:r>
          </w:p>
        </w:tc>
        <w:tc>
          <w:tcPr>
            <w:tcW w:w="16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180"/>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amortization of debt issuance costs</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bl>
    <w:p>
      <w:pPr>
        <w:spacing w:after="0" w:line="13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remaining unamortized debt discount and the remaining unamortized debt issuance costs are being amortized using the effective interest method over the remaining term of approximately two months of the Convertible Notes. The effective interest rate on the unamortized debt discount for both years ended December 31, 2019 and 2020 was 11.4%. The effective interest rate on the debt issuance costs for the years ended December 31, 2019 and 2020 was 3.2% and 3.1%, respectively.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aggregate maturities of our Convertible Notes for the next five years subsequent to December 31, 2020 and thereafter are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Principal Maturity</w:t>
            </w:r>
          </w:p>
        </w:tc>
        <w:tc>
          <w:tcPr>
            <w:tcW w:w="120" w:type="dxa"/>
            <w:vAlign w:val="bottom"/>
          </w:tcPr>
          <w:p>
            <w:pPr>
              <w:spacing w:after="0"/>
              <w:rPr>
                <w:sz w:val="13"/>
                <w:szCs w:val="13"/>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Discount Amortization</w:t>
            </w:r>
          </w:p>
        </w:tc>
        <w:tc>
          <w:tcPr>
            <w:tcW w:w="340" w:type="dxa"/>
            <w:vAlign w:val="bottom"/>
          </w:tcPr>
          <w:p>
            <w:pPr>
              <w:spacing w:after="0"/>
              <w:rPr>
                <w:sz w:val="13"/>
                <w:szCs w:val="13"/>
                <w:color w:val="auto"/>
              </w:rPr>
            </w:pPr>
          </w:p>
        </w:tc>
        <w:tc>
          <w:tcPr>
            <w:tcW w:w="1200" w:type="dxa"/>
            <w:vAlign w:val="bottom"/>
          </w:tcPr>
          <w:p>
            <w:pPr>
              <w:jc w:val="right"/>
              <w:ind w:right="491"/>
              <w:spacing w:after="0"/>
              <w:rPr>
                <w:sz w:val="20"/>
                <w:szCs w:val="20"/>
                <w:color w:val="auto"/>
              </w:rPr>
            </w:pPr>
            <w:r>
              <w:rPr>
                <w:rFonts w:ascii="Arial" w:cs="Arial" w:eastAsia="Arial" w:hAnsi="Arial"/>
                <w:sz w:val="13"/>
                <w:szCs w:val="13"/>
                <w:b w:val="1"/>
                <w:bCs w:val="1"/>
                <w:color w:val="auto"/>
              </w:rPr>
              <w:t>Present</w:t>
            </w:r>
          </w:p>
        </w:tc>
        <w:tc>
          <w:tcPr>
            <w:tcW w:w="0" w:type="dxa"/>
            <w:vAlign w:val="bottom"/>
          </w:tcPr>
          <w:p>
            <w:pPr>
              <w:spacing w:after="0"/>
              <w:rPr>
                <w:sz w:val="1"/>
                <w:szCs w:val="1"/>
                <w:color w:val="auto"/>
              </w:rPr>
            </w:pPr>
          </w:p>
        </w:tc>
      </w:tr>
      <w:tr>
        <w:trPr>
          <w:trHeight w:val="167"/>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5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2"/>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20" w:type="dxa"/>
            <w:vAlign w:val="bottom"/>
          </w:tcPr>
          <w:p>
            <w:pPr>
              <w:ind w:left="180"/>
              <w:spacing w:after="0"/>
              <w:rPr>
                <w:sz w:val="20"/>
                <w:szCs w:val="20"/>
                <w:color w:val="auto"/>
              </w:rPr>
            </w:pPr>
            <w:r>
              <w:rPr>
                <w:rFonts w:ascii="Arial" w:cs="Arial" w:eastAsia="Arial" w:hAnsi="Arial"/>
                <w:sz w:val="14"/>
                <w:szCs w:val="14"/>
                <w:color w:val="auto"/>
              </w:rPr>
              <w:t>2021</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2,559</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center"/>
              <w:ind w:left="1070"/>
              <w:spacing w:after="0"/>
              <w:rPr>
                <w:sz w:val="20"/>
                <w:szCs w:val="20"/>
                <w:color w:val="auto"/>
              </w:rPr>
            </w:pPr>
            <w:r>
              <w:rPr>
                <w:rFonts w:ascii="Arial" w:cs="Arial" w:eastAsia="Arial" w:hAnsi="Arial"/>
                <w:sz w:val="14"/>
                <w:szCs w:val="14"/>
                <w:color w:val="auto"/>
                <w:w w:val="96"/>
              </w:rPr>
              <w:t>(20)</w:t>
            </w:r>
          </w:p>
        </w:tc>
        <w:tc>
          <w:tcPr>
            <w:tcW w:w="22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2,539</w:t>
            </w: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center"/>
              <w:ind w:left="870"/>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220" w:type="dxa"/>
            <w:vAlign w:val="bottom"/>
          </w:tcPr>
          <w:p>
            <w:pPr>
              <w:ind w:left="18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40" w:type="dxa"/>
            <w:vAlign w:val="bottom"/>
            <w:gridSpan w:val="2"/>
          </w:tcPr>
          <w:p>
            <w:pPr>
              <w:jc w:val="center"/>
              <w:ind w:left="870"/>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2024</w:t>
            </w: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center"/>
              <w:ind w:left="870"/>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220" w:type="dxa"/>
            <w:vAlign w:val="bottom"/>
          </w:tcPr>
          <w:p>
            <w:pPr>
              <w:ind w:left="180"/>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40" w:type="dxa"/>
            <w:vAlign w:val="bottom"/>
            <w:gridSpan w:val="2"/>
          </w:tcPr>
          <w:p>
            <w:pPr>
              <w:jc w:val="center"/>
              <w:ind w:left="870"/>
              <w:spacing w:after="0"/>
              <w:rPr>
                <w:sz w:val="20"/>
                <w:szCs w:val="20"/>
                <w:color w:val="auto"/>
              </w:rPr>
            </w:pPr>
            <w:r>
              <w:rPr>
                <w:rFonts w:ascii="Arial" w:cs="Arial" w:eastAsia="Arial" w:hAnsi="Arial"/>
                <w:sz w:val="14"/>
                <w:szCs w:val="14"/>
                <w:color w:val="auto"/>
                <w:w w:val="99"/>
              </w:rPr>
              <w: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Thereafter</w:t>
            </w: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center"/>
              <w:ind w:left="870"/>
              <w:spacing w:after="0"/>
              <w:rPr>
                <w:sz w:val="20"/>
                <w:szCs w:val="20"/>
                <w:color w:val="auto"/>
              </w:rPr>
            </w:pPr>
            <w:r>
              <w:rPr>
                <w:rFonts w:ascii="Arial" w:cs="Arial" w:eastAsia="Arial" w:hAnsi="Arial"/>
                <w:sz w:val="14"/>
                <w:szCs w:val="14"/>
                <w:color w:val="auto"/>
                <w:w w:val="99"/>
              </w:rPr>
              <w:t>—</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2,559</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center"/>
              <w:ind w:left="1070"/>
              <w:spacing w:after="0"/>
              <w:rPr>
                <w:sz w:val="20"/>
                <w:szCs w:val="20"/>
                <w:color w:val="auto"/>
              </w:rPr>
            </w:pPr>
            <w:r>
              <w:rPr>
                <w:rFonts w:ascii="Arial" w:cs="Arial" w:eastAsia="Arial" w:hAnsi="Arial"/>
                <w:sz w:val="14"/>
                <w:szCs w:val="14"/>
                <w:color w:val="auto"/>
                <w:w w:val="96"/>
              </w:rPr>
              <w:t>(20)</w:t>
            </w:r>
          </w:p>
        </w:tc>
        <w:tc>
          <w:tcPr>
            <w:tcW w:w="2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SENIOR NOTES</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May 31, 2018, we issued $325.0 million in aggregate principal amount of our 6.625% senior notes due 2026 (the “Initial Senior Notes”) and related guarantees in a private offering under Rule 144A and Regulations S under the Securities Act. The Initial Senior Notes were issued under an indenture, dated as of May 31, 2018 (the “Indenture”), among us, certain of our existing subsidiaries (collectively, the “Subsidiary Guarantors”), as guarantors, and Wilmington Trust, National Association., as trustee.</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December 19, 2019, we issued an additional $75.0 million in aggregate principal amount of our Initial Senior Notes (the “Additional Senior Notes” and, together with the Initial Senior Notes, the “Senior Notes”) and related guarantees by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color w:val="auto"/>
        </w:rPr>
        <w:t>Subsidiary Guarantors in a private offering under Rule 144A and Regulation S of the Securities Act. The Additional Senior Notes were issued as additional securities under the Indenture.</w:t>
      </w:r>
    </w:p>
    <w:p>
      <w:pPr>
        <w:spacing w:after="0" w:line="10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received proceeds of $76.9 million from the issuance of the Additional Senior Notes, net of a debt premium of $1.7 million (plus accrued interest of $0.2 million). We incurred $1.0 million in debt issuance costs related to the Additional Senior Notes. The Senior Notes are treated as a single class of securities under the Indenture, and the Additional Senior Notes have identical terms to the Initial Senior Notes, except with respect to the date of issuance, the issue price, the initial interest accrual date and the initial interest payment date.</w:t>
      </w:r>
    </w:p>
    <w:p>
      <w:pPr>
        <w:spacing w:after="0" w:line="5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Senior Notes bear interest at 6.625% per year. Interest on the Senior Notes began to accrue on May 31, 2018 and is payable semi-annually in arrears on June 1 and December 1 of each year, beginning on December 1, 2018 with respect to the Initial Senior Notes and June 1, 2020 with respect to the Additional Senior Notes to holders of record on each May 15 and November 15 preceding an interest payment date. The Senior Notes mature on June 1, 2026, unless earlier redeemed or repurchased. The Senior Notes are unsecured, senior obligations and are fully and unconditionally guaranteed on a senior unsecured basis, jointly and severally, by each of the Subsidiary Guarantors.</w:t>
      </w:r>
    </w:p>
    <w:p>
      <w:pPr>
        <w:spacing w:after="0" w:line="6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Additionally, at any time before June 1, 2021, we may redeem up to 40% of the aggregate principal amount of the Senior Notes issued with an amount equal to the net proceeds of certain equity offerings, at a price equal to 106.625% of the principal amount of the Senior Notes, plus accrued and unpaid interest, if any, to the date of redemption; provided that (1) at least 60% of the aggregate principal amount of the Senior Notes (including any additional Senior Notes ) originally issued under the Indenture remain outstanding immediately after the occurrence of such redemption (excluding Senior Notes held by us); and (2) each such redemption must occur within 180 days of the date of the closing of each such equity offering.</w:t>
      </w:r>
    </w:p>
    <w:p>
      <w:pPr>
        <w:spacing w:after="0" w:line="64"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2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carrying value of our Senior Notes is reflected on our Consolidated Balance Sheet as follows (in thousands):</w:t>
      </w:r>
    </w:p>
    <w:p>
      <w:pPr>
        <w:spacing w:after="0" w:line="40" w:lineRule="exact"/>
        <w:rPr>
          <w:sz w:val="20"/>
          <w:szCs w:val="20"/>
          <w:color w:val="auto"/>
        </w:rPr>
      </w:pPr>
    </w:p>
    <w:p>
      <w:pPr>
        <w:ind w:left="4660"/>
        <w:spacing w:after="0"/>
        <w:tabs>
          <w:tab w:leader="none" w:pos="6080" w:val="left"/>
        </w:tabs>
        <w:rPr>
          <w:sz w:val="20"/>
          <w:szCs w:val="20"/>
          <w:color w:val="auto"/>
        </w:rPr>
      </w:pPr>
      <w:r>
        <w:rPr>
          <w:rFonts w:ascii="Arial" w:cs="Arial" w:eastAsia="Arial" w:hAnsi="Arial"/>
          <w:sz w:val="13"/>
          <w:szCs w:val="13"/>
          <w:b w:val="1"/>
          <w:bCs w:val="1"/>
          <w:color w:val="auto"/>
        </w:rPr>
        <w:t>December 31, 2019</w:t>
      </w:r>
      <w:r>
        <w:rPr>
          <w:sz w:val="20"/>
          <w:szCs w:val="20"/>
          <w:color w:val="auto"/>
        </w:rPr>
        <w:tab/>
      </w:r>
      <w:r>
        <w:rPr>
          <w:rFonts w:ascii="Arial" w:cs="Arial" w:eastAsia="Arial" w:hAnsi="Arial"/>
          <w:sz w:val="11"/>
          <w:szCs w:val="11"/>
          <w:b w:val="1"/>
          <w:bCs w:val="1"/>
          <w:color w:val="auto"/>
        </w:rPr>
        <w:t>December 31, 2020</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4599940" cy="1276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99940" cy="1276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40" w:lineRule="exact"/>
        <w:rPr>
          <w:sz w:val="20"/>
          <w:szCs w:val="20"/>
          <w:color w:val="auto"/>
        </w:rPr>
      </w:pPr>
    </w:p>
    <w:p>
      <w:pPr>
        <w:ind w:left="120"/>
        <w:spacing w:after="0"/>
        <w:tabs>
          <w:tab w:leader="none" w:pos="4540" w:val="left"/>
        </w:tabs>
        <w:rPr>
          <w:sz w:val="20"/>
          <w:szCs w:val="20"/>
          <w:color w:val="auto"/>
        </w:rPr>
      </w:pPr>
      <w:r>
        <w:rPr>
          <w:rFonts w:ascii="Arial" w:cs="Arial" w:eastAsia="Arial" w:hAnsi="Arial"/>
          <w:sz w:val="14"/>
          <w:szCs w:val="14"/>
          <w:color w:val="auto"/>
        </w:rPr>
        <w:t>Principal amount</w:t>
      </w:r>
      <w:r>
        <w:rPr>
          <w:sz w:val="20"/>
          <w:szCs w:val="20"/>
          <w:color w:val="auto"/>
        </w:rPr>
        <w:tab/>
      </w:r>
      <w:r>
        <w:rPr>
          <w:rFonts w:ascii="Arial" w:cs="Arial" w:eastAsia="Arial" w:hAnsi="Arial"/>
          <w:sz w:val="14"/>
          <w:szCs w:val="14"/>
          <w:color w:val="auto"/>
        </w:rPr>
        <w:t>$</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Debt premium, net of accumulated amortization of $0 and $221,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4599940" cy="127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99940" cy="127635"/>
                    </a:xfrm>
                    <a:prstGeom prst="rect">
                      <a:avLst/>
                    </a:prstGeom>
                    <a:noFill/>
                  </pic:spPr>
                </pic:pic>
              </a:graphicData>
            </a:graphic>
          </wp:anchor>
        </w:drawing>
      </w:r>
    </w:p>
    <w:p>
      <w:pPr>
        <w:spacing w:after="0" w:line="32" w:lineRule="exact"/>
        <w:rPr>
          <w:sz w:val="20"/>
          <w:szCs w:val="20"/>
          <w:color w:val="auto"/>
        </w:rPr>
      </w:pPr>
    </w:p>
    <w:p>
      <w:pPr>
        <w:ind w:left="120" w:right="680"/>
        <w:spacing w:after="0" w:line="236" w:lineRule="auto"/>
        <w:rPr>
          <w:sz w:val="20"/>
          <w:szCs w:val="20"/>
          <w:color w:val="auto"/>
        </w:rPr>
      </w:pPr>
      <w:r>
        <w:rPr>
          <w:rFonts w:ascii="Arial" w:cs="Arial" w:eastAsia="Arial" w:hAnsi="Arial"/>
          <w:sz w:val="14"/>
          <w:szCs w:val="14"/>
          <w:color w:val="auto"/>
        </w:rPr>
        <w:t>Debt discount, net of accumulated amortization of $492 and $1,020, respectively</w:t>
      </w:r>
    </w:p>
    <w:p>
      <w:pPr>
        <w:spacing w:after="0" w:line="12" w:lineRule="exact"/>
        <w:rPr>
          <w:sz w:val="20"/>
          <w:szCs w:val="20"/>
          <w:color w:val="auto"/>
        </w:rPr>
      </w:pPr>
    </w:p>
    <w:p>
      <w:pPr>
        <w:ind w:left="120" w:right="460"/>
        <w:spacing w:after="0" w:line="236" w:lineRule="auto"/>
        <w:rPr>
          <w:sz w:val="20"/>
          <w:szCs w:val="20"/>
          <w:color w:val="auto"/>
        </w:rPr>
      </w:pPr>
      <w:r>
        <w:rPr>
          <w:rFonts w:ascii="Arial" w:cs="Arial" w:eastAsia="Arial" w:hAnsi="Arial"/>
          <w:sz w:val="14"/>
          <w:szCs w:val="14"/>
          <w:color w:val="auto"/>
        </w:rPr>
        <w:t>Debt issuance costs, net of accumulated amortization of $216 and $496,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4599940" cy="2082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99940" cy="208280"/>
                    </a:xfrm>
                    <a:prstGeom prst="rect">
                      <a:avLst/>
                    </a:prstGeom>
                    <a:noFill/>
                  </pic:spPr>
                </pic:pic>
              </a:graphicData>
            </a:graphic>
          </wp:anchor>
        </w:drawing>
      </w:r>
    </w:p>
    <w:p>
      <w:pPr>
        <w:ind w:left="20"/>
        <w:spacing w:after="0"/>
        <w:tabs>
          <w:tab w:leader="none" w:pos="4540" w:val="left"/>
        </w:tabs>
        <w:rPr>
          <w:sz w:val="20"/>
          <w:szCs w:val="20"/>
          <w:color w:val="auto"/>
        </w:rPr>
      </w:pPr>
      <w:r>
        <w:rPr>
          <w:rFonts w:ascii="Arial" w:cs="Arial" w:eastAsia="Arial" w:hAnsi="Arial"/>
          <w:sz w:val="14"/>
          <w:szCs w:val="14"/>
          <w:color w:val="auto"/>
        </w:rPr>
        <w:t>Carrying value of the Senior Notes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700" w:type="dxa"/>
            <w:vAlign w:val="bottom"/>
          </w:tcPr>
          <w:p>
            <w:pPr>
              <w:jc w:val="right"/>
              <w:ind w:right="169"/>
              <w:spacing w:after="0"/>
              <w:rPr>
                <w:sz w:val="20"/>
                <w:szCs w:val="20"/>
                <w:color w:val="auto"/>
              </w:rPr>
            </w:pPr>
            <w:r>
              <w:rPr>
                <w:rFonts w:ascii="Arial" w:cs="Arial" w:eastAsia="Arial" w:hAnsi="Arial"/>
                <w:sz w:val="14"/>
                <w:szCs w:val="14"/>
                <w:color w:val="auto"/>
                <w:w w:val="86"/>
              </w:rPr>
              <w:t>400,000</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201"/>
        </w:trPr>
        <w:tc>
          <w:tcPr>
            <w:tcW w:w="700" w:type="dxa"/>
            <w:vAlign w:val="bottom"/>
          </w:tcPr>
          <w:p>
            <w:pPr>
              <w:jc w:val="right"/>
              <w:ind w:right="169"/>
              <w:spacing w:after="0"/>
              <w:rPr>
                <w:sz w:val="20"/>
                <w:szCs w:val="20"/>
                <w:color w:val="auto"/>
              </w:rPr>
            </w:pPr>
            <w:r>
              <w:rPr>
                <w:rFonts w:ascii="Arial" w:cs="Arial" w:eastAsia="Arial" w:hAnsi="Arial"/>
                <w:sz w:val="14"/>
                <w:szCs w:val="14"/>
                <w:color w:val="auto"/>
              </w:rPr>
              <w:t>1,688</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1,467</w:t>
            </w:r>
          </w:p>
        </w:tc>
      </w:tr>
      <w:tr>
        <w:trPr>
          <w:trHeight w:val="328"/>
        </w:trPr>
        <w:tc>
          <w:tcPr>
            <w:tcW w:w="700" w:type="dxa"/>
            <w:vAlign w:val="bottom"/>
          </w:tcPr>
          <w:p>
            <w:pPr>
              <w:jc w:val="right"/>
              <w:ind w:right="129"/>
              <w:spacing w:after="0"/>
              <w:rPr>
                <w:sz w:val="20"/>
                <w:szCs w:val="20"/>
                <w:color w:val="auto"/>
              </w:rPr>
            </w:pPr>
            <w:r>
              <w:rPr>
                <w:rFonts w:ascii="Arial" w:cs="Arial" w:eastAsia="Arial" w:hAnsi="Arial"/>
                <w:sz w:val="14"/>
                <w:szCs w:val="14"/>
                <w:color w:val="auto"/>
              </w:rPr>
              <w:t>(4,110)</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(3,582)</w:t>
            </w:r>
          </w:p>
        </w:tc>
      </w:tr>
      <w:tr>
        <w:trPr>
          <w:trHeight w:val="328"/>
        </w:trPr>
        <w:tc>
          <w:tcPr>
            <w:tcW w:w="700" w:type="dxa"/>
            <w:vAlign w:val="bottom"/>
          </w:tcPr>
          <w:p>
            <w:pPr>
              <w:jc w:val="right"/>
              <w:ind w:right="129"/>
              <w:spacing w:after="0"/>
              <w:rPr>
                <w:sz w:val="20"/>
                <w:szCs w:val="20"/>
                <w:color w:val="auto"/>
              </w:rPr>
            </w:pPr>
            <w:r>
              <w:rPr>
                <w:rFonts w:ascii="Arial" w:cs="Arial" w:eastAsia="Arial" w:hAnsi="Arial"/>
                <w:sz w:val="14"/>
                <w:szCs w:val="14"/>
                <w:color w:val="auto"/>
              </w:rPr>
              <w:t>(2,131)</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w:t>
            </w:r>
          </w:p>
        </w:tc>
      </w:tr>
      <w:tr>
        <w:trPr>
          <w:trHeight w:val="171"/>
        </w:trPr>
        <w:tc>
          <w:tcPr>
            <w:tcW w:w="700" w:type="dxa"/>
            <w:vAlign w:val="bottom"/>
          </w:tcPr>
          <w:p>
            <w:pPr>
              <w:jc w:val="right"/>
              <w:ind w:right="169"/>
              <w:spacing w:after="0"/>
              <w:rPr>
                <w:sz w:val="20"/>
                <w:szCs w:val="20"/>
                <w:color w:val="auto"/>
              </w:rPr>
            </w:pPr>
            <w:r>
              <w:rPr>
                <w:rFonts w:ascii="Arial" w:cs="Arial" w:eastAsia="Arial" w:hAnsi="Arial"/>
                <w:sz w:val="14"/>
                <w:szCs w:val="14"/>
                <w:color w:val="auto"/>
                <w:w w:val="86"/>
              </w:rPr>
              <w:t>395,447</w:t>
            </w: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395,968</w:t>
            </w:r>
          </w:p>
        </w:tc>
      </w:tr>
      <w:tr>
        <w:trPr>
          <w:trHeight w:val="20"/>
        </w:trPr>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8001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00100" cy="698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-6350</wp:posOffset>
            </wp:positionV>
            <wp:extent cx="80010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00100" cy="698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-147320</wp:posOffset>
            </wp:positionV>
            <wp:extent cx="80010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00100" cy="698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640" w:space="640"/>
            <w:col w:w="6000"/>
          </w:cols>
          <w:pgMar w:left="300" w:top="125" w:right="319" w:bottom="1440" w:gutter="0" w:footer="0" w:header="0"/>
          <w:type w:val="continuous"/>
        </w:sectPr>
      </w:pPr>
    </w:p>
    <w:p>
      <w:pPr>
        <w:ind w:left="320"/>
        <w:spacing w:after="0"/>
        <w:rPr>
          <w:sz w:val="20"/>
          <w:szCs w:val="20"/>
          <w:color w:val="auto"/>
        </w:rPr>
      </w:pPr>
      <w:r>
        <w:rPr>
          <w:rFonts w:ascii="Arial" w:cs="Arial" w:eastAsia="Arial" w:hAnsi="Arial"/>
          <w:sz w:val="14"/>
          <w:szCs w:val="14"/>
          <w:color w:val="auto"/>
        </w:rPr>
        <w:t>The fair value of the Senior Notes, which are Level 2 measurements, was $427.9 million at December 31, 2020.</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The debt discount, the debt premium and the debt issuance costs are being amortized using the effective interest method over the remaining term of approximately 65 months of the Senior Notes. The effective interest rate on the unamortized debt discount and the unamortized debt issuance costs for the Initial Senior Notes, which were issued in May 2018, for the year ended December 31, 2020 was 6.87% and 6.69%, respectively. The effective interest rate on the unamortized debt premium and the unamortized debt issuance costs for the Additional Senior Notes, which were issued in December 2019, for year ended December 31, 2020 was 6.20% and 6.90%,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interest expense and amortization of debt discount, debt premium and debt issuance costs related to our Senior Notes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0"/>
        </w:trPr>
        <w:tc>
          <w:tcPr>
            <w:tcW w:w="6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interest expense</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3"/>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21,711</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26,500</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Senior Notes amortization of debt discount</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528</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amortization of debt premium</w:t>
            </w:r>
          </w:p>
        </w:tc>
        <w:tc>
          <w:tcPr>
            <w:tcW w:w="5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Senior Notes amortization of debt issuance costs</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280</w:t>
            </w: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aggregate maturities of our Senior Notes for the next five years subsequent to December 31, 2020 and thereafter are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Principal Maturity</w:t>
            </w:r>
          </w:p>
        </w:tc>
        <w:tc>
          <w:tcPr>
            <w:tcW w:w="15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Discount Amortization</w:t>
            </w:r>
          </w:p>
        </w:tc>
        <w:tc>
          <w:tcPr>
            <w:tcW w:w="15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Premium Amortization</w:t>
            </w:r>
          </w:p>
        </w:tc>
        <w:tc>
          <w:tcPr>
            <w:tcW w:w="280" w:type="dxa"/>
            <w:vAlign w:val="bottom"/>
          </w:tcPr>
          <w:p>
            <w:pPr>
              <w:spacing w:after="0"/>
              <w:rPr>
                <w:sz w:val="13"/>
                <w:szCs w:val="13"/>
                <w:color w:val="auto"/>
              </w:rPr>
            </w:pPr>
          </w:p>
        </w:tc>
        <w:tc>
          <w:tcPr>
            <w:tcW w:w="1040" w:type="dxa"/>
            <w:vAlign w:val="bottom"/>
          </w:tcPr>
          <w:p>
            <w:pPr>
              <w:jc w:val="right"/>
              <w:ind w:right="391"/>
              <w:spacing w:after="0"/>
              <w:rPr>
                <w:sz w:val="20"/>
                <w:szCs w:val="20"/>
                <w:color w:val="auto"/>
              </w:rPr>
            </w:pPr>
            <w:r>
              <w:rPr>
                <w:rFonts w:ascii="Arial" w:cs="Arial" w:eastAsia="Arial" w:hAnsi="Arial"/>
                <w:sz w:val="13"/>
                <w:szCs w:val="13"/>
                <w:b w:val="1"/>
                <w:bCs w:val="1"/>
                <w:color w:val="auto"/>
              </w:rPr>
              <w:t>Present</w:t>
            </w:r>
          </w:p>
        </w:tc>
        <w:tc>
          <w:tcPr>
            <w:tcW w:w="0" w:type="dxa"/>
            <w:vAlign w:val="bottom"/>
          </w:tcPr>
          <w:p>
            <w:pPr>
              <w:spacing w:after="0"/>
              <w:rPr>
                <w:sz w:val="1"/>
                <w:szCs w:val="1"/>
                <w:color w:val="auto"/>
              </w:rPr>
            </w:pPr>
          </w:p>
        </w:tc>
      </w:tr>
      <w:tr>
        <w:trPr>
          <w:trHeight w:val="165"/>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3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4"/>
        </w:trPr>
        <w:tc>
          <w:tcPr>
            <w:tcW w:w="53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40" w:type="dxa"/>
            <w:vAlign w:val="bottom"/>
          </w:tcPr>
          <w:p>
            <w:pPr>
              <w:ind w:left="180"/>
              <w:spacing w:after="0"/>
              <w:rPr>
                <w:sz w:val="20"/>
                <w:szCs w:val="20"/>
                <w:color w:val="auto"/>
              </w:rPr>
            </w:pPr>
            <w:r>
              <w:rPr>
                <w:rFonts w:ascii="Arial" w:cs="Arial" w:eastAsia="Arial" w:hAnsi="Arial"/>
                <w:sz w:val="14"/>
                <w:szCs w:val="14"/>
                <w:color w:val="auto"/>
              </w:rPr>
              <w:t>2021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80"/>
        </w:trPr>
        <w:tc>
          <w:tcPr>
            <w:tcW w:w="5340" w:type="dxa"/>
            <w:vAlign w:val="bottom"/>
          </w:tcPr>
          <w:p>
            <w:pPr>
              <w:ind w:left="18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(648)</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80"/>
        </w:trPr>
        <w:tc>
          <w:tcPr>
            <w:tcW w:w="5340" w:type="dxa"/>
            <w:vAlign w:val="bottom"/>
          </w:tcPr>
          <w:p>
            <w:pPr>
              <w:ind w:left="18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(744)</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Thereafter</w:t>
            </w: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399,806</w:t>
            </w:r>
          </w:p>
        </w:tc>
        <w:tc>
          <w:tcPr>
            <w:tcW w:w="0" w:type="dxa"/>
            <w:vAlign w:val="bottom"/>
          </w:tcPr>
          <w:p>
            <w:pPr>
              <w:spacing w:after="0"/>
              <w:rPr>
                <w:sz w:val="1"/>
                <w:szCs w:val="1"/>
                <w:color w:val="auto"/>
              </w:rPr>
            </w:pPr>
          </w:p>
        </w:tc>
      </w:tr>
      <w:tr>
        <w:trPr>
          <w:trHeight w:val="171"/>
        </w:trPr>
        <w:tc>
          <w:tcPr>
            <w:tcW w:w="534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(3,582)</w:t>
            </w:r>
          </w:p>
        </w:tc>
        <w:tc>
          <w:tcPr>
            <w:tcW w:w="24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397,885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LEASES</w:t>
      </w:r>
    </w:p>
    <w:p>
      <w:pPr>
        <w:spacing w:after="0" w:line="97"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On January 1, 2019, we adopted Topic 842 using the modified retrospective method for all lease arrangements at the beginning of the period of adoption. Results for reporting periods beginning January 1, 2019 are presented under Topic 842, while prior period amounts have not been adjusted and continue to be reported in accordance with Topic 840. On January 1, 2019, we recorded operating lease right-of-use assets of $16.5 million and operating lease liabilities of $17.3 million, related to real estate and equipment leases, based on the present value of the future lease payments on the date of adoption.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lease obligations consist of operating and finance leases related to real estate and equipment. The components of lease cost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3"/>
                <w:szCs w:val="13"/>
                <w:b w:val="1"/>
                <w:bCs w:val="1"/>
                <w:color w:val="auto"/>
              </w:rPr>
              <w:t>Years Ended December 31,</w:t>
            </w:r>
          </w:p>
        </w:tc>
      </w:tr>
      <w:tr>
        <w:trPr>
          <w:trHeight w:val="162"/>
        </w:trPr>
        <w:tc>
          <w:tcPr>
            <w:tcW w:w="3680" w:type="dxa"/>
            <w:vAlign w:val="bottom"/>
          </w:tcPr>
          <w:p>
            <w:pPr>
              <w:spacing w:after="0"/>
              <w:rPr>
                <w:sz w:val="14"/>
                <w:szCs w:val="14"/>
                <w:color w:val="auto"/>
              </w:rPr>
            </w:pPr>
          </w:p>
        </w:tc>
        <w:tc>
          <w:tcPr>
            <w:tcW w:w="3680" w:type="dxa"/>
            <w:vAlign w:val="bottom"/>
            <w:gridSpan w:val="2"/>
          </w:tcPr>
          <w:p>
            <w:pPr>
              <w:ind w:left="880"/>
              <w:spacing w:after="0"/>
              <w:rPr>
                <w:sz w:val="20"/>
                <w:szCs w:val="20"/>
                <w:color w:val="auto"/>
              </w:rPr>
            </w:pPr>
            <w:r>
              <w:rPr>
                <w:rFonts w:ascii="Arial" w:cs="Arial" w:eastAsia="Arial" w:hAnsi="Arial"/>
                <w:sz w:val="13"/>
                <w:szCs w:val="13"/>
                <w:b w:val="1"/>
                <w:bCs w:val="1"/>
                <w:color w:val="auto"/>
              </w:rPr>
              <w:t>Income Statement Classification</w:t>
            </w:r>
          </w:p>
        </w:tc>
        <w:tc>
          <w:tcPr>
            <w:tcW w:w="300" w:type="dxa"/>
            <w:vAlign w:val="bottom"/>
          </w:tcPr>
          <w:p>
            <w:pPr>
              <w:spacing w:after="0"/>
              <w:rPr>
                <w:sz w:val="14"/>
                <w:szCs w:val="14"/>
                <w:color w:val="auto"/>
              </w:rPr>
            </w:pPr>
          </w:p>
        </w:tc>
        <w:tc>
          <w:tcPr>
            <w:tcW w:w="1560" w:type="dxa"/>
            <w:vAlign w:val="bottom"/>
          </w:tcPr>
          <w:p>
            <w:pPr>
              <w:jc w:val="right"/>
              <w:ind w:right="1011"/>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right"/>
              <w:ind w:right="1010"/>
              <w:spacing w:after="0"/>
              <w:rPr>
                <w:sz w:val="20"/>
                <w:szCs w:val="20"/>
                <w:color w:val="auto"/>
              </w:rPr>
            </w:pPr>
            <w:r>
              <w:rPr>
                <w:rFonts w:ascii="Arial" w:cs="Arial" w:eastAsia="Arial" w:hAnsi="Arial"/>
                <w:sz w:val="13"/>
                <w:szCs w:val="13"/>
                <w:b w:val="1"/>
                <w:bCs w:val="1"/>
                <w:color w:val="auto"/>
              </w:rPr>
              <w:t>2020</w:t>
            </w:r>
          </w:p>
        </w:tc>
      </w:tr>
      <w:tr>
        <w:trPr>
          <w:trHeight w:val="17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50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4"/>
                <w:szCs w:val="14"/>
                <w:color w:val="auto"/>
              </w:rPr>
              <w:t>Facilities and grounds expense</w:t>
            </w:r>
            <w:r>
              <w:rPr>
                <w:rFonts w:ascii="Arial" w:cs="Arial" w:eastAsia="Arial" w:hAnsi="Arial"/>
                <w:sz w:val="18"/>
                <w:szCs w:val="18"/>
                <w:color w:val="auto"/>
                <w:vertAlign w:val="superscript"/>
              </w:rPr>
              <w:t>(1)</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3,722</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3,795</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Short-term lease cost</w:t>
            </w:r>
          </w:p>
        </w:tc>
        <w:tc>
          <w:tcPr>
            <w:tcW w:w="3680" w:type="dxa"/>
            <w:vAlign w:val="bottom"/>
            <w:gridSpan w:val="2"/>
          </w:tcPr>
          <w:p>
            <w:pPr>
              <w:ind w:left="20"/>
              <w:spacing w:after="0" w:line="180" w:lineRule="exact"/>
              <w:rPr>
                <w:sz w:val="20"/>
                <w:szCs w:val="20"/>
                <w:color w:val="auto"/>
              </w:rPr>
            </w:pPr>
            <w:r>
              <w:rPr>
                <w:rFonts w:ascii="Arial" w:cs="Arial" w:eastAsia="Arial" w:hAnsi="Arial"/>
                <w:sz w:val="14"/>
                <w:szCs w:val="14"/>
                <w:color w:val="auto"/>
              </w:rPr>
              <w:t>Facilities and grounds expense</w:t>
            </w:r>
            <w:r>
              <w:rPr>
                <w:rFonts w:ascii="Arial" w:cs="Arial" w:eastAsia="Arial" w:hAnsi="Arial"/>
                <w:sz w:val="18"/>
                <w:szCs w:val="18"/>
                <w:color w:val="auto"/>
                <w:vertAlign w:val="superscript"/>
              </w:rPr>
              <w:t>(1)</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127"/>
        </w:trPr>
        <w:tc>
          <w:tcPr>
            <w:tcW w:w="368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Finance lease cost:</w:t>
            </w: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0"/>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of leased assets</w:t>
            </w:r>
          </w:p>
        </w:tc>
        <w:tc>
          <w:tcPr>
            <w:tcW w:w="36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180"/>
        </w:trPr>
        <w:tc>
          <w:tcPr>
            <w:tcW w:w="36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on lease liabilities</w:t>
            </w:r>
          </w:p>
        </w:tc>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Interest expense</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finance lease cost</w:t>
            </w:r>
          </w:p>
        </w:tc>
        <w:tc>
          <w:tcPr>
            <w:tcW w:w="3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w:t>
            </w:r>
          </w:p>
        </w:tc>
      </w:tr>
      <w:tr>
        <w:trPr>
          <w:trHeight w:val="171"/>
        </w:trPr>
        <w:tc>
          <w:tcPr>
            <w:tcW w:w="368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5,017</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4,954</w:t>
            </w:r>
          </w:p>
        </w:tc>
      </w:tr>
      <w:tr>
        <w:trPr>
          <w:trHeight w:val="20"/>
        </w:trPr>
        <w:tc>
          <w:tcPr>
            <w:tcW w:w="3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114300</wp:posOffset>
            </wp:positionV>
            <wp:extent cx="71145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174" w:lineRule="exact"/>
        <w:rPr>
          <w:sz w:val="20"/>
          <w:szCs w:val="20"/>
          <w:color w:val="auto"/>
        </w:rPr>
      </w:pPr>
    </w:p>
    <w:p>
      <w:pPr>
        <w:ind w:left="460" w:hanging="404"/>
        <w:spacing w:after="0"/>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Facilities and grounds expense is included within </w:t>
      </w:r>
      <w:r>
        <w:rPr>
          <w:rFonts w:ascii="Arial" w:cs="Arial" w:eastAsia="Arial" w:hAnsi="Arial"/>
          <w:sz w:val="13"/>
          <w:szCs w:val="13"/>
          <w:i w:val="1"/>
          <w:iCs w:val="1"/>
          <w:color w:val="auto"/>
        </w:rPr>
        <w:t>Cost of service</w:t>
      </w:r>
      <w:r>
        <w:rPr>
          <w:rFonts w:ascii="Arial" w:cs="Arial" w:eastAsia="Arial" w:hAnsi="Arial"/>
          <w:sz w:val="13"/>
          <w:szCs w:val="13"/>
          <w:color w:val="auto"/>
        </w:rPr>
        <w:t xml:space="preserve"> and </w:t>
      </w:r>
      <w:r>
        <w:rPr>
          <w:rFonts w:ascii="Arial" w:cs="Arial" w:eastAsia="Arial" w:hAnsi="Arial"/>
          <w:sz w:val="13"/>
          <w:szCs w:val="13"/>
          <w:i w:val="1"/>
          <w:iCs w:val="1"/>
          <w:color w:val="auto"/>
        </w:rPr>
        <w:t>General, administrative and other</w:t>
      </w:r>
      <w:r>
        <w:rPr>
          <w:rFonts w:ascii="Arial" w:cs="Arial" w:eastAsia="Arial" w:hAnsi="Arial"/>
          <w:sz w:val="13"/>
          <w:szCs w:val="13"/>
          <w:color w:val="auto"/>
        </w:rPr>
        <w:t xml:space="preserve"> on our Consolidated Statements of Operations.</w:t>
      </w:r>
    </w:p>
    <w:p>
      <w:pPr>
        <w:spacing w:after="0" w:line="210" w:lineRule="exact"/>
        <w:rPr>
          <w:rFonts w:ascii="Arial" w:cs="Arial" w:eastAsia="Arial" w:hAnsi="Arial"/>
          <w:sz w:val="13"/>
          <w:szCs w:val="13"/>
          <w:color w:val="auto"/>
        </w:rPr>
      </w:pPr>
    </w:p>
    <w:p>
      <w:pPr>
        <w:ind w:left="460" w:hanging="404"/>
        <w:spacing w:after="0"/>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Depreciation and amortization expense is included within </w:t>
      </w:r>
      <w:r>
        <w:rPr>
          <w:rFonts w:ascii="Arial" w:cs="Arial" w:eastAsia="Arial" w:hAnsi="Arial"/>
          <w:sz w:val="13"/>
          <w:szCs w:val="13"/>
          <w:i w:val="1"/>
          <w:iCs w:val="1"/>
          <w:color w:val="auto"/>
        </w:rPr>
        <w:t>Field depreciation expense</w:t>
      </w:r>
      <w:r>
        <w:rPr>
          <w:rFonts w:ascii="Arial" w:cs="Arial" w:eastAsia="Arial" w:hAnsi="Arial"/>
          <w:sz w:val="13"/>
          <w:szCs w:val="13"/>
          <w:color w:val="auto"/>
        </w:rPr>
        <w:t xml:space="preserve"> and </w:t>
      </w:r>
      <w:r>
        <w:rPr>
          <w:rFonts w:ascii="Arial" w:cs="Arial" w:eastAsia="Arial" w:hAnsi="Arial"/>
          <w:sz w:val="13"/>
          <w:szCs w:val="13"/>
          <w:i w:val="1"/>
          <w:iCs w:val="1"/>
          <w:color w:val="auto"/>
        </w:rPr>
        <w:t>Home office depreciation and amortization</w:t>
      </w:r>
      <w:r>
        <w:rPr>
          <w:rFonts w:ascii="Arial" w:cs="Arial" w:eastAsia="Arial" w:hAnsi="Arial"/>
          <w:sz w:val="13"/>
          <w:szCs w:val="13"/>
          <w:color w:val="auto"/>
        </w:rPr>
        <w:t xml:space="preserve"> on our Consolidated Statements of Operations.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Variable lease expense was immaterial for the years ended December 31, 2019 and 2020.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Supplemental cash flow information related to our leases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3"/>
                <w:szCs w:val="13"/>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r>
      <w:tr>
        <w:trPr>
          <w:trHeight w:val="160"/>
        </w:trPr>
        <w:tc>
          <w:tcPr>
            <w:tcW w:w="73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3"/>
                <w:szCs w:val="13"/>
                <w:color w:val="auto"/>
              </w:rPr>
            </w:pPr>
          </w:p>
        </w:tc>
      </w:tr>
      <w:tr>
        <w:trPr>
          <w:trHeight w:val="17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operating leases included in operating activities</w:t>
            </w: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Cash paid for finance leases included in financing activities</w:t>
            </w:r>
          </w:p>
        </w:tc>
        <w:tc>
          <w:tcPr>
            <w:tcW w:w="10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872</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828</w:t>
            </w:r>
          </w:p>
        </w:tc>
      </w:tr>
      <w:tr>
        <w:trPr>
          <w:trHeight w:val="328"/>
        </w:trPr>
        <w:tc>
          <w:tcPr>
            <w:tcW w:w="7360" w:type="dxa"/>
            <w:vAlign w:val="bottom"/>
          </w:tcPr>
          <w:p>
            <w:pPr>
              <w:ind w:left="320"/>
              <w:spacing w:after="0"/>
              <w:rPr>
                <w:sz w:val="20"/>
                <w:szCs w:val="20"/>
                <w:color w:val="auto"/>
              </w:rPr>
            </w:pPr>
            <w:r>
              <w:rPr>
                <w:rFonts w:ascii="Arial" w:cs="Arial" w:eastAsia="Arial" w:hAnsi="Arial"/>
                <w:sz w:val="14"/>
                <w:szCs w:val="14"/>
                <w:color w:val="auto"/>
              </w:rPr>
              <w:t>Right-of-use assets obtained in exchange for new leases are as follows (in thousands):</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9"/>
        </w:trPr>
        <w:tc>
          <w:tcPr>
            <w:tcW w:w="7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3"/>
                <w:szCs w:val="13"/>
                <w:b w:val="1"/>
                <w:bCs w:val="1"/>
                <w:color w:val="auto"/>
              </w:rPr>
              <w:t>Years Ended December 31,</w:t>
            </w:r>
          </w:p>
        </w:tc>
        <w:tc>
          <w:tcPr>
            <w:tcW w:w="720" w:type="dxa"/>
            <w:vAlign w:val="bottom"/>
            <w:tcBorders>
              <w:bottom w:val="single" w:sz="8" w:color="auto"/>
            </w:tcBorders>
          </w:tcPr>
          <w:p>
            <w:pPr>
              <w:spacing w:after="0"/>
              <w:rPr>
                <w:sz w:val="16"/>
                <w:szCs w:val="16"/>
                <w:color w:val="auto"/>
              </w:rPr>
            </w:pPr>
          </w:p>
        </w:tc>
      </w:tr>
      <w:tr>
        <w:trPr>
          <w:trHeight w:val="160"/>
        </w:trPr>
        <w:tc>
          <w:tcPr>
            <w:tcW w:w="73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3"/>
                <w:szCs w:val="13"/>
                <w:color w:val="auto"/>
              </w:rPr>
            </w:pPr>
          </w:p>
        </w:tc>
      </w:tr>
      <w:tr>
        <w:trPr>
          <w:trHeight w:val="173"/>
        </w:trPr>
        <w:tc>
          <w:tcPr>
            <w:tcW w:w="736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Right-of-use assets obtained in exchange for new operating lease liabilities</w:t>
            </w:r>
            <w:r>
              <w:rPr>
                <w:rFonts w:ascii="Arial" w:cs="Arial" w:eastAsia="Arial" w:hAnsi="Arial"/>
                <w:sz w:val="18"/>
                <w:szCs w:val="18"/>
                <w:color w:val="auto"/>
                <w:vertAlign w:val="superscript"/>
              </w:rPr>
              <w:t>(1)</w:t>
            </w: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8,175</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r>
      <w:tr>
        <w:trPr>
          <w:trHeight w:val="180"/>
        </w:trPr>
        <w:tc>
          <w:tcPr>
            <w:tcW w:w="736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new finance lease liabilities</w:t>
            </w:r>
          </w:p>
        </w:tc>
        <w:tc>
          <w:tcPr>
            <w:tcW w:w="10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145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pacing w:after="0" w:line="164" w:lineRule="exact"/>
        <w:rPr>
          <w:sz w:val="20"/>
          <w:szCs w:val="20"/>
          <w:color w:val="auto"/>
        </w:rPr>
      </w:pPr>
    </w:p>
    <w:p>
      <w:pPr>
        <w:ind w:left="440" w:right="100" w:hanging="421"/>
        <w:spacing w:after="0" w:line="231"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During the year ended December 31, 2019, we modified an existing operating lease to extend the term through 2030. As a result of this modification, we increased our lease liabilities and right-of-use assets by $8.2 million.</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Supplemental balance sheet information related to leases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gridSpan w:val="2"/>
          </w:tcPr>
          <w:p>
            <w:pPr>
              <w:ind w:left="1460"/>
              <w:spacing w:after="0"/>
              <w:rPr>
                <w:sz w:val="20"/>
                <w:szCs w:val="20"/>
                <w:color w:val="auto"/>
              </w:rPr>
            </w:pPr>
            <w:r>
              <w:rPr>
                <w:rFonts w:ascii="Arial" w:cs="Arial" w:eastAsia="Arial" w:hAnsi="Arial"/>
                <w:sz w:val="13"/>
                <w:szCs w:val="13"/>
                <w:b w:val="1"/>
                <w:bCs w:val="1"/>
                <w:color w:val="auto"/>
              </w:rPr>
              <w:t>Lease Type</w:t>
            </w:r>
          </w:p>
        </w:tc>
        <w:tc>
          <w:tcPr>
            <w:tcW w:w="3640" w:type="dxa"/>
            <w:vAlign w:val="bottom"/>
            <w:gridSpan w:val="3"/>
          </w:tcPr>
          <w:p>
            <w:pPr>
              <w:ind w:left="980"/>
              <w:spacing w:after="0"/>
              <w:rPr>
                <w:sz w:val="20"/>
                <w:szCs w:val="20"/>
                <w:color w:val="auto"/>
              </w:rPr>
            </w:pPr>
            <w:r>
              <w:rPr>
                <w:rFonts w:ascii="Arial" w:cs="Arial" w:eastAsia="Arial" w:hAnsi="Arial"/>
                <w:sz w:val="13"/>
                <w:szCs w:val="13"/>
                <w:b w:val="1"/>
                <w:bCs w:val="1"/>
                <w:color w:val="auto"/>
              </w:rPr>
              <w:t>Balance Sheet Classification</w:t>
            </w:r>
          </w:p>
        </w:tc>
        <w:tc>
          <w:tcPr>
            <w:tcW w:w="2060" w:type="dxa"/>
            <w:vAlign w:val="bottom"/>
            <w:gridSpan w:val="4"/>
          </w:tcPr>
          <w:p>
            <w:pPr>
              <w:ind w:left="420"/>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17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80" w:type="dxa"/>
            <w:vAlign w:val="bottom"/>
            <w:tcBorders>
              <w:top w:val="single" w:sz="8" w:color="CCEEFF"/>
            </w:tcBorders>
            <w:shd w:val="clear" w:color="auto" w:fill="CCEEFF"/>
          </w:tcPr>
          <w:p>
            <w:pPr>
              <w:spacing w:after="0"/>
              <w:rPr>
                <w:sz w:val="15"/>
                <w:szCs w:val="15"/>
                <w:color w:val="auto"/>
              </w:rPr>
            </w:pPr>
          </w:p>
        </w:tc>
        <w:tc>
          <w:tcPr>
            <w:tcW w:w="3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Operating lease right-of-use assets</w:t>
            </w:r>
          </w:p>
        </w:tc>
        <w:tc>
          <w:tcPr>
            <w:tcW w:w="1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22,304</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21,201</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right-of-use assets</w:t>
            </w:r>
          </w:p>
        </w:tc>
        <w:tc>
          <w:tcPr>
            <w:tcW w:w="36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Property, plant and equipment, net</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Accumulated depreciation</w:t>
            </w:r>
          </w:p>
        </w:tc>
        <w:tc>
          <w:tcPr>
            <w:tcW w:w="36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i w:val="1"/>
                <w:iCs w:val="1"/>
                <w:color w:val="auto"/>
              </w:rPr>
              <w:t>Property, plant and equipment, net</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71"/>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right-of-use assets, net</w:t>
            </w:r>
          </w:p>
        </w:tc>
        <w:tc>
          <w:tcPr>
            <w:tcW w:w="1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current liabilities</w:t>
            </w:r>
          </w:p>
        </w:tc>
        <w:tc>
          <w:tcPr>
            <w:tcW w:w="36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Current portion of operating lease obligations</w:t>
            </w: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Finance lease current liabilities</w:t>
            </w:r>
          </w:p>
        </w:tc>
        <w:tc>
          <w:tcPr>
            <w:tcW w:w="36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i w:val="1"/>
                <w:iCs w:val="1"/>
                <w:color w:val="auto"/>
              </w:rPr>
              <w:t>Current portion of finance lease obligations</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lease liabilities</w:t>
            </w:r>
          </w:p>
        </w:tc>
        <w:tc>
          <w:tcPr>
            <w:tcW w:w="1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non-current liabilities</w:t>
            </w:r>
          </w:p>
        </w:tc>
        <w:tc>
          <w:tcPr>
            <w:tcW w:w="3640" w:type="dxa"/>
            <w:vAlign w:val="bottom"/>
            <w:gridSpan w:val="3"/>
            <w:shd w:val="clear" w:color="auto" w:fill="CCEEFF"/>
          </w:tcPr>
          <w:p>
            <w:pPr>
              <w:ind w:left="20"/>
              <w:spacing w:after="0"/>
              <w:rPr>
                <w:sz w:val="20"/>
                <w:szCs w:val="20"/>
                <w:color w:val="auto"/>
              </w:rPr>
            </w:pPr>
            <w:r>
              <w:rPr>
                <w:rFonts w:ascii="Arial" w:cs="Arial" w:eastAsia="Arial" w:hAnsi="Arial"/>
                <w:sz w:val="14"/>
                <w:szCs w:val="14"/>
                <w:i w:val="1"/>
                <w:iCs w:val="1"/>
                <w:color w:val="auto"/>
              </w:rPr>
              <w:t>Obligations under operating leases, net of current portion</w:t>
            </w: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21,533</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Finance lease non-current liabilities</w:t>
            </w:r>
          </w:p>
        </w:tc>
        <w:tc>
          <w:tcPr>
            <w:tcW w:w="36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i w:val="1"/>
                <w:iCs w:val="1"/>
                <w:color w:val="auto"/>
              </w:rPr>
              <w:t>Obligations under finance leases, net of current portion</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non-current lease liabilities</w:t>
            </w:r>
          </w:p>
        </w:tc>
        <w:tc>
          <w:tcPr>
            <w:tcW w:w="1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27,387</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5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2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c>
          <w:tcPr>
            <w:tcW w:w="16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29,231</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gridSpan w:val="5"/>
            <w:vMerge w:val="restart"/>
          </w:tcPr>
          <w:p>
            <w:pPr>
              <w:ind w:left="320"/>
              <w:spacing w:after="0"/>
              <w:rPr>
                <w:sz w:val="20"/>
                <w:szCs w:val="20"/>
                <w:color w:val="auto"/>
              </w:rPr>
            </w:pPr>
            <w:r>
              <w:rPr>
                <w:rFonts w:ascii="Arial" w:cs="Arial" w:eastAsia="Arial" w:hAnsi="Arial"/>
                <w:sz w:val="14"/>
                <w:szCs w:val="14"/>
                <w:color w:val="auto"/>
              </w:rPr>
              <w:t>The average lease terms and discount rates as of December 31, 2020 are as follows: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36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98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Weighted-average remaining lease term (years)</w:t>
            </w:r>
          </w:p>
        </w:tc>
        <w:tc>
          <w:tcPr>
            <w:tcW w:w="29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Weighted-average discount rate</w:t>
            </w:r>
          </w:p>
        </w:tc>
        <w:tc>
          <w:tcPr>
            <w:tcW w:w="0" w:type="dxa"/>
            <w:vAlign w:val="bottom"/>
          </w:tcPr>
          <w:p>
            <w:pPr>
              <w:spacing w:after="0"/>
              <w:rPr>
                <w:sz w:val="1"/>
                <w:szCs w:val="1"/>
                <w:color w:val="auto"/>
              </w:rPr>
            </w:pPr>
          </w:p>
        </w:tc>
      </w:tr>
      <w:tr>
        <w:trPr>
          <w:trHeight w:val="173"/>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6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Finance leases</w:t>
            </w:r>
          </w:p>
        </w:tc>
        <w:tc>
          <w:tcPr>
            <w:tcW w:w="1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2"/>
          </w:tcPr>
          <w:p>
            <w:pPr>
              <w:ind w:left="1860"/>
              <w:spacing w:after="0"/>
              <w:rPr>
                <w:sz w:val="20"/>
                <w:szCs w:val="20"/>
                <w:color w:val="auto"/>
              </w:rPr>
            </w:pPr>
            <w:r>
              <w:rPr>
                <w:rFonts w:ascii="Arial" w:cs="Arial" w:eastAsia="Arial" w:hAnsi="Arial"/>
                <w:sz w:val="14"/>
                <w:szCs w:val="14"/>
                <w:color w:val="auto"/>
              </w:rPr>
              <w:t>84</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aggregate future lease payments for operating and finance leases as of December 31, 2020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Operating</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rPr>
              <w:t>Finance</w:t>
            </w:r>
          </w:p>
        </w:tc>
      </w:tr>
      <w:tr>
        <w:trPr>
          <w:trHeight w:val="162"/>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payments due:</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2021</w:t>
            </w:r>
          </w:p>
        </w:tc>
        <w:tc>
          <w:tcPr>
            <w:tcW w:w="1080" w:type="dxa"/>
            <w:vAlign w:val="bottom"/>
          </w:tcPr>
          <w:p>
            <w:pPr>
              <w:jc w:val="right"/>
              <w:ind w:right="91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3,794</w:t>
            </w:r>
          </w:p>
        </w:tc>
        <w:tc>
          <w:tcPr>
            <w:tcW w:w="16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836</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2023</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3,301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860</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r>
      <w:tr>
        <w:trPr>
          <w:trHeight w:val="180"/>
        </w:trPr>
        <w:tc>
          <w:tcPr>
            <w:tcW w:w="7960" w:type="dxa"/>
            <w:vAlign w:val="bottom"/>
          </w:tcPr>
          <w:p>
            <w:pPr>
              <w:ind w:left="20"/>
              <w:spacing w:after="0"/>
              <w:rPr>
                <w:sz w:val="20"/>
                <w:szCs w:val="20"/>
                <w:color w:val="auto"/>
              </w:rPr>
            </w:pPr>
            <w:r>
              <w:rPr>
                <w:rFonts w:ascii="Arial" w:cs="Arial" w:eastAsia="Arial" w:hAnsi="Arial"/>
                <w:sz w:val="14"/>
                <w:szCs w:val="14"/>
                <w:color w:val="auto"/>
              </w:rPr>
              <w:t>2025</w:t>
            </w: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3,156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736</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10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16,188</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5,555</w:t>
            </w:r>
          </w:p>
        </w:tc>
      </w:tr>
      <w:tr>
        <w:trPr>
          <w:trHeight w:val="170"/>
        </w:trPr>
        <w:tc>
          <w:tcPr>
            <w:tcW w:w="7960" w:type="dxa"/>
            <w:vAlign w:val="bottom"/>
          </w:tcPr>
          <w:p>
            <w:pPr>
              <w:ind w:left="20"/>
              <w:spacing w:after="0"/>
              <w:rPr>
                <w:sz w:val="20"/>
                <w:szCs w:val="20"/>
                <w:color w:val="auto"/>
              </w:rPr>
            </w:pPr>
            <w:r>
              <w:rPr>
                <w:rFonts w:ascii="Arial" w:cs="Arial" w:eastAsia="Arial" w:hAnsi="Arial"/>
                <w:sz w:val="14"/>
                <w:szCs w:val="14"/>
                <w:color w:val="auto"/>
              </w:rPr>
              <w:t>Total lease payments</w:t>
            </w:r>
          </w:p>
        </w:tc>
        <w:tc>
          <w:tcPr>
            <w:tcW w:w="1080" w:type="dxa"/>
            <w:vAlign w:val="bottom"/>
          </w:tcPr>
          <w:p>
            <w:pPr>
              <w:jc w:val="right"/>
              <w:ind w:right="91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33,153</w:t>
            </w:r>
          </w:p>
        </w:tc>
        <w:tc>
          <w:tcPr>
            <w:tcW w:w="16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9,638</w:t>
            </w:r>
          </w:p>
        </w:tc>
      </w:tr>
      <w:tr>
        <w:trPr>
          <w:trHeight w:val="180"/>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w:t>
            </w:r>
          </w:p>
        </w:tc>
        <w:tc>
          <w:tcPr>
            <w:tcW w:w="10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(10,769)</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(3,784)</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color w:val="auto"/>
              </w:rPr>
              <w:t>Present value of lease liabilities</w:t>
            </w:r>
          </w:p>
        </w:tc>
        <w:tc>
          <w:tcPr>
            <w:tcW w:w="108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22,384</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5,854</w:t>
            </w:r>
          </w:p>
        </w:tc>
      </w:tr>
      <w:tr>
        <w:trPr>
          <w:trHeight w:val="20"/>
        </w:trPr>
        <w:tc>
          <w:tcPr>
            <w:tcW w:w="7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2020, we had no additional significant operating or finance leases that had not yet commenced.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Non-Compete, Consulting and Employment Agreements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have various non-compete agreements with former owners and employees. These agreements are generally for one to ten years and provide for periodic future payments over the term of the agreements.</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have various consulting agreements with former owners of businesses we have acquired. Payments for such agreements are generally not made in advance. These agreements are generally for one to five years and provide for bi-weekly or monthly payments.</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have employment agreements with our executive officers and certain of our senior leadership. These agreements are generally for three to five years and provide for participation in various incentive compensation arrangements. These agreements generally renew automatically on an annual basis after their initial term has expired.</w:t>
      </w:r>
    </w:p>
    <w:p>
      <w:pPr>
        <w:spacing w:after="0" w:line="48"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4"/>
          <w:szCs w:val="14"/>
          <w:color w:val="auto"/>
        </w:rPr>
        <w:t>At December 31, 2020, the maximum estimated future cash commitments under these agreements with remaining commitment terms, and with original terms of more than one year, are as follows (in thousands):</w:t>
      </w: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Non-Compete</w:t>
            </w: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b w:val="1"/>
                <w:bCs w:val="1"/>
                <w:color w:val="auto"/>
              </w:rPr>
              <w:t>Consulting</w:t>
            </w:r>
          </w:p>
        </w:tc>
        <w:tc>
          <w:tcPr>
            <w:tcW w:w="200" w:type="dxa"/>
            <w:vAlign w:val="bottom"/>
          </w:tcPr>
          <w:p>
            <w:pPr>
              <w:spacing w:after="0"/>
              <w:rPr>
                <w:sz w:val="14"/>
                <w:szCs w:val="14"/>
                <w:color w:val="auto"/>
              </w:rPr>
            </w:pPr>
          </w:p>
        </w:tc>
        <w:tc>
          <w:tcPr>
            <w:tcW w:w="1420" w:type="dxa"/>
            <w:vAlign w:val="bottom"/>
            <w:gridSpan w:val="2"/>
          </w:tcPr>
          <w:p>
            <w:pPr>
              <w:ind w:left="120"/>
              <w:spacing w:after="0" w:line="170" w:lineRule="exact"/>
              <w:rPr>
                <w:sz w:val="20"/>
                <w:szCs w:val="20"/>
                <w:color w:val="auto"/>
              </w:rPr>
            </w:pPr>
            <w:r>
              <w:rPr>
                <w:rFonts w:ascii="Arial" w:cs="Arial" w:eastAsia="Arial" w:hAnsi="Arial"/>
                <w:sz w:val="13"/>
                <w:szCs w:val="13"/>
                <w:b w:val="1"/>
                <w:bCs w:val="1"/>
                <w:color w:val="auto"/>
              </w:rPr>
              <w:t>Employment</w:t>
            </w:r>
            <w:r>
              <w:rPr>
                <w:rFonts w:ascii="Arial" w:cs="Arial" w:eastAsia="Arial" w:hAnsi="Arial"/>
                <w:sz w:val="16"/>
                <w:szCs w:val="16"/>
                <w:b w:val="1"/>
                <w:bCs w:val="1"/>
                <w:color w:val="auto"/>
                <w:vertAlign w:val="superscript"/>
              </w:rPr>
              <w:t>(a)</w:t>
            </w:r>
          </w:p>
        </w:tc>
        <w:tc>
          <w:tcPr>
            <w:tcW w:w="320" w:type="dxa"/>
            <w:vAlign w:val="bottom"/>
          </w:tcPr>
          <w:p>
            <w:pPr>
              <w:spacing w:after="0"/>
              <w:rPr>
                <w:sz w:val="14"/>
                <w:szCs w:val="14"/>
                <w:color w:val="auto"/>
              </w:rPr>
            </w:pPr>
          </w:p>
        </w:tc>
        <w:tc>
          <w:tcPr>
            <w:tcW w:w="1100" w:type="dxa"/>
            <w:vAlign w:val="bottom"/>
          </w:tcPr>
          <w:p>
            <w:pPr>
              <w:jc w:val="right"/>
              <w:ind w:right="510"/>
              <w:spacing w:after="0"/>
              <w:rPr>
                <w:sz w:val="20"/>
                <w:szCs w:val="20"/>
                <w:color w:val="auto"/>
              </w:rPr>
            </w:pPr>
            <w:r>
              <w:rPr>
                <w:rFonts w:ascii="Arial" w:cs="Arial" w:eastAsia="Arial" w:hAnsi="Arial"/>
                <w:sz w:val="13"/>
                <w:szCs w:val="13"/>
                <w:b w:val="1"/>
                <w:bCs w:val="1"/>
                <w:color w:val="auto"/>
              </w:rPr>
              <w:t>Total</w:t>
            </w:r>
          </w:p>
        </w:tc>
      </w:tr>
      <w:tr>
        <w:trPr>
          <w:trHeight w:val="160"/>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80"/>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3,456</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5,562</w:t>
            </w:r>
          </w:p>
        </w:tc>
      </w:tr>
      <w:tr>
        <w:trPr>
          <w:trHeight w:val="180"/>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2023</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1,705</w:t>
            </w:r>
          </w:p>
        </w:tc>
      </w:tr>
      <w:tr>
        <w:trPr>
          <w:trHeight w:val="180"/>
        </w:trPr>
        <w:tc>
          <w:tcPr>
            <w:tcW w:w="5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2025</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80"/>
        </w:trPr>
        <w:tc>
          <w:tcPr>
            <w:tcW w:w="5000" w:type="dxa"/>
            <w:vAlign w:val="bottom"/>
          </w:tcPr>
          <w:p>
            <w:pPr>
              <w:ind w:left="18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1,912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2,351</w:t>
            </w:r>
          </w:p>
        </w:tc>
      </w:tr>
      <w:tr>
        <w:trPr>
          <w:trHeight w:val="196"/>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12,078</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87630</wp:posOffset>
            </wp:positionV>
            <wp:extent cx="686625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66255" cy="6985"/>
                    </a:xfrm>
                    <a:prstGeom prst="rect">
                      <a:avLst/>
                    </a:prstGeom>
                    <a:noFill/>
                  </pic:spPr>
                </pic:pic>
              </a:graphicData>
            </a:graphic>
          </wp:anchor>
        </w:drawing>
      </w:r>
    </w:p>
    <w:p>
      <w:pPr>
        <w:spacing w:after="0" w:line="132" w:lineRule="exact"/>
        <w:rPr>
          <w:sz w:val="20"/>
          <w:szCs w:val="20"/>
          <w:color w:val="auto"/>
        </w:rPr>
      </w:pPr>
    </w:p>
    <w:p>
      <w:pPr>
        <w:ind w:left="440" w:right="40" w:hanging="384"/>
        <w:spacing w:after="0" w:line="231" w:lineRule="auto"/>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Melvin C. Payne, our Chairman of the Board and Chief Executive Officer, has an employment agreement that does not renew after the initial term. See Note 25 to the Consolidated Financial Statements included herein for additional information regarding Mr. Payne's employment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Defined Contribution Plan</w:t>
      </w:r>
    </w:p>
    <w:p>
      <w:pPr>
        <w:spacing w:after="0" w:line="93"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We sponsor a defined contribution plan, a 401K plan, for the benefit of our employees. Matching contributions and plan administrative expenses totaled $2.1 million, $2.0 million and $2.3 million during the years ended December 31, 2018, 2019 and 2020, respectively. We do not offer any post-retirement or post-employment benefits.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Litigation</w:t>
      </w:r>
    </w:p>
    <w:p>
      <w:pPr>
        <w:spacing w:after="0" w:line="93" w:lineRule="exact"/>
        <w:rPr>
          <w:sz w:val="20"/>
          <w:szCs w:val="20"/>
          <w:color w:val="auto"/>
        </w:rPr>
      </w:pPr>
    </w:p>
    <w:p>
      <w:pPr>
        <w:ind w:firstLine="318"/>
        <w:spacing w:after="0" w:line="320" w:lineRule="auto"/>
        <w:rPr>
          <w:sz w:val="20"/>
          <w:szCs w:val="20"/>
          <w:color w:val="auto"/>
        </w:rPr>
      </w:pPr>
      <w:r>
        <w:rPr>
          <w:rFonts w:ascii="Arial" w:cs="Arial" w:eastAsia="Arial" w:hAnsi="Arial"/>
          <w:sz w:val="13"/>
          <w:szCs w:val="13"/>
          <w:color w:val="auto"/>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accruals. We hold certain insurance policies that may reduce cash outflows with respect to an adverse outcome of certain of these litigation matters.</w:t>
      </w:r>
    </w:p>
    <w:p>
      <w:pPr>
        <w:spacing w:after="0" w:line="93"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i w:val="1"/>
          <w:iCs w:val="1"/>
          <w:color w:val="auto"/>
        </w:rPr>
        <w:t xml:space="preserve">Faria, et al. v. Carriage Funeral Holdings, Inc., </w:t>
      </w:r>
      <w:r>
        <w:rPr>
          <w:rFonts w:ascii="Arial" w:cs="Arial" w:eastAsia="Arial" w:hAnsi="Arial"/>
          <w:sz w:val="14"/>
          <w:szCs w:val="14"/>
          <w:color w:val="auto"/>
        </w:rPr>
        <w:t>Superior Court of California, Contra Costa County, Case No. MSC18-00606. On March 26, 2018, six Plaintiffs filed a putative class action</w:t>
      </w:r>
      <w:r>
        <w:rPr>
          <w:rFonts w:ascii="Arial" w:cs="Arial" w:eastAsia="Arial" w:hAnsi="Arial"/>
          <w:sz w:val="14"/>
          <w:szCs w:val="14"/>
          <w:i w:val="1"/>
          <w:iCs w:val="1"/>
          <w:color w:val="auto"/>
        </w:rPr>
        <w:t xml:space="preserve"> </w:t>
      </w:r>
      <w:r>
        <w:rPr>
          <w:rFonts w:ascii="Arial" w:cs="Arial" w:eastAsia="Arial" w:hAnsi="Arial"/>
          <w:sz w:val="14"/>
          <w:szCs w:val="14"/>
          <w:color w:val="auto"/>
        </w:rPr>
        <w:t>against Carriage Funeral Holdings, Inc., our subsidiary, their alleged employer, on behalf of themselves and all similarly situated current and former employees. Plaintiffs seek monetary damages and claim that Carriage Funeral Holdings, Inc. failed to pay minimum wages, provide meal and rest breaks, provide accurately itemized wage statements, reimburse employees for required expenses, and provide wages when due. Plaintiffs also claim that Carriage Funeral Holdings, Inc. violated California Business and Professions Code §17200 et seq. On June 5, 2018, Plaintiffs filed a First Amended Complaint to add a claim under the California Private Attorney General Act. On October 23, 2018, the parties mediated this matter and executed a Memorandum of Understanding for class settlement. In February 2019, a Class Action Settlement Agreement was fully executed and was approved by the Court in October 2019. We paid $0.7 million under the settlement agreement in November 2019. This case was formally closed on May 25, 2020.</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INCOME TAXES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provision for income taxes consisted of the following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2018</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2020</w:t>
            </w:r>
          </w:p>
        </w:tc>
      </w:tr>
      <w:tr>
        <w:trPr>
          <w:trHeight w:val="16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6620" w:type="dxa"/>
            <w:vAlign w:val="bottom"/>
          </w:tcPr>
          <w:p>
            <w:pPr>
              <w:ind w:left="180"/>
              <w:spacing w:after="0"/>
              <w:rPr>
                <w:sz w:val="20"/>
                <w:szCs w:val="20"/>
                <w:color w:val="auto"/>
              </w:rPr>
            </w:pPr>
            <w:r>
              <w:rPr>
                <w:rFonts w:ascii="Arial" w:cs="Arial" w:eastAsia="Arial" w:hAnsi="Arial"/>
                <w:sz w:val="14"/>
                <w:szCs w:val="14"/>
                <w:color w:val="auto"/>
              </w:rPr>
              <w:t>U. S. federal provision (benefit)</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1,489</w:t>
            </w:r>
          </w:p>
        </w:tc>
        <w:tc>
          <w:tcPr>
            <w:tcW w:w="5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(2,039)</w:t>
            </w:r>
          </w:p>
        </w:tc>
        <w:tc>
          <w:tcPr>
            <w:tcW w:w="2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1,778</w:t>
            </w:r>
          </w:p>
        </w:tc>
      </w:tr>
      <w:tr>
        <w:trPr>
          <w:trHeight w:val="180"/>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provision (benefit)</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w:t>
            </w:r>
          </w:p>
        </w:tc>
      </w:tr>
      <w:tr>
        <w:trPr>
          <w:trHeight w:val="170"/>
        </w:trPr>
        <w:tc>
          <w:tcPr>
            <w:tcW w:w="6620" w:type="dxa"/>
            <w:vAlign w:val="bottom"/>
          </w:tcPr>
          <w:p>
            <w:pPr>
              <w:ind w:left="20"/>
              <w:spacing w:after="0" w:line="160" w:lineRule="exact"/>
              <w:rPr>
                <w:sz w:val="20"/>
                <w:szCs w:val="20"/>
                <w:color w:val="auto"/>
              </w:rPr>
            </w:pPr>
            <w:r>
              <w:rPr>
                <w:rFonts w:ascii="Arial" w:cs="Arial" w:eastAsia="Arial" w:hAnsi="Arial"/>
                <w:sz w:val="14"/>
                <w:szCs w:val="14"/>
                <w:color w:val="auto"/>
              </w:rPr>
              <w:t>Total current provision (benefit)</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2,798</w:t>
            </w:r>
          </w:p>
        </w:tc>
        <w:tc>
          <w:tcPr>
            <w:tcW w:w="2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(2,234)</w:t>
            </w:r>
          </w:p>
        </w:tc>
        <w:tc>
          <w:tcPr>
            <w:tcW w:w="200" w:type="dxa"/>
            <w:vAlign w:val="bottom"/>
          </w:tcPr>
          <w:p>
            <w:pPr>
              <w:spacing w:after="0"/>
              <w:rPr>
                <w:sz w:val="14"/>
                <w:szCs w:val="14"/>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3,955</w:t>
            </w:r>
          </w:p>
        </w:tc>
      </w:tr>
      <w:tr>
        <w:trPr>
          <w:trHeight w:val="18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6620" w:type="dxa"/>
            <w:vAlign w:val="bottom"/>
          </w:tcPr>
          <w:p>
            <w:pPr>
              <w:ind w:left="180"/>
              <w:spacing w:after="0"/>
              <w:rPr>
                <w:sz w:val="20"/>
                <w:szCs w:val="20"/>
                <w:color w:val="auto"/>
              </w:rPr>
            </w:pPr>
            <w:r>
              <w:rPr>
                <w:rFonts w:ascii="Arial" w:cs="Arial" w:eastAsia="Arial" w:hAnsi="Arial"/>
                <w:sz w:val="14"/>
                <w:szCs w:val="14"/>
                <w:color w:val="auto"/>
              </w:rPr>
              <w:t>U. S. federal provision</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2,831</w:t>
            </w:r>
          </w:p>
        </w:tc>
        <w:tc>
          <w:tcPr>
            <w:tcW w:w="5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8,056</w:t>
            </w:r>
          </w:p>
        </w:tc>
        <w:tc>
          <w:tcPr>
            <w:tcW w:w="2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3,994</w:t>
            </w:r>
          </w:p>
        </w:tc>
      </w:tr>
      <w:tr>
        <w:trPr>
          <w:trHeight w:val="180"/>
        </w:trPr>
        <w:tc>
          <w:tcPr>
            <w:tcW w:w="6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provision</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2,061</w:t>
            </w: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70"/>
        </w:trPr>
        <w:tc>
          <w:tcPr>
            <w:tcW w:w="662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Total deferred provision</w:t>
            </w: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3,823</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10,117</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4,597</w:t>
            </w:r>
          </w:p>
        </w:tc>
      </w:tr>
      <w:tr>
        <w:trPr>
          <w:trHeight w:val="196"/>
        </w:trPr>
        <w:tc>
          <w:tcPr>
            <w:tcW w:w="662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income tax provision</w:t>
            </w: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6,621</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7,883</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reconciliation of income taxes calculated at the U.S. federal statutory rate to those reflected in the Consolidated Statements of Operations is as follows (dollars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9"/>
              </w:rPr>
              <w:t>Years Ended December 31,</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60"/>
        </w:trPr>
        <w:tc>
          <w:tcPr>
            <w:tcW w:w="4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60"/>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170"/>
              <w:spacing w:after="0"/>
              <w:rPr>
                <w:sz w:val="20"/>
                <w:szCs w:val="20"/>
                <w:color w:val="auto"/>
              </w:rPr>
            </w:pPr>
            <w:r>
              <w:rPr>
                <w:rFonts w:ascii="Arial" w:cs="Arial" w:eastAsia="Arial" w:hAnsi="Arial"/>
                <w:sz w:val="13"/>
                <w:szCs w:val="13"/>
                <w:b w:val="1"/>
                <w:bCs w:val="1"/>
                <w:color w:val="auto"/>
              </w:rPr>
              <w:t>Percent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170"/>
              <w:spacing w:after="0"/>
              <w:rPr>
                <w:sz w:val="20"/>
                <w:szCs w:val="20"/>
                <w:color w:val="auto"/>
              </w:rPr>
            </w:pPr>
            <w:r>
              <w:rPr>
                <w:rFonts w:ascii="Arial" w:cs="Arial" w:eastAsia="Arial" w:hAnsi="Arial"/>
                <w:sz w:val="13"/>
                <w:szCs w:val="13"/>
                <w:b w:val="1"/>
                <w:bCs w:val="1"/>
                <w:color w:val="auto"/>
              </w:rPr>
              <w:t>Percent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170"/>
              <w:spacing w:after="0"/>
              <w:rPr>
                <w:sz w:val="20"/>
                <w:szCs w:val="20"/>
                <w:color w:val="auto"/>
              </w:rPr>
            </w:pPr>
            <w:r>
              <w:rPr>
                <w:rFonts w:ascii="Arial" w:cs="Arial" w:eastAsia="Arial" w:hAnsi="Arial"/>
                <w:sz w:val="13"/>
                <w:szCs w:val="13"/>
                <w:b w:val="1"/>
                <w:bCs w:val="1"/>
                <w:color w:val="auto"/>
              </w:rPr>
              <w:t>Percent</w:t>
            </w:r>
          </w:p>
        </w:tc>
        <w:tc>
          <w:tcPr>
            <w:tcW w:w="280" w:type="dxa"/>
            <w:vAlign w:val="bottom"/>
          </w:tcPr>
          <w:p>
            <w:pPr>
              <w:spacing w:after="0"/>
              <w:rPr>
                <w:sz w:val="13"/>
                <w:szCs w:val="13"/>
                <w:color w:val="auto"/>
              </w:rPr>
            </w:pPr>
          </w:p>
        </w:tc>
      </w:tr>
      <w:tr>
        <w:trPr>
          <w:trHeight w:val="17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statutory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80" w:type="dxa"/>
            <w:vAlign w:val="bottom"/>
            <w:tcBorders>
              <w:top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6"/>
              </w:rPr>
              <w:t>%</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80" w:type="dxa"/>
            <w:vAlign w:val="bottom"/>
            <w:tcBorders>
              <w:top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80" w:type="dxa"/>
            <w:vAlign w:val="bottom"/>
            <w:tcBorders>
              <w:top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6"/>
              </w:rPr>
              <w:t>%</w:t>
            </w: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Effect of state income taxes, net of federal benefit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280" w:type="dxa"/>
            <w:vAlign w:val="bottom"/>
          </w:tcPr>
          <w:p>
            <w:pPr>
              <w:spacing w:after="0"/>
              <w:rPr>
                <w:sz w:val="15"/>
                <w:szCs w:val="15"/>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non-deductible expenses and other, net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spacing w:after="0"/>
              <w:rPr>
                <w:sz w:val="15"/>
                <w:szCs w:val="15"/>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Effect of divestitures and impairment of businesses</w:t>
            </w:r>
          </w:p>
        </w:tc>
        <w:tc>
          <w:tcPr>
            <w:tcW w:w="14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5"/>
                <w:szCs w:val="15"/>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r>
      <w:tr>
        <w:trPr>
          <w:trHeight w:val="180"/>
        </w:trPr>
        <w:tc>
          <w:tcPr>
            <w:tcW w:w="4780" w:type="dxa"/>
            <w:vAlign w:val="bottom"/>
          </w:tcPr>
          <w:p>
            <w:pPr>
              <w:ind w:left="20"/>
              <w:spacing w:after="0"/>
              <w:rPr>
                <w:sz w:val="20"/>
                <w:szCs w:val="20"/>
                <w:color w:val="auto"/>
              </w:rPr>
            </w:pPr>
            <w:r>
              <w:rPr>
                <w:rFonts w:ascii="Arial" w:cs="Arial" w:eastAsia="Arial" w:hAnsi="Arial"/>
                <w:sz w:val="14"/>
                <w:szCs w:val="14"/>
                <w:color w:val="auto"/>
              </w:rPr>
              <w:t>Re-measurement of deferred taxes due to tax reform</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r>
      <w:tr>
        <w:trPr>
          <w:trHeight w:val="171"/>
        </w:trPr>
        <w:tc>
          <w:tcPr>
            <w:tcW w:w="4780" w:type="dxa"/>
            <w:vAlign w:val="bottom"/>
          </w:tcPr>
          <w:p>
            <w:pPr>
              <w:ind w:left="20"/>
              <w:spacing w:after="0" w:line="160"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280" w:type="dxa"/>
            <w:vAlign w:val="bottom"/>
          </w:tcPr>
          <w:p>
            <w:pPr>
              <w:jc w:val="right"/>
              <w:ind w:right="69"/>
              <w:spacing w:after="0"/>
              <w:rPr>
                <w:sz w:val="20"/>
                <w:szCs w:val="20"/>
                <w:color w:val="auto"/>
              </w:rPr>
            </w:pPr>
            <w:r>
              <w:rPr>
                <w:rFonts w:ascii="Arial" w:cs="Arial" w:eastAsia="Arial" w:hAnsi="Arial"/>
                <w:sz w:val="14"/>
                <w:szCs w:val="14"/>
                <w:color w:val="auto"/>
                <w:w w:val="96"/>
              </w:rPr>
              <w: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280" w:type="dxa"/>
            <w:vAlign w:val="bottom"/>
          </w:tcPr>
          <w:p>
            <w:pPr>
              <w:jc w:val="right"/>
              <w:ind w:right="89"/>
              <w:spacing w:after="0"/>
              <w:rPr>
                <w:sz w:val="20"/>
                <w:szCs w:val="20"/>
                <w:color w:val="auto"/>
              </w:rPr>
            </w:pPr>
            <w:r>
              <w:rPr>
                <w:rFonts w:ascii="Arial" w:cs="Arial" w:eastAsia="Arial" w:hAnsi="Arial"/>
                <w:sz w:val="14"/>
                <w:szCs w:val="14"/>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8,552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280" w:type="dxa"/>
            <w:vAlign w:val="bottom"/>
          </w:tcPr>
          <w:p>
            <w:pPr>
              <w:jc w:val="right"/>
              <w:ind w:right="69"/>
              <w:spacing w:after="0"/>
              <w:rPr>
                <w:sz w:val="20"/>
                <w:szCs w:val="20"/>
                <w:color w:val="auto"/>
              </w:rPr>
            </w:pPr>
            <w:r>
              <w:rPr>
                <w:rFonts w:ascii="Arial" w:cs="Arial" w:eastAsia="Arial" w:hAnsi="Arial"/>
                <w:sz w:val="14"/>
                <w:szCs w:val="14"/>
                <w:color w:val="auto"/>
                <w:w w:val="96"/>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Discrete tax expense for the year ended December 31, 2020 includes $0.1 million expense related to stock based compensation and $0.5 million primarily related to return to provision adjustments, state legislative changes and other discrete items.</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We are subject to taxation in the United States and various states. As of December 31, 2020, tax years 2013 to 2019 are subject to examination by taxing authorities. On May 10, 2017, we filed amended federal returns for the tax years ended December 31, 2013, 2014 and 2015, which generated refunds of approximately $1.9 million. The amended returns are under audit and as a result, the administrative processing of the carryback claims requires that the statute for tax years 2013 to 2015 remains open.</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In connection with the 2019 stock acquisition of Calvary Memorial Park cemetery in Fairfax, Virginia, a 338(h)(10) election was filed April 24, 2020, which allowed the basis in the acquired assets to be stepped up to fair market value.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On June 30, 2020, Carriage filed a carryback claim for a refund for the tax year ended December 31, 2018, for $7.0 million. The requested refund was received on August 7, 2020. On November 3, 2020, Carriage filed a carryback claim for refund for the tax year ended December 31, 2019, for $1.2 million. The requested refund for tax year 2019 has not yet been received. On December 4, 2020, Carriage filed an amended federal return for the tax year ended December 31, 2018, in order to take full advantage of the CARES Act legislative changes. The changes reported in the amended return resulted in additional $2.3 million of loss. The additional losses generated from the amended filing will be administratively carried back and processed as part of the Joint Committee review of the 2018 carryback claim.</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tax effects of temporary differences from total operations that give rise to significant deferred tax assets and liabilities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3"/>
                <w:szCs w:val="13"/>
                <w:b w:val="1"/>
                <w:bCs w:val="1"/>
                <w:color w:val="auto"/>
                <w:w w:val="93"/>
              </w:rPr>
              <w:t>Years Ended December 31,</w:t>
            </w:r>
          </w:p>
        </w:tc>
        <w:tc>
          <w:tcPr>
            <w:tcW w:w="680" w:type="dxa"/>
            <w:vAlign w:val="bottom"/>
            <w:tcBorders>
              <w:bottom w:val="single" w:sz="8" w:color="auto"/>
            </w:tcBorders>
          </w:tcPr>
          <w:p>
            <w:pPr>
              <w:spacing w:after="0"/>
              <w:rPr>
                <w:sz w:val="14"/>
                <w:szCs w:val="14"/>
                <w:color w:val="auto"/>
              </w:rPr>
            </w:pPr>
          </w:p>
        </w:tc>
      </w:tr>
      <w:tr>
        <w:trPr>
          <w:trHeight w:val="160"/>
        </w:trPr>
        <w:tc>
          <w:tcPr>
            <w:tcW w:w="77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3"/>
                <w:szCs w:val="13"/>
                <w:color w:val="auto"/>
              </w:rPr>
            </w:pPr>
          </w:p>
        </w:tc>
      </w:tr>
      <w:tr>
        <w:trPr>
          <w:trHeight w:val="162"/>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assets:</w:t>
            </w:r>
          </w:p>
        </w:tc>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0"/>
        </w:trPr>
        <w:tc>
          <w:tcPr>
            <w:tcW w:w="7760" w:type="dxa"/>
            <w:vAlign w:val="bottom"/>
          </w:tcPr>
          <w:p>
            <w:pPr>
              <w:ind w:left="180"/>
              <w:spacing w:after="0"/>
              <w:rPr>
                <w:sz w:val="20"/>
                <w:szCs w:val="20"/>
                <w:color w:val="auto"/>
              </w:rPr>
            </w:pPr>
            <w:r>
              <w:rPr>
                <w:rFonts w:ascii="Arial" w:cs="Arial" w:eastAsia="Arial" w:hAnsi="Arial"/>
                <w:sz w:val="14"/>
                <w:szCs w:val="14"/>
                <w:color w:val="auto"/>
              </w:rPr>
              <w:t>Net operating loss carryforwards</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3,602</w:t>
            </w:r>
          </w:p>
        </w:tc>
        <w:tc>
          <w:tcPr>
            <w:tcW w:w="240" w:type="dxa"/>
            <w:vAlign w:val="bottom"/>
          </w:tcPr>
          <w:p>
            <w:pPr>
              <w:spacing w:after="0"/>
              <w:rPr>
                <w:sz w:val="15"/>
                <w:szCs w:val="15"/>
                <w:color w:val="auto"/>
              </w:rPr>
            </w:pP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1,570</w:t>
            </w:r>
          </w:p>
        </w:tc>
      </w:tr>
      <w:tr>
        <w:trPr>
          <w:trHeight w:val="18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limitation</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0"/>
        </w:trPr>
        <w:tc>
          <w:tcPr>
            <w:tcW w:w="7760" w:type="dxa"/>
            <w:vAlign w:val="bottom"/>
          </w:tcPr>
          <w:p>
            <w:pPr>
              <w:ind w:left="180"/>
              <w:spacing w:after="0"/>
              <w:rPr>
                <w:sz w:val="20"/>
                <w:szCs w:val="20"/>
                <w:color w:val="auto"/>
              </w:rPr>
            </w:pPr>
            <w:r>
              <w:rPr>
                <w:rFonts w:ascii="Arial" w:cs="Arial" w:eastAsia="Arial" w:hAnsi="Arial"/>
                <w:sz w:val="14"/>
                <w:szCs w:val="14"/>
                <w:color w:val="auto"/>
              </w:rPr>
              <w:t>Tax credit carryforwards</w:t>
            </w:r>
          </w:p>
        </w:tc>
        <w:tc>
          <w:tcPr>
            <w:tcW w:w="9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depreciation</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w:t>
            </w:r>
          </w:p>
        </w:tc>
      </w:tr>
      <w:tr>
        <w:trPr>
          <w:trHeight w:val="180"/>
        </w:trPr>
        <w:tc>
          <w:tcPr>
            <w:tcW w:w="7760" w:type="dxa"/>
            <w:vAlign w:val="bottom"/>
          </w:tcPr>
          <w:p>
            <w:pPr>
              <w:ind w:left="180"/>
              <w:spacing w:after="0"/>
              <w:rPr>
                <w:sz w:val="20"/>
                <w:szCs w:val="20"/>
                <w:color w:val="auto"/>
              </w:rPr>
            </w:pPr>
            <w:r>
              <w:rPr>
                <w:rFonts w:ascii="Arial" w:cs="Arial" w:eastAsia="Arial" w:hAnsi="Arial"/>
                <w:sz w:val="14"/>
                <w:szCs w:val="14"/>
                <w:color w:val="auto"/>
              </w:rPr>
              <w:t>Accrued and other liabilities</w:t>
            </w:r>
          </w:p>
        </w:tc>
        <w:tc>
          <w:tcPr>
            <w:tcW w:w="9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5,124</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6,313</w:t>
            </w:r>
          </w:p>
        </w:tc>
      </w:tr>
      <w:tr>
        <w:trPr>
          <w:trHeight w:val="18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non-compete agreements</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r>
      <w:tr>
        <w:trPr>
          <w:trHeight w:val="180"/>
        </w:trPr>
        <w:tc>
          <w:tcPr>
            <w:tcW w:w="7760" w:type="dxa"/>
            <w:vAlign w:val="bottom"/>
          </w:tcPr>
          <w:p>
            <w:pPr>
              <w:ind w:left="180"/>
              <w:spacing w:after="0"/>
              <w:rPr>
                <w:sz w:val="20"/>
                <w:szCs w:val="20"/>
                <w:color w:val="auto"/>
              </w:rPr>
            </w:pPr>
            <w:r>
              <w:rPr>
                <w:rFonts w:ascii="Arial" w:cs="Arial" w:eastAsia="Arial" w:hAnsi="Arial"/>
                <w:sz w:val="14"/>
                <w:szCs w:val="14"/>
                <w:color w:val="auto"/>
              </w:rPr>
              <w:t>Prepaid and other assets</w:t>
            </w:r>
          </w:p>
        </w:tc>
        <w:tc>
          <w:tcPr>
            <w:tcW w:w="9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741</w:t>
            </w:r>
          </w:p>
        </w:tc>
      </w:tr>
      <w:tr>
        <w:trPr>
          <w:trHeight w:val="171"/>
        </w:trPr>
        <w:tc>
          <w:tcPr>
            <w:tcW w:w="776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Total deferred income tax assets</w:t>
            </w:r>
          </w:p>
        </w:tc>
        <w:tc>
          <w:tcPr>
            <w:tcW w:w="9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15,244</w:t>
            </w:r>
          </w:p>
        </w:tc>
        <w:tc>
          <w:tcPr>
            <w:tcW w:w="2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11,123</w:t>
            </w:r>
          </w:p>
        </w:tc>
      </w:tr>
      <w:tr>
        <w:trPr>
          <w:trHeight w:val="18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valuation allowance</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r>
      <w:tr>
        <w:trPr>
          <w:trHeight w:val="171"/>
        </w:trPr>
        <w:tc>
          <w:tcPr>
            <w:tcW w:w="77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Total deferred income tax assets</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15,010</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10,901</w:t>
            </w:r>
          </w:p>
        </w:tc>
      </w:tr>
      <w:tr>
        <w:trPr>
          <w:trHeight w:val="180"/>
        </w:trPr>
        <w:tc>
          <w:tcPr>
            <w:tcW w:w="776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(49,568)</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(50,946)</w:t>
            </w:r>
          </w:p>
        </w:tc>
      </w:tr>
      <w:tr>
        <w:trPr>
          <w:trHeight w:val="180"/>
        </w:trPr>
        <w:tc>
          <w:tcPr>
            <w:tcW w:w="7760" w:type="dxa"/>
            <w:vAlign w:val="bottom"/>
          </w:tcPr>
          <w:p>
            <w:pPr>
              <w:ind w:left="180"/>
              <w:spacing w:after="0"/>
              <w:rPr>
                <w:sz w:val="20"/>
                <w:szCs w:val="20"/>
                <w:color w:val="auto"/>
              </w:rPr>
            </w:pPr>
            <w:r>
              <w:rPr>
                <w:rFonts w:ascii="Arial" w:cs="Arial" w:eastAsia="Arial" w:hAnsi="Arial"/>
                <w:sz w:val="14"/>
                <w:szCs w:val="14"/>
                <w:color w:val="auto"/>
              </w:rPr>
              <w:t>Preneed liabilities</w:t>
            </w:r>
          </w:p>
        </w:tc>
        <w:tc>
          <w:tcPr>
            <w:tcW w:w="9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(6,446)</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(6,427)</w:t>
            </w:r>
          </w:p>
        </w:tc>
      </w:tr>
      <w:tr>
        <w:trPr>
          <w:trHeight w:val="18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subordinated notes due 2021</w:t>
            </w: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and other assets</w:t>
            </w:r>
          </w:p>
        </w:tc>
        <w:tc>
          <w:tcPr>
            <w:tcW w:w="9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7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Total deferred income tax liabilities</w:t>
            </w:r>
          </w:p>
        </w:tc>
        <w:tc>
          <w:tcPr>
            <w:tcW w:w="9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(56,378)</w:t>
            </w:r>
          </w:p>
        </w:tc>
        <w:tc>
          <w:tcPr>
            <w:tcW w:w="24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(57,378)</w:t>
            </w:r>
          </w:p>
        </w:tc>
      </w:tr>
      <w:tr>
        <w:trPr>
          <w:trHeight w:val="170"/>
        </w:trPr>
        <w:tc>
          <w:tcPr>
            <w:tcW w:w="7760" w:type="dxa"/>
            <w:vAlign w:val="bottom"/>
          </w:tcPr>
          <w:p>
            <w:pPr>
              <w:ind w:left="20"/>
              <w:spacing w:after="0" w:line="160" w:lineRule="exact"/>
              <w:rPr>
                <w:sz w:val="20"/>
                <w:szCs w:val="20"/>
                <w:color w:val="auto"/>
              </w:rPr>
            </w:pPr>
            <w:r>
              <w:rPr>
                <w:rFonts w:ascii="Arial" w:cs="Arial" w:eastAsia="Arial" w:hAnsi="Arial"/>
                <w:sz w:val="14"/>
                <w:szCs w:val="14"/>
                <w:color w:val="auto"/>
              </w:rPr>
              <w:t>Total net deferred tax liabilities</w:t>
            </w: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(41,368)</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(46,477)</w:t>
            </w:r>
          </w:p>
        </w:tc>
      </w:tr>
      <w:tr>
        <w:trPr>
          <w:trHeight w:val="20"/>
        </w:trPr>
        <w:tc>
          <w:tcPr>
            <w:tcW w:w="7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deferred tax assets and liabilities, along with related valuation allowances, are classified as non-current on our Consolidated Balance Sheet at December 31, 2019 and 2020.</w:t>
      </w:r>
    </w:p>
    <w:p>
      <w:pPr>
        <w:spacing w:after="0" w:line="105" w:lineRule="exact"/>
        <w:rPr>
          <w:sz w:val="20"/>
          <w:szCs w:val="20"/>
          <w:color w:val="auto"/>
        </w:rPr>
      </w:pPr>
    </w:p>
    <w:p>
      <w:pPr>
        <w:jc w:val="both"/>
        <w:ind w:firstLine="318"/>
        <w:spacing w:after="0" w:line="367" w:lineRule="auto"/>
        <w:rPr>
          <w:sz w:val="20"/>
          <w:szCs w:val="20"/>
          <w:color w:val="auto"/>
        </w:rPr>
      </w:pPr>
      <w:r>
        <w:rPr>
          <w:rFonts w:ascii="Arial" w:cs="Arial" w:eastAsia="Arial" w:hAnsi="Arial"/>
          <w:sz w:val="12"/>
          <w:szCs w:val="12"/>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 We recognized an immaterial net decrease in our valuation allowance during 2020.</w:t>
      </w:r>
    </w:p>
    <w:p>
      <w:pPr>
        <w:spacing w:after="0" w:line="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For state reporting purposes, we have $32.7 million of net operating loss carryforwards that will expire between 2021 and 2039, if not utilized. Based on management’s assessment of the various state net operating losses, it was determined that it is more likely than not that we will be able to realize tax benefits on some portion of the amount of the state losses. The valuation allowance at December 31, 2020 was attributable to the deferred tax asset related to a portion of the state operating losses.</w:t>
      </w:r>
    </w:p>
    <w:p>
      <w:pPr>
        <w:spacing w:after="0" w:line="5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We analyze tax benefits for uncertain tax positions and how they are to be recognized, measured, and derecognized in financial statements; provide certain disclosures of uncertain tax matters; and specify how reserves for uncertain tax positions should be classified on our Consolidated Balance Sheet. </w:t>
      </w:r>
      <w:r>
        <w:rPr>
          <w:rFonts w:ascii="Arial" w:cs="Arial" w:eastAsia="Arial" w:hAnsi="Arial"/>
          <w:sz w:val="14"/>
          <w:szCs w:val="14"/>
          <w:color w:val="211D1E"/>
        </w:rPr>
        <w:t>The deferred tax assets recognized for those NOLs are presented net of these</w:t>
      </w:r>
      <w:r>
        <w:rPr>
          <w:rFonts w:ascii="Arial" w:cs="Arial" w:eastAsia="Arial" w:hAnsi="Arial"/>
          <w:sz w:val="14"/>
          <w:szCs w:val="14"/>
          <w:color w:val="auto"/>
        </w:rPr>
        <w:t xml:space="preserve"> </w:t>
      </w:r>
      <w:r>
        <w:rPr>
          <w:rFonts w:ascii="Arial" w:cs="Arial" w:eastAsia="Arial" w:hAnsi="Arial"/>
          <w:sz w:val="14"/>
          <w:szCs w:val="14"/>
          <w:color w:val="211D1E"/>
        </w:rPr>
        <w:t>unrecognized tax benefits.</w:t>
      </w:r>
    </w:p>
    <w:p>
      <w:pPr>
        <w:spacing w:after="0" w:line="58"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4"/>
          <w:szCs w:val="14"/>
          <w:color w:val="auto"/>
        </w:rPr>
        <w:t>At December 31, 2020, the Company’s unrecognized tax benefits reserve for uncertain tax positions primarily relates to losses generated from pending accounting method changes filed for the tax year ended December 31, 2018, being carried back 5 years, under the CARES Act. In 2018, we filed two Form 3115s, Application for Change in Accounting Method, to request consent to change the method of accounting for deferred revenue for our cemetery property and cemetery merchandise and service operations beginning January 1, 2018. These method changes are still under review. Therefore, the unrecognized tax benefit reserve for the years ended December 31, 2019 and 2020 was $0.7 million and $3.7 million, respectively. There was no reserve recorded at December 31, 2018.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reconciliation of the beginning and ending amount of unrecognized tax benefits is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2020</w:t>
            </w:r>
          </w:p>
        </w:tc>
      </w:tr>
      <w:tr>
        <w:trPr>
          <w:trHeight w:val="17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 at beginning of year</w:t>
            </w: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Gross increases - tax positions in prior period</w:t>
            </w:r>
          </w:p>
        </w:tc>
        <w:tc>
          <w:tcPr>
            <w:tcW w:w="100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decreases - tax positions in prior period</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Gross increases - tax positions in current period</w:t>
            </w:r>
          </w:p>
        </w:tc>
        <w:tc>
          <w:tcPr>
            <w:tcW w:w="100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3,656</w:t>
            </w:r>
          </w:p>
        </w:tc>
      </w:tr>
      <w:tr>
        <w:trPr>
          <w:trHeight w:val="196"/>
        </w:trPr>
        <w:tc>
          <w:tcPr>
            <w:tcW w:w="6620" w:type="dxa"/>
            <w:vAlign w:val="bottom"/>
            <w:tcBorders>
              <w:top w:val="single" w:sz="8" w:color="CCEEFF"/>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Unrecognized tax benefit at end of year</w:t>
            </w:r>
          </w:p>
        </w:tc>
        <w:tc>
          <w:tcPr>
            <w:tcW w:w="100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3"/>
          <w:szCs w:val="13"/>
          <w:color w:val="auto"/>
        </w:rPr>
        <w:t>Included in balance of unrecognized tax benefit for the years ended December 31, 2019 and 2020 were $0.7 million and $3.7 million, respectively, of tax benefits that, if recognized, would affect the effective tax rate. At December 31, 2020, we expect that the $3.7 million of unrecognized tax benefit will be recognized in the next twelve months. We recognize interest accrued related to unrecognized tax benefit as income tax expense. As of December 31, 2020, we accrued an immaterial amount of interest related to the unrecognized tax benefit.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STOCKHOLDERS’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Authorization</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We are authorized to issue 80,000,000 shares of common stock, $0.01 per share par value. We had 25,880,362 and 26,020,494 shares issued and outstanding, net of 8,025,339 shares held in treasury at par, at December 31, 2019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Based Compensation Plans</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During the year ended December 31, 2020, we had two stock benefits plans in effect under which stock, restricted stock, stock options and performance awards have been granted or remain outstanding: the Second Amended and Restated 2006 Long-Term Incentive Plan (the “Amended and Restated 2006 Plan”) and the 2017 Omnibus Incentive Plan (the “2017 Plan”). The Amended and Restated 2006 Plan was terminated upon the approval of the 2017 Plan at the annual shareholders meeting on May 17, 2017. The 2017 Plan expires on May 17, 2027. All stock-based plans are administered by the Compensation Committee appointed by our Board of Directors (the “Board”).</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we had 1,782,824 shares available to issue under our 2017 Plan. The termination of the Amended and Restated 2006 Plan does not affect the awards previously issued and outstanding.</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During the year ended December 31, 2020, we issued restricted stock to certain employees totaling 10,200 shares that vest over a three year period and had an aggregate grant date market value of $0.3 million at a weighted average stock price of $25.00. In 2019, a total of 25,550 shares of restricted stock were awarded with a grant date market value of $0.5 million. In 2018, a total of 86,260 shares of restricted stock were awarded with a grant date market value of $2.2 million.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the status of unvested restricted stock as of December 31, 2020, and changes during 2020, is presented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jc w:val="center"/>
              <w:ind w:right="155"/>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Restricted stock awards</w:t>
            </w:r>
          </w:p>
        </w:tc>
        <w:tc>
          <w:tcPr>
            <w:tcW w:w="1920" w:type="dxa"/>
            <w:vAlign w:val="bottom"/>
            <w:gridSpan w:val="2"/>
            <w:vMerge w:val="restart"/>
          </w:tcPr>
          <w:p>
            <w:pPr>
              <w:ind w:left="6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9"/>
                <w:szCs w:val="9"/>
                <w:color w:val="auto"/>
              </w:rPr>
            </w:pPr>
          </w:p>
        </w:tc>
        <w:tc>
          <w:tcPr>
            <w:tcW w:w="1420" w:type="dxa"/>
            <w:vAlign w:val="bottom"/>
          </w:tcPr>
          <w:p>
            <w:pPr>
              <w:jc w:val="center"/>
              <w:ind w:right="155"/>
              <w:spacing w:after="0" w:line="106"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700" w:type="dxa"/>
            <w:vAlign w:val="bottom"/>
            <w:gridSpan w:val="2"/>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jc w:val="center"/>
              <w:ind w:right="155"/>
              <w:spacing w:after="0" w:line="117" w:lineRule="exact"/>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7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Unvested at January 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69,745</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10,200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(34,815)</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00" w:type="dxa"/>
            <w:vAlign w:val="bottom"/>
            <w:gridSpan w:val="2"/>
          </w:tcPr>
          <w:p>
            <w:pPr>
              <w:spacing w:after="0"/>
              <w:rPr>
                <w:sz w:val="20"/>
                <w:szCs w:val="20"/>
                <w:color w:val="auto"/>
              </w:rPr>
            </w:pPr>
            <w:r>
              <w:rPr>
                <w:rFonts w:ascii="Arial" w:cs="Arial" w:eastAsia="Arial" w:hAnsi="Arial"/>
                <w:sz w:val="14"/>
                <w:szCs w:val="14"/>
                <w:color w:val="auto"/>
              </w:rPr>
              <w:t>Cancelled</w:t>
            </w:r>
          </w:p>
        </w:tc>
        <w:tc>
          <w:tcPr>
            <w:tcW w:w="1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700" w:type="dxa"/>
            <w:vAlign w:val="bottom"/>
            <w:tcBorders>
              <w:top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color w:val="auto"/>
              </w:rPr>
              <w:t>Unvested at December 31, 2020</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45,130</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We recorded stock-based compensation expense, which is included in </w:t>
      </w:r>
      <w:r>
        <w:rPr>
          <w:rFonts w:ascii="Arial" w:cs="Arial" w:eastAsia="Arial" w:hAnsi="Arial"/>
          <w:sz w:val="14"/>
          <w:szCs w:val="14"/>
          <w:i w:val="1"/>
          <w:iCs w:val="1"/>
          <w:color w:val="auto"/>
        </w:rPr>
        <w:t>Regional and unallocated funeral and cemetery costs</w:t>
      </w:r>
      <w:r>
        <w:rPr>
          <w:rFonts w:ascii="Arial" w:cs="Arial" w:eastAsia="Arial" w:hAnsi="Arial"/>
          <w:sz w:val="14"/>
          <w:szCs w:val="14"/>
          <w:color w:val="auto"/>
        </w:rPr>
        <w:t xml:space="preserve"> and </w:t>
      </w:r>
      <w:r>
        <w:rPr>
          <w:rFonts w:ascii="Arial" w:cs="Arial" w:eastAsia="Arial" w:hAnsi="Arial"/>
          <w:sz w:val="14"/>
          <w:szCs w:val="14"/>
          <w:i w:val="1"/>
          <w:iCs w:val="1"/>
          <w:color w:val="auto"/>
        </w:rPr>
        <w:t>General, administrative and other</w:t>
      </w:r>
      <w:r>
        <w:rPr>
          <w:rFonts w:ascii="Arial" w:cs="Arial" w:eastAsia="Arial" w:hAnsi="Arial"/>
          <w:sz w:val="14"/>
          <w:szCs w:val="14"/>
          <w:color w:val="auto"/>
        </w:rPr>
        <w:t xml:space="preserve"> expenses, for restricted stock awards of $0.8 million, $0.8 million and $0.7 million the years ended December 31, 2018, 2019 and 2020, respectively.</w:t>
      </w:r>
    </w:p>
    <w:p>
      <w:pPr>
        <w:spacing w:after="0" w:line="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we had $1.1 million of total unrecognized compensation costs related to unvested restricted stock awards, which are expected to be recognized over a weighted average period of approximately 0.9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During the year ended December 31, 2020, we granted 20,000 options to a certain key employee at a weighted average price of $18.02. These options will vest in one-third increments over a three-year period and have a ten-year term. The fair value of these options was $0.1 million. On June 26, 2020, we cancelled 100,000 options in connection with the resignation of our President and Chief Operating Officer.</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In 2019, a total of 100,000 stock options were awarded, the fair value of which was $0.6 million. In 2018, a total of 212,940 stock options were awarded, the fair value of which was $1.4 million.</w:t>
      </w:r>
    </w:p>
    <w:p>
      <w:pPr>
        <w:spacing w:after="0" w:line="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Stock options are granted with an exercise price equal to the closing price of our common stock on the date of grant. All of the options granted and outstanding under this plan have either a seven or ten-year term. We utilize the Black-Scholes option valuation model for estimating the fair value of our stock options. This model allows the use of a range of assumptions related to volatility, risk-free interest rate, expected holding period and dividend yield. The expected volatility utilized in the valuation model is based on the historical volatility of our stock price. The dividend yield and expected holding period are based on historical experience and management's estimate of future events. The risk-free interest rate is derived from the U.S. Treasury yield curve based on the expected life of the option in effect at the time of grant.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values of our stock options were calculated using the following weighted average assumptions, based on the methods described above: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Years Ended December 31,</w:t>
            </w:r>
          </w:p>
        </w:tc>
        <w:tc>
          <w:tcPr>
            <w:tcW w:w="1620" w:type="dxa"/>
            <w:vAlign w:val="bottom"/>
            <w:tcBorders>
              <w:bottom w:val="single" w:sz="8" w:color="auto"/>
            </w:tcBorders>
          </w:tcPr>
          <w:p>
            <w:pPr>
              <w:spacing w:after="0"/>
              <w:rPr>
                <w:sz w:val="14"/>
                <w:szCs w:val="14"/>
                <w:color w:val="auto"/>
              </w:rPr>
            </w:pPr>
          </w:p>
        </w:tc>
      </w:tr>
      <w:tr>
        <w:trPr>
          <w:trHeight w:val="160"/>
        </w:trPr>
        <w:tc>
          <w:tcPr>
            <w:tcW w:w="60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691"/>
              <w:spacing w:after="0"/>
              <w:rPr>
                <w:sz w:val="20"/>
                <w:szCs w:val="20"/>
                <w:color w:val="auto"/>
              </w:rPr>
            </w:pPr>
            <w:r>
              <w:rPr>
                <w:rFonts w:ascii="Arial" w:cs="Arial" w:eastAsia="Arial" w:hAnsi="Arial"/>
                <w:sz w:val="13"/>
                <w:szCs w:val="13"/>
                <w:b w:val="1"/>
                <w:bCs w:val="1"/>
                <w:color w:val="auto"/>
              </w:rPr>
              <w:t>2020</w:t>
            </w:r>
          </w:p>
        </w:tc>
      </w:tr>
      <w:tr>
        <w:trPr>
          <w:trHeight w:val="173"/>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r>
      <w:tr>
        <w:trPr>
          <w:trHeight w:val="18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640" w:type="dxa"/>
            <w:vAlign w:val="bottom"/>
          </w:tcPr>
          <w:p>
            <w:pPr>
              <w:jc w:val="right"/>
              <w:spacing w:after="0"/>
              <w:rPr>
                <w:sz w:val="20"/>
                <w:szCs w:val="20"/>
                <w:color w:val="auto"/>
              </w:rPr>
            </w:pPr>
            <w:r>
              <w:rPr>
                <w:rFonts w:ascii="Arial" w:cs="Arial" w:eastAsia="Arial" w:hAnsi="Arial"/>
                <w:sz w:val="14"/>
                <w:szCs w:val="14"/>
                <w:color w:val="auto"/>
              </w:rPr>
              <w:t>27.08 %</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27.45 %</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38.54 %</w:t>
            </w:r>
          </w:p>
        </w:tc>
      </w:tr>
      <w:tr>
        <w:trPr>
          <w:trHeight w:val="18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0.25 %</w:t>
            </w:r>
          </w:p>
        </w:tc>
      </w:tr>
      <w:tr>
        <w:trPr>
          <w:trHeight w:val="180"/>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Expected holding period (years)</w:t>
            </w:r>
          </w:p>
        </w:tc>
        <w:tc>
          <w:tcPr>
            <w:tcW w:w="640" w:type="dxa"/>
            <w:vAlign w:val="bottom"/>
          </w:tcPr>
          <w:p>
            <w:pPr>
              <w:jc w:val="right"/>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Black-Scholes value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the stock options at and changes during the three years ended December 31, 2020 is presented in the table and narrative below (shares in thousands):</w:t>
      </w:r>
    </w:p>
    <w:p>
      <w:pPr>
        <w:spacing w:after="0" w:line="40" w:lineRule="exact"/>
        <w:rPr>
          <w:sz w:val="20"/>
          <w:szCs w:val="20"/>
          <w:color w:val="auto"/>
        </w:rPr>
      </w:pPr>
    </w:p>
    <w:p>
      <w:pPr>
        <w:ind w:left="6900"/>
        <w:spacing w:after="0"/>
        <w:rPr>
          <w:sz w:val="20"/>
          <w:szCs w:val="20"/>
          <w:color w:val="auto"/>
        </w:rPr>
      </w:pPr>
      <w:r>
        <w:rPr>
          <w:rFonts w:ascii="Arial" w:cs="Arial" w:eastAsia="Arial" w:hAnsi="Arial"/>
          <w:sz w:val="13"/>
          <w:szCs w:val="13"/>
          <w:b w:val="1"/>
          <w:bCs w:val="1"/>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2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3"/>
          </w:tcPr>
          <w:p>
            <w:pPr>
              <w:jc w:val="right"/>
              <w:ind w:right="29"/>
              <w:spacing w:after="0"/>
              <w:rPr>
                <w:sz w:val="20"/>
                <w:szCs w:val="20"/>
                <w:color w:val="auto"/>
              </w:rPr>
            </w:pPr>
            <w:r>
              <w:rPr>
                <w:rFonts w:ascii="Arial" w:cs="Arial" w:eastAsia="Arial" w:hAnsi="Arial"/>
                <w:sz w:val="13"/>
                <w:szCs w:val="13"/>
                <w:b w:val="1"/>
                <w:bCs w:val="1"/>
                <w:color w:val="auto"/>
              </w:rPr>
              <w:t>2018</w:t>
            </w:r>
          </w:p>
        </w:tc>
        <w:tc>
          <w:tcPr>
            <w:tcW w:w="9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3"/>
          </w:tcPr>
          <w:p>
            <w:pPr>
              <w:jc w:val="right"/>
              <w:ind w:right="29"/>
              <w:spacing w:after="0"/>
              <w:rPr>
                <w:sz w:val="20"/>
                <w:szCs w:val="20"/>
                <w:color w:val="auto"/>
              </w:rPr>
            </w:pPr>
            <w:r>
              <w:rPr>
                <w:rFonts w:ascii="Arial" w:cs="Arial" w:eastAsia="Arial" w:hAnsi="Arial"/>
                <w:sz w:val="13"/>
                <w:szCs w:val="13"/>
                <w:b w:val="1"/>
                <w:bCs w:val="1"/>
                <w:color w:val="auto"/>
              </w:rPr>
              <w:t>2019</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9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20" w:type="dxa"/>
            <w:vAlign w:val="bottom"/>
          </w:tcPr>
          <w:p>
            <w:pPr>
              <w:spacing w:after="0"/>
              <w:rPr>
                <w:sz w:val="10"/>
                <w:szCs w:val="10"/>
                <w:color w:val="auto"/>
              </w:rPr>
            </w:pPr>
          </w:p>
        </w:tc>
        <w:tc>
          <w:tcPr>
            <w:tcW w:w="740" w:type="dxa"/>
            <w:vAlign w:val="bottom"/>
            <w:vMerge w:val="restart"/>
          </w:tcPr>
          <w:p>
            <w:pPr>
              <w:ind w:left="380"/>
              <w:spacing w:after="0"/>
              <w:rPr>
                <w:sz w:val="20"/>
                <w:szCs w:val="20"/>
                <w:color w:val="auto"/>
              </w:rPr>
            </w:pPr>
            <w:r>
              <w:rPr>
                <w:rFonts w:ascii="Arial" w:cs="Arial" w:eastAsia="Arial" w:hAnsi="Arial"/>
                <w:sz w:val="13"/>
                <w:szCs w:val="13"/>
                <w:b w:val="1"/>
                <w:bCs w:val="1"/>
                <w:color w:val="auto"/>
                <w:w w:val="78"/>
              </w:rPr>
              <w:t>Shares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31"/>
              <w:spacing w:after="0" w:line="118" w:lineRule="exact"/>
              <w:rPr>
                <w:sz w:val="20"/>
                <w:szCs w:val="20"/>
                <w:color w:val="auto"/>
              </w:rPr>
            </w:pPr>
            <w:r>
              <w:rPr>
                <w:rFonts w:ascii="Arial" w:cs="Arial" w:eastAsia="Arial" w:hAnsi="Arial"/>
                <w:sz w:val="13"/>
                <w:szCs w:val="13"/>
                <w:b w:val="1"/>
                <w:bCs w:val="1"/>
                <w:color w:val="auto"/>
                <w:w w:val="90"/>
              </w:rPr>
              <w:t>Wtd. Avg.</w:t>
            </w:r>
          </w:p>
        </w:tc>
        <w:tc>
          <w:tcPr>
            <w:tcW w:w="100" w:type="dxa"/>
            <w:vAlign w:val="bottom"/>
          </w:tcPr>
          <w:p>
            <w:pPr>
              <w:spacing w:after="0"/>
              <w:rPr>
                <w:sz w:val="10"/>
                <w:szCs w:val="10"/>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31"/>
              <w:spacing w:after="0" w:line="118" w:lineRule="exact"/>
              <w:rPr>
                <w:sz w:val="20"/>
                <w:szCs w:val="20"/>
                <w:color w:val="auto"/>
              </w:rPr>
            </w:pPr>
            <w:r>
              <w:rPr>
                <w:rFonts w:ascii="Arial" w:cs="Arial" w:eastAsia="Arial" w:hAnsi="Arial"/>
                <w:sz w:val="13"/>
                <w:szCs w:val="13"/>
                <w:b w:val="1"/>
                <w:bCs w:val="1"/>
                <w:color w:val="auto"/>
                <w:w w:val="90"/>
              </w:rPr>
              <w:t>Wtd. Avg.</w:t>
            </w:r>
          </w:p>
        </w:tc>
        <w:tc>
          <w:tcPr>
            <w:tcW w:w="80" w:type="dxa"/>
            <w:vAlign w:val="bottom"/>
          </w:tcPr>
          <w:p>
            <w:pPr>
              <w:spacing w:after="0"/>
              <w:rPr>
                <w:sz w:val="10"/>
                <w:szCs w:val="10"/>
                <w:color w:val="auto"/>
              </w:rPr>
            </w:pPr>
          </w:p>
        </w:tc>
        <w:tc>
          <w:tcPr>
            <w:tcW w:w="760" w:type="dxa"/>
            <w:vAlign w:val="bottom"/>
            <w:vMerge w:val="restart"/>
          </w:tcPr>
          <w:p>
            <w:pPr>
              <w:ind w:left="380"/>
              <w:spacing w:after="0"/>
              <w:rPr>
                <w:sz w:val="20"/>
                <w:szCs w:val="20"/>
                <w:color w:val="auto"/>
              </w:rPr>
            </w:pPr>
            <w:r>
              <w:rPr>
                <w:rFonts w:ascii="Arial" w:cs="Arial" w:eastAsia="Arial" w:hAnsi="Arial"/>
                <w:sz w:val="13"/>
                <w:szCs w:val="13"/>
                <w:b w:val="1"/>
                <w:bCs w:val="1"/>
                <w:color w:val="auto"/>
                <w:w w:val="82"/>
              </w:rPr>
              <w:t>Shares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31"/>
              <w:spacing w:after="0" w:line="118" w:lineRule="exact"/>
              <w:rPr>
                <w:sz w:val="20"/>
                <w:szCs w:val="20"/>
                <w:color w:val="auto"/>
              </w:rPr>
            </w:pPr>
            <w:r>
              <w:rPr>
                <w:rFonts w:ascii="Arial" w:cs="Arial" w:eastAsia="Arial" w:hAnsi="Arial"/>
                <w:sz w:val="13"/>
                <w:szCs w:val="13"/>
                <w:b w:val="1"/>
                <w:bCs w:val="1"/>
                <w:color w:val="auto"/>
              </w:rPr>
              <w:t>Wtd. Avg.</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Ex. Price</w:t>
            </w: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Ex. Price</w:t>
            </w:r>
          </w:p>
        </w:tc>
        <w:tc>
          <w:tcPr>
            <w:tcW w:w="7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51"/>
              <w:spacing w:after="0"/>
              <w:rPr>
                <w:sz w:val="20"/>
                <w:szCs w:val="20"/>
                <w:color w:val="auto"/>
              </w:rPr>
            </w:pPr>
            <w:r>
              <w:rPr>
                <w:rFonts w:ascii="Arial" w:cs="Arial" w:eastAsia="Arial" w:hAnsi="Arial"/>
                <w:sz w:val="13"/>
                <w:szCs w:val="13"/>
                <w:b w:val="1"/>
                <w:bCs w:val="1"/>
                <w:color w:val="auto"/>
              </w:rPr>
              <w:t>Ex. Price</w:t>
            </w:r>
          </w:p>
        </w:tc>
        <w:tc>
          <w:tcPr>
            <w:tcW w:w="0" w:type="dxa"/>
            <w:vAlign w:val="bottom"/>
          </w:tcPr>
          <w:p>
            <w:pPr>
              <w:spacing w:after="0"/>
              <w:rPr>
                <w:sz w:val="1"/>
                <w:szCs w:val="1"/>
                <w:color w:val="auto"/>
              </w:rPr>
            </w:pPr>
          </w:p>
        </w:tc>
      </w:tr>
      <w:tr>
        <w:trPr>
          <w:trHeight w:val="17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2020</w:t>
            </w: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1,934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1,078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80"/>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380" w:type="dxa"/>
            <w:vAlign w:val="bottom"/>
          </w:tcPr>
          <w:p>
            <w:pPr>
              <w:jc w:val="right"/>
              <w:spacing w:after="0"/>
              <w:rPr>
                <w:sz w:val="20"/>
                <w:szCs w:val="20"/>
                <w:color w:val="auto"/>
              </w:rPr>
            </w:pPr>
            <w:r>
              <w:rPr>
                <w:rFonts w:ascii="Arial" w:cs="Arial" w:eastAsia="Arial" w:hAnsi="Arial"/>
                <w:sz w:val="14"/>
                <w:szCs w:val="14"/>
                <w:color w:val="auto"/>
              </w:rPr>
              <w:t>213</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24.35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80"/>
        </w:trPr>
        <w:tc>
          <w:tcPr>
            <w:tcW w:w="476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80"/>
        </w:trPr>
        <w:tc>
          <w:tcPr>
            <w:tcW w:w="4760" w:type="dxa"/>
            <w:vAlign w:val="bottom"/>
            <w:gridSpan w:val="2"/>
          </w:tcPr>
          <w:p>
            <w:pPr>
              <w:ind w:left="20"/>
              <w:spacing w:after="0"/>
              <w:rPr>
                <w:sz w:val="20"/>
                <w:szCs w:val="20"/>
                <w:color w:val="auto"/>
              </w:rPr>
            </w:pPr>
            <w:r>
              <w:rPr>
                <w:rFonts w:ascii="Arial" w:cs="Arial" w:eastAsia="Arial" w:hAnsi="Arial"/>
                <w:sz w:val="14"/>
                <w:szCs w:val="14"/>
                <w:color w:val="auto"/>
              </w:rPr>
              <w:t>Cancelled or expired</w:t>
            </w:r>
          </w:p>
        </w:tc>
        <w:tc>
          <w:tcPr>
            <w:tcW w:w="380" w:type="dxa"/>
            <w:vAlign w:val="bottom"/>
          </w:tcPr>
          <w:p>
            <w:pPr>
              <w:jc w:val="right"/>
              <w:spacing w:after="0"/>
              <w:rPr>
                <w:sz w:val="20"/>
                <w:szCs w:val="20"/>
                <w:color w:val="auto"/>
              </w:rPr>
            </w:pPr>
            <w:r>
              <w:rPr>
                <w:rFonts w:ascii="Arial" w:cs="Arial" w:eastAsia="Arial" w:hAnsi="Arial"/>
                <w:sz w:val="14"/>
                <w:szCs w:val="14"/>
                <w:color w:val="auto"/>
              </w:rPr>
              <w:t>(165)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25.34</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21.96</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(146)</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71"/>
        </w:trPr>
        <w:tc>
          <w:tcPr>
            <w:tcW w:w="402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Outstanding at December 31, 2020</w:t>
            </w: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1,523</w:t>
            </w:r>
          </w:p>
        </w:tc>
        <w:tc>
          <w:tcPr>
            <w:tcW w:w="280" w:type="dxa"/>
            <w:vAlign w:val="bottom"/>
            <w:tcBorders>
              <w:top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w:t>
            </w:r>
          </w:p>
        </w:tc>
        <w:tc>
          <w:tcPr>
            <w:tcW w:w="280" w:type="dxa"/>
            <w:vAlign w:val="bottom"/>
            <w:tcBorders>
              <w:top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280" w:type="dxa"/>
            <w:vAlign w:val="bottom"/>
            <w:tcBorders>
              <w:top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line="160" w:lineRule="exact"/>
              <w:rPr>
                <w:sz w:val="20"/>
                <w:szCs w:val="20"/>
                <w:color w:val="auto"/>
              </w:rPr>
            </w:pPr>
            <w:r>
              <w:rPr>
                <w:rFonts w:ascii="Arial" w:cs="Arial" w:eastAsia="Arial" w:hAnsi="Arial"/>
                <w:sz w:val="14"/>
                <w:szCs w:val="14"/>
                <w:color w:val="auto"/>
              </w:rPr>
              <w:t>Exercisable at December 31, 2020</w:t>
            </w: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1,001</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22.02</w:t>
            </w: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481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(1) For the year ended December 31, 2020, 20,000 options were surrendered by employees to pay the option price and taxes related to the option exercises.</w:t>
      </w:r>
    </w:p>
    <w:p>
      <w:pPr>
        <w:spacing w:after="0" w:line="17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aggregate intrinsic value of the outstanding and exercisable stock options was $7.2 million and $5.6 million at December 31, 2020. The total intrinsic value of options exercised during the years ended December 31, 2018, 2019 and 2020 totaled $3.9 million, $1.2 million and $0.5 million, respectively.</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The total fair value of stock options vested during 2018, 2019 and 2020 totaled $1.5 million, $0.9 million and $0.7 million, respectively. We recorded stock-based compensation expense, which is included in </w:t>
      </w:r>
      <w:r>
        <w:rPr>
          <w:rFonts w:ascii="Arial" w:cs="Arial" w:eastAsia="Arial" w:hAnsi="Arial"/>
          <w:sz w:val="14"/>
          <w:szCs w:val="14"/>
          <w:i w:val="1"/>
          <w:iCs w:val="1"/>
          <w:color w:val="auto"/>
        </w:rPr>
        <w:t>Regional and unallocated funeral and cemetery costs</w:t>
      </w:r>
      <w:r>
        <w:rPr>
          <w:rFonts w:ascii="Arial" w:cs="Arial" w:eastAsia="Arial" w:hAnsi="Arial"/>
          <w:sz w:val="14"/>
          <w:szCs w:val="14"/>
          <w:color w:val="auto"/>
        </w:rPr>
        <w:t xml:space="preserve"> and </w:t>
      </w:r>
      <w:r>
        <w:rPr>
          <w:rFonts w:ascii="Arial" w:cs="Arial" w:eastAsia="Arial" w:hAnsi="Arial"/>
          <w:sz w:val="14"/>
          <w:szCs w:val="14"/>
          <w:i w:val="1"/>
          <w:iCs w:val="1"/>
          <w:color w:val="auto"/>
        </w:rPr>
        <w:t>General, administrative and other</w:t>
      </w:r>
      <w:r>
        <w:rPr>
          <w:rFonts w:ascii="Arial" w:cs="Arial" w:eastAsia="Arial" w:hAnsi="Arial"/>
          <w:sz w:val="14"/>
          <w:szCs w:val="14"/>
          <w:color w:val="auto"/>
        </w:rPr>
        <w:t xml:space="preserve"> expenses, for stock options of $1.0 million, $0.7 million and $0.7 million for the years ended December 31, 2018, 2019 and 2020, respectively.</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At December 31, 2020, there was $0.8 million of unrecognized compensation cost, net of estimated forfeitures, related to unvested stock options expected to be recognized over a weighted average period of approximately 1.53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further describes our outstanding stock options at December 31,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8"/>
              </w:rPr>
              <w:t>Options Outstanding</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Options Exercisable</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Actual Ranges of Exercise</w:t>
            </w:r>
          </w:p>
        </w:tc>
        <w:tc>
          <w:tcPr>
            <w:tcW w:w="15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Number Outstanding at</w:t>
            </w:r>
          </w:p>
        </w:tc>
        <w:tc>
          <w:tcPr>
            <w:tcW w:w="1700" w:type="dxa"/>
            <w:vAlign w:val="bottom"/>
            <w:gridSpan w:val="2"/>
          </w:tcPr>
          <w:p>
            <w:pPr>
              <w:jc w:val="center"/>
              <w:ind w:right="140"/>
              <w:spacing w:after="0" w:line="120" w:lineRule="exact"/>
              <w:rPr>
                <w:sz w:val="20"/>
                <w:szCs w:val="20"/>
                <w:color w:val="auto"/>
              </w:rPr>
            </w:pPr>
            <w:r>
              <w:rPr>
                <w:rFonts w:ascii="Arial" w:cs="Arial" w:eastAsia="Arial" w:hAnsi="Arial"/>
                <w:sz w:val="13"/>
                <w:szCs w:val="13"/>
                <w:b w:val="1"/>
                <w:bCs w:val="1"/>
                <w:color w:val="auto"/>
                <w:w w:val="87"/>
              </w:rPr>
              <w:t>Weighted-Average</w:t>
            </w:r>
          </w:p>
        </w:tc>
        <w:tc>
          <w:tcPr>
            <w:tcW w:w="140" w:type="dxa"/>
            <w:vAlign w:val="bottom"/>
          </w:tcPr>
          <w:p>
            <w:pPr>
              <w:spacing w:after="0"/>
              <w:rPr>
                <w:sz w:val="10"/>
                <w:szCs w:val="10"/>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7"/>
              </w:rPr>
              <w:t>Weighted-Average</w:t>
            </w:r>
          </w:p>
        </w:tc>
        <w:tc>
          <w:tcPr>
            <w:tcW w:w="15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Number Exercisable at</w:t>
            </w:r>
          </w:p>
        </w:tc>
        <w:tc>
          <w:tcPr>
            <w:tcW w:w="1700" w:type="dxa"/>
            <w:vAlign w:val="bottom"/>
            <w:gridSpan w:val="2"/>
          </w:tcPr>
          <w:p>
            <w:pPr>
              <w:jc w:val="center"/>
              <w:ind w:right="140"/>
              <w:spacing w:after="0" w:line="120" w:lineRule="exact"/>
              <w:rPr>
                <w:sz w:val="20"/>
                <w:szCs w:val="20"/>
                <w:color w:val="auto"/>
              </w:rPr>
            </w:pPr>
            <w:r>
              <w:rPr>
                <w:rFonts w:ascii="Arial" w:cs="Arial" w:eastAsia="Arial" w:hAnsi="Arial"/>
                <w:sz w:val="13"/>
                <w:szCs w:val="13"/>
                <w:b w:val="1"/>
                <w:bCs w:val="1"/>
                <w:color w:val="auto"/>
                <w:w w:val="87"/>
              </w:rPr>
              <w:t>Weighted-Average</w:t>
            </w:r>
          </w:p>
        </w:tc>
        <w:tc>
          <w:tcPr>
            <w:tcW w:w="140" w:type="dxa"/>
            <w:vAlign w:val="bottom"/>
          </w:tcPr>
          <w:p>
            <w:pPr>
              <w:spacing w:after="0"/>
              <w:rPr>
                <w:sz w:val="10"/>
                <w:szCs w:val="10"/>
                <w:color w:val="auto"/>
              </w:rPr>
            </w:pPr>
          </w:p>
        </w:tc>
        <w:tc>
          <w:tcPr>
            <w:tcW w:w="1280" w:type="dxa"/>
            <w:vAlign w:val="bottom"/>
            <w:vMerge w:val="restart"/>
          </w:tcPr>
          <w:p>
            <w:pPr>
              <w:jc w:val="right"/>
              <w:ind w:right="152"/>
              <w:spacing w:after="0"/>
              <w:rPr>
                <w:sz w:val="20"/>
                <w:szCs w:val="20"/>
                <w:color w:val="auto"/>
              </w:rPr>
            </w:pPr>
            <w:r>
              <w:rPr>
                <w:rFonts w:ascii="Arial" w:cs="Arial" w:eastAsia="Arial" w:hAnsi="Arial"/>
                <w:sz w:val="13"/>
                <w:szCs w:val="13"/>
                <w:b w:val="1"/>
                <w:bCs w:val="1"/>
                <w:color w:val="auto"/>
                <w:w w:val="91"/>
              </w:rPr>
              <w:t>Weighted-Average</w:t>
            </w:r>
          </w:p>
        </w:tc>
        <w:tc>
          <w:tcPr>
            <w:tcW w:w="0" w:type="dxa"/>
            <w:vAlign w:val="bottom"/>
          </w:tcPr>
          <w:p>
            <w:pPr>
              <w:spacing w:after="0"/>
              <w:rPr>
                <w:sz w:val="1"/>
                <w:szCs w:val="1"/>
                <w:color w:val="auto"/>
              </w:rPr>
            </w:pPr>
          </w:p>
        </w:tc>
      </w:tr>
      <w:tr>
        <w:trPr>
          <w:trHeight w:val="127"/>
        </w:trPr>
        <w:tc>
          <w:tcPr>
            <w:tcW w:w="176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700" w:type="dxa"/>
            <w:vAlign w:val="bottom"/>
            <w:gridSpan w:val="2"/>
          </w:tcPr>
          <w:p>
            <w:pPr>
              <w:jc w:val="center"/>
              <w:ind w:right="160"/>
              <w:spacing w:after="0" w:line="128"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rPr>
                <w:sz w:val="20"/>
                <w:szCs w:val="20"/>
                <w:color w:val="auto"/>
              </w:rPr>
            </w:pPr>
            <w:r>
              <w:rPr>
                <w:rFonts w:ascii="Arial" w:cs="Arial" w:eastAsia="Arial" w:hAnsi="Arial"/>
                <w:sz w:val="13"/>
                <w:szCs w:val="13"/>
                <w:b w:val="1"/>
                <w:bCs w:val="1"/>
                <w:color w:val="auto"/>
              </w:rPr>
              <w:t>Prices</w:t>
            </w:r>
          </w:p>
        </w:tc>
        <w:tc>
          <w:tcPr>
            <w:tcW w:w="1420" w:type="dxa"/>
            <w:vAlign w:val="bottom"/>
          </w:tcPr>
          <w:p>
            <w:pPr>
              <w:jc w:val="right"/>
              <w:ind w:right="432"/>
              <w:spacing w:after="0"/>
              <w:rPr>
                <w:sz w:val="20"/>
                <w:szCs w:val="20"/>
                <w:color w:val="auto"/>
              </w:rPr>
            </w:pPr>
            <w:r>
              <w:rPr>
                <w:rFonts w:ascii="Arial" w:cs="Arial" w:eastAsia="Arial" w:hAnsi="Arial"/>
                <w:sz w:val="13"/>
                <w:szCs w:val="13"/>
                <w:b w:val="1"/>
                <w:bCs w:val="1"/>
                <w:color w:val="auto"/>
              </w:rPr>
              <w:t>12/31/20</w:t>
            </w:r>
          </w:p>
        </w:tc>
        <w:tc>
          <w:tcPr>
            <w:tcW w:w="14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Contractual Life</w:t>
            </w:r>
          </w:p>
        </w:tc>
        <w:tc>
          <w:tcPr>
            <w:tcW w:w="14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Exercise Price</w:t>
            </w:r>
          </w:p>
        </w:tc>
        <w:tc>
          <w:tcPr>
            <w:tcW w:w="1440" w:type="dxa"/>
            <w:vAlign w:val="bottom"/>
          </w:tcPr>
          <w:p>
            <w:pPr>
              <w:jc w:val="right"/>
              <w:ind w:right="432"/>
              <w:spacing w:after="0"/>
              <w:rPr>
                <w:sz w:val="20"/>
                <w:szCs w:val="20"/>
                <w:color w:val="auto"/>
              </w:rPr>
            </w:pPr>
            <w:r>
              <w:rPr>
                <w:rFonts w:ascii="Arial" w:cs="Arial" w:eastAsia="Arial" w:hAnsi="Arial"/>
                <w:sz w:val="13"/>
                <w:szCs w:val="13"/>
                <w:b w:val="1"/>
                <w:bCs w:val="1"/>
                <w:color w:val="auto"/>
              </w:rPr>
              <w:t>12/31/20</w:t>
            </w:r>
          </w:p>
        </w:tc>
        <w:tc>
          <w:tcPr>
            <w:tcW w:w="14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Contractual Life</w:t>
            </w:r>
          </w:p>
        </w:tc>
        <w:tc>
          <w:tcPr>
            <w:tcW w:w="140" w:type="dxa"/>
            <w:vAlign w:val="bottom"/>
          </w:tcPr>
          <w:p>
            <w:pPr>
              <w:spacing w:after="0"/>
              <w:rPr>
                <w:sz w:val="14"/>
                <w:szCs w:val="14"/>
                <w:color w:val="auto"/>
              </w:rPr>
            </w:pPr>
          </w:p>
        </w:tc>
        <w:tc>
          <w:tcPr>
            <w:tcW w:w="1280" w:type="dxa"/>
            <w:vAlign w:val="bottom"/>
          </w:tcPr>
          <w:p>
            <w:pPr>
              <w:jc w:val="right"/>
              <w:ind w:right="252"/>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7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$5.94 - $5.94</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22,674</w:t>
            </w:r>
          </w:p>
        </w:tc>
        <w:tc>
          <w:tcPr>
            <w:tcW w:w="1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22,674</w:t>
            </w:r>
          </w:p>
        </w:tc>
        <w:tc>
          <w:tcPr>
            <w:tcW w:w="1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Arial" w:cs="Arial" w:eastAsia="Arial" w:hAnsi="Arial"/>
                <w:sz w:val="14"/>
                <w:szCs w:val="14"/>
                <w:color w:val="auto"/>
              </w:rPr>
              <w:t>$18.02 - $22.58</w:t>
            </w:r>
          </w:p>
        </w:tc>
        <w:tc>
          <w:tcPr>
            <w:tcW w:w="1420" w:type="dxa"/>
            <w:vAlign w:val="bottom"/>
          </w:tcPr>
          <w:p>
            <w:pPr>
              <w:jc w:val="right"/>
              <w:spacing w:after="0"/>
              <w:rPr>
                <w:sz w:val="20"/>
                <w:szCs w:val="20"/>
                <w:color w:val="auto"/>
              </w:rPr>
            </w:pPr>
            <w:r>
              <w:rPr>
                <w:rFonts w:ascii="Arial" w:cs="Arial" w:eastAsia="Arial" w:hAnsi="Arial"/>
                <w:sz w:val="14"/>
                <w:szCs w:val="14"/>
                <w:color w:val="auto"/>
              </w:rPr>
              <w:t>461,472</w:t>
            </w: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2.41</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21.68</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415,432</w:t>
            </w: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$25.43 - $26.54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427,590</w:t>
            </w:r>
          </w:p>
        </w:tc>
        <w:tc>
          <w:tcPr>
            <w:tcW w:w="1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14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229,776</w:t>
            </w:r>
          </w:p>
        </w:tc>
        <w:tc>
          <w:tcPr>
            <w:tcW w:w="1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170"/>
        </w:trPr>
        <w:tc>
          <w:tcPr>
            <w:tcW w:w="1760" w:type="dxa"/>
            <w:vAlign w:val="bottom"/>
          </w:tcPr>
          <w:p>
            <w:pPr>
              <w:ind w:left="20"/>
              <w:spacing w:after="0" w:line="160" w:lineRule="exact"/>
              <w:rPr>
                <w:sz w:val="20"/>
                <w:szCs w:val="20"/>
                <w:color w:val="auto"/>
              </w:rPr>
            </w:pPr>
            <w:r>
              <w:rPr>
                <w:rFonts w:ascii="Arial" w:cs="Arial" w:eastAsia="Arial" w:hAnsi="Arial"/>
                <w:sz w:val="14"/>
                <w:szCs w:val="14"/>
                <w:color w:val="auto"/>
              </w:rPr>
              <w:t>$5.94 - $26.54</w:t>
            </w:r>
          </w:p>
        </w:tc>
        <w:tc>
          <w:tcPr>
            <w:tcW w:w="1420" w:type="dxa"/>
            <w:vAlign w:val="bottom"/>
          </w:tcPr>
          <w:p>
            <w:pPr>
              <w:jc w:val="right"/>
              <w:spacing w:after="0"/>
              <w:rPr>
                <w:sz w:val="20"/>
                <w:szCs w:val="20"/>
                <w:color w:val="auto"/>
              </w:rPr>
            </w:pPr>
            <w:r>
              <w:rPr>
                <w:rFonts w:ascii="Arial" w:cs="Arial" w:eastAsia="Arial" w:hAnsi="Arial"/>
                <w:sz w:val="14"/>
                <w:szCs w:val="14"/>
                <w:color w:val="auto"/>
              </w:rPr>
              <w:t>911,736</w:t>
            </w: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23.40</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667,882</w:t>
            </w: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3.58</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Awards</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February 19, 2020, we granted 237,500 performance awards to our leadership team and certain key employees, payable in shares. The fair value of these performance awards was $2.8 million and was determined by using the Monte-Carlo simulation pricing model. On May 19, 2020, we cancelled all performance award agreements previously awarded to all individuals during 2019 and the February 19, 2020 award.</w:t>
      </w:r>
    </w:p>
    <w:p>
      <w:pPr>
        <w:spacing w:after="0" w:line="5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2"/>
          <w:szCs w:val="12"/>
          <w:color w:val="auto"/>
        </w:rPr>
        <w:t>Concurrently with the cancellation, the Compensation Committee of the Board approved a new performance award (“new performance award”) to be issued to certain employees. These awards will vest (if at all) on December 31, 2024 provided that the Company’s common stock reaches one of five predetermined growth targets for a sustained period beginning on the grant date of May 19, 2020 and ending on December 31, 2024. The new performance award was treated as a modification of the cancelled awards and resulted in an additional $1.7 million of incremental compensation costs. At December 31, 2020, there was $5.0 million of unrecognized compensation cost related to performance awards expected to be recognized over a weighted average period of 4.0 years.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summary of the new performance award and changes during the year ended December 31, 2020 is presented in the table and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Performance Awards</w:t>
            </w:r>
          </w:p>
        </w:tc>
        <w:tc>
          <w:tcPr>
            <w:tcW w:w="4360" w:type="dxa"/>
            <w:vAlign w:val="bottom"/>
          </w:tcPr>
          <w:p>
            <w:pPr>
              <w:spacing w:after="0"/>
              <w:rPr>
                <w:sz w:val="9"/>
                <w:szCs w:val="9"/>
                <w:color w:val="auto"/>
              </w:rPr>
            </w:pPr>
          </w:p>
        </w:tc>
        <w:tc>
          <w:tcPr>
            <w:tcW w:w="1840" w:type="dxa"/>
            <w:vAlign w:val="bottom"/>
            <w:gridSpan w:val="2"/>
            <w:vMerge w:val="restart"/>
          </w:tcPr>
          <w:p>
            <w:pPr>
              <w:ind w:left="660"/>
              <w:spacing w:after="0"/>
              <w:rPr>
                <w:sz w:val="20"/>
                <w:szCs w:val="20"/>
                <w:color w:val="auto"/>
              </w:rPr>
            </w:pPr>
            <w:r>
              <w:rPr>
                <w:rFonts w:ascii="Arial" w:cs="Arial" w:eastAsia="Arial" w:hAnsi="Arial"/>
                <w:sz w:val="11"/>
                <w:szCs w:val="11"/>
                <w:b w:val="1"/>
                <w:bCs w:val="1"/>
                <w:color w:val="auto"/>
              </w:rPr>
              <w:t>Shares</w:t>
            </w:r>
          </w:p>
        </w:tc>
        <w:tc>
          <w:tcPr>
            <w:tcW w:w="1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420" w:type="dxa"/>
            <w:vAlign w:val="bottom"/>
            <w:gridSpan w:val="2"/>
            <w:vMerge w:val="continue"/>
          </w:tcPr>
          <w:p>
            <w:pPr>
              <w:spacing w:after="0"/>
              <w:rPr>
                <w:sz w:val="10"/>
                <w:szCs w:val="10"/>
                <w:color w:val="auto"/>
              </w:rPr>
            </w:pPr>
          </w:p>
        </w:tc>
        <w:tc>
          <w:tcPr>
            <w:tcW w:w="436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6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At January 1, 2020</w:t>
            </w:r>
          </w:p>
        </w:tc>
        <w:tc>
          <w:tcPr>
            <w:tcW w:w="43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6000" w:type="dxa"/>
            <w:vAlign w:val="bottom"/>
            <w:gridSpan w:val="2"/>
          </w:tcPr>
          <w:p>
            <w:pPr>
              <w:jc w:val="right"/>
              <w:spacing w:after="0"/>
              <w:rPr>
                <w:sz w:val="20"/>
                <w:szCs w:val="20"/>
                <w:color w:val="auto"/>
              </w:rPr>
            </w:pPr>
            <w:r>
              <w:rPr>
                <w:rFonts w:ascii="Arial" w:cs="Arial" w:eastAsia="Arial" w:hAnsi="Arial"/>
                <w:sz w:val="14"/>
                <w:szCs w:val="14"/>
                <w:color w:val="auto"/>
              </w:rPr>
              <w:t>399,664</w:t>
            </w: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Vested</w:t>
            </w:r>
          </w:p>
        </w:tc>
        <w:tc>
          <w:tcPr>
            <w:tcW w:w="436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Cancelled</w:t>
            </w:r>
          </w:p>
        </w:tc>
        <w:tc>
          <w:tcPr>
            <w:tcW w:w="6000" w:type="dxa"/>
            <w:vAlign w:val="bottom"/>
            <w:gridSpan w:val="2"/>
          </w:tcPr>
          <w:p>
            <w:pPr>
              <w:jc w:val="right"/>
              <w:spacing w:after="0"/>
              <w:rPr>
                <w:sz w:val="20"/>
                <w:szCs w:val="20"/>
                <w:color w:val="auto"/>
              </w:rPr>
            </w:pPr>
            <w:r>
              <w:rPr>
                <w:rFonts w:ascii="Arial" w:cs="Arial" w:eastAsia="Arial" w:hAnsi="Arial"/>
                <w:sz w:val="14"/>
                <w:szCs w:val="14"/>
                <w:color w:val="auto"/>
              </w:rPr>
              <w:t>(33,538)</w:t>
            </w: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20" w:type="dxa"/>
            <w:vAlign w:val="bottom"/>
            <w:tcBorders>
              <w:top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color w:val="auto"/>
              </w:rPr>
              <w:t>At December 31, 2020</w:t>
            </w:r>
          </w:p>
        </w:tc>
        <w:tc>
          <w:tcPr>
            <w:tcW w:w="436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366,126</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jc w:val="right"/>
              <w:ind w:right="2009"/>
              <w:spacing w:after="0"/>
              <w:rPr>
                <w:sz w:val="20"/>
                <w:szCs w:val="20"/>
                <w:color w:val="auto"/>
              </w:rPr>
            </w:pPr>
            <w:r>
              <w:rPr>
                <w:rFonts w:ascii="Arial" w:cs="Arial" w:eastAsia="Arial" w:hAnsi="Arial"/>
                <w:sz w:val="14"/>
                <w:szCs w:val="14"/>
                <w:color w:val="auto"/>
              </w:rPr>
              <w:t>90</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4"/>
          <w:szCs w:val="14"/>
          <w:color w:val="auto"/>
        </w:rPr>
        <w:t>The following table reflects the new performance awards granted during the year ended December 31, 2020, their respective fair values and the assumptions utilized in the Monte-Carlo simulation pricing model:</w:t>
      </w:r>
    </w:p>
    <w:tbl>
      <w:tblPr>
        <w:tblLayout w:type="fixed"/>
        <w:tblInd w:w="0" w:type="dxa"/>
        <w:tblCellMar>
          <w:top w:w="0" w:type="dxa"/>
          <w:left w:w="0" w:type="dxa"/>
          <w:bottom w:w="0" w:type="dxa"/>
          <w:right w:w="0" w:type="dxa"/>
        </w:tblCellMar>
      </w:tblPr>
      <w:tr>
        <w:trPr>
          <w:trHeight w:val="167"/>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Grant date</w:t>
            </w:r>
          </w:p>
        </w:tc>
        <w:tc>
          <w:tcPr>
            <w:tcW w:w="1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May 19, 2020</w:t>
            </w: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June 25, 2020</w:t>
            </w:r>
          </w:p>
        </w:tc>
        <w:tc>
          <w:tcPr>
            <w:tcW w:w="1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July 30, 2020</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August 31, 2020</w:t>
            </w:r>
          </w:p>
        </w:tc>
        <w:tc>
          <w:tcPr>
            <w:tcW w:w="12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October 30, 2020</w:t>
            </w:r>
          </w:p>
        </w:tc>
        <w:tc>
          <w:tcPr>
            <w:tcW w:w="0" w:type="dxa"/>
            <w:vAlign w:val="bottom"/>
          </w:tcPr>
          <w:p>
            <w:pPr>
              <w:spacing w:after="0"/>
              <w:rPr>
                <w:sz w:val="1"/>
                <w:szCs w:val="1"/>
                <w:color w:val="auto"/>
              </w:rPr>
            </w:pPr>
          </w:p>
        </w:tc>
      </w:tr>
      <w:tr>
        <w:trPr>
          <w:trHeight w:val="120"/>
        </w:trPr>
        <w:tc>
          <w:tcPr>
            <w:tcW w:w="2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Performance period</w:t>
            </w:r>
          </w:p>
        </w:tc>
        <w:tc>
          <w:tcPr>
            <w:tcW w:w="178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3"/>
                <w:szCs w:val="13"/>
                <w:color w:val="auto"/>
                <w:w w:val="91"/>
              </w:rPr>
              <w:t>May 19, 2020 - December 31,</w:t>
            </w:r>
          </w:p>
        </w:tc>
        <w:tc>
          <w:tcPr>
            <w:tcW w:w="1760" w:type="dxa"/>
            <w:vAlign w:val="bottom"/>
            <w:gridSpan w:val="2"/>
            <w:shd w:val="clear" w:color="auto" w:fill="CCEEFF"/>
          </w:tcPr>
          <w:p>
            <w:pPr>
              <w:jc w:val="center"/>
              <w:ind w:right="140"/>
              <w:spacing w:after="0" w:line="120" w:lineRule="exact"/>
              <w:rPr>
                <w:sz w:val="20"/>
                <w:szCs w:val="20"/>
                <w:color w:val="auto"/>
              </w:rPr>
            </w:pPr>
            <w:r>
              <w:rPr>
                <w:rFonts w:ascii="Arial" w:cs="Arial" w:eastAsia="Arial" w:hAnsi="Arial"/>
                <w:sz w:val="13"/>
                <w:szCs w:val="13"/>
                <w:color w:val="auto"/>
                <w:w w:val="89"/>
              </w:rPr>
              <w:t>June 25, 2020 - December 31,</w:t>
            </w:r>
          </w:p>
        </w:tc>
        <w:tc>
          <w:tcPr>
            <w:tcW w:w="1760" w:type="dxa"/>
            <w:vAlign w:val="bottom"/>
            <w:gridSpan w:val="2"/>
            <w:shd w:val="clear" w:color="auto" w:fill="CCEEFF"/>
          </w:tcPr>
          <w:p>
            <w:pPr>
              <w:jc w:val="center"/>
              <w:ind w:right="120"/>
              <w:spacing w:after="0" w:line="120" w:lineRule="exact"/>
              <w:rPr>
                <w:sz w:val="20"/>
                <w:szCs w:val="20"/>
                <w:color w:val="auto"/>
              </w:rPr>
            </w:pPr>
            <w:r>
              <w:rPr>
                <w:rFonts w:ascii="Arial" w:cs="Arial" w:eastAsia="Arial" w:hAnsi="Arial"/>
                <w:sz w:val="13"/>
                <w:szCs w:val="13"/>
                <w:color w:val="auto"/>
                <w:w w:val="91"/>
              </w:rPr>
              <w:t>July 30, 2020 - December 31,</w:t>
            </w:r>
          </w:p>
        </w:tc>
        <w:tc>
          <w:tcPr>
            <w:tcW w:w="1780" w:type="dxa"/>
            <w:vAlign w:val="bottom"/>
            <w:gridSpan w:val="2"/>
            <w:shd w:val="clear" w:color="auto" w:fill="CCEEFF"/>
          </w:tcPr>
          <w:p>
            <w:pPr>
              <w:jc w:val="center"/>
              <w:ind w:right="100"/>
              <w:spacing w:after="0" w:line="120" w:lineRule="exact"/>
              <w:rPr>
                <w:sz w:val="20"/>
                <w:szCs w:val="20"/>
                <w:color w:val="auto"/>
              </w:rPr>
            </w:pPr>
            <w:r>
              <w:rPr>
                <w:rFonts w:ascii="Arial" w:cs="Arial" w:eastAsia="Arial" w:hAnsi="Arial"/>
                <w:sz w:val="13"/>
                <w:szCs w:val="13"/>
                <w:color w:val="auto"/>
                <w:w w:val="91"/>
              </w:rPr>
              <w:t>August 31, 2020 - December</w:t>
            </w:r>
          </w:p>
        </w:tc>
        <w:tc>
          <w:tcPr>
            <w:tcW w:w="1700" w:type="dxa"/>
            <w:vAlign w:val="bottom"/>
            <w:shd w:val="clear" w:color="auto" w:fill="CCEEFF"/>
          </w:tcPr>
          <w:p>
            <w:pPr>
              <w:jc w:val="center"/>
              <w:spacing w:after="0" w:line="120" w:lineRule="exact"/>
              <w:rPr>
                <w:sz w:val="20"/>
                <w:szCs w:val="20"/>
                <w:color w:val="auto"/>
              </w:rPr>
            </w:pPr>
            <w:r>
              <w:rPr>
                <w:rFonts w:ascii="Arial" w:cs="Arial" w:eastAsia="Arial" w:hAnsi="Arial"/>
                <w:sz w:val="13"/>
                <w:szCs w:val="13"/>
                <w:color w:val="auto"/>
                <w:w w:val="90"/>
              </w:rPr>
              <w:t>October 30, 2020 - December</w:t>
            </w:r>
          </w:p>
        </w:tc>
        <w:tc>
          <w:tcPr>
            <w:tcW w:w="0" w:type="dxa"/>
            <w:vAlign w:val="bottom"/>
          </w:tcPr>
          <w:p>
            <w:pPr>
              <w:spacing w:after="0"/>
              <w:rPr>
                <w:sz w:val="1"/>
                <w:szCs w:val="1"/>
                <w:color w:val="auto"/>
              </w:rPr>
            </w:pPr>
          </w:p>
        </w:tc>
      </w:tr>
      <w:tr>
        <w:trPr>
          <w:trHeight w:val="169"/>
        </w:trPr>
        <w:tc>
          <w:tcPr>
            <w:tcW w:w="2460" w:type="dxa"/>
            <w:vAlign w:val="bottom"/>
            <w:gridSpan w:val="2"/>
            <w:vMerge w:val="continue"/>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2024</w:t>
            </w: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2024</w:t>
            </w: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2024</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31, 2024</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31, 2024</w:t>
            </w:r>
          </w:p>
        </w:tc>
        <w:tc>
          <w:tcPr>
            <w:tcW w:w="0" w:type="dxa"/>
            <w:vAlign w:val="bottom"/>
          </w:tcPr>
          <w:p>
            <w:pPr>
              <w:spacing w:after="0"/>
              <w:rPr>
                <w:sz w:val="1"/>
                <w:szCs w:val="1"/>
                <w:color w:val="auto"/>
              </w:rPr>
            </w:pPr>
          </w:p>
        </w:tc>
      </w:tr>
      <w:tr>
        <w:trPr>
          <w:trHeight w:val="18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Awards granted</w:t>
            </w:r>
          </w:p>
        </w:tc>
        <w:tc>
          <w:tcPr>
            <w:tcW w:w="1660" w:type="dxa"/>
            <w:vAlign w:val="bottom"/>
          </w:tcPr>
          <w:p>
            <w:pPr>
              <w:jc w:val="right"/>
              <w:spacing w:after="0"/>
              <w:rPr>
                <w:sz w:val="20"/>
                <w:szCs w:val="20"/>
                <w:color w:val="auto"/>
              </w:rPr>
            </w:pPr>
            <w:r>
              <w:rPr>
                <w:rFonts w:ascii="Arial" w:cs="Arial" w:eastAsia="Arial" w:hAnsi="Arial"/>
                <w:sz w:val="14"/>
                <w:szCs w:val="14"/>
                <w:color w:val="auto"/>
              </w:rPr>
              <w:t>368,921</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13,974</w:t>
            </w:r>
          </w:p>
        </w:tc>
        <w:tc>
          <w:tcPr>
            <w:tcW w:w="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6,987</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6,987</w:t>
            </w:r>
          </w:p>
        </w:tc>
        <w:tc>
          <w:tcPr>
            <w:tcW w:w="0" w:type="dxa"/>
            <w:vAlign w:val="bottom"/>
          </w:tcPr>
          <w:p>
            <w:pPr>
              <w:spacing w:after="0"/>
              <w:rPr>
                <w:sz w:val="1"/>
                <w:szCs w:val="1"/>
                <w:color w:val="auto"/>
              </w:rPr>
            </w:pPr>
          </w:p>
        </w:tc>
      </w:tr>
      <w:tr>
        <w:trPr>
          <w:trHeight w:val="180"/>
        </w:trPr>
        <w:tc>
          <w:tcPr>
            <w:tcW w:w="246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4"/>
                <w:szCs w:val="14"/>
                <w:color w:val="auto"/>
              </w:rPr>
              <w:t xml:space="preserve">Fair value (in millions) </w:t>
            </w:r>
            <w:r>
              <w:rPr>
                <w:rFonts w:ascii="Arial" w:cs="Arial" w:eastAsia="Arial" w:hAnsi="Arial"/>
                <w:sz w:val="18"/>
                <w:szCs w:val="18"/>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Simulation period (years)</w:t>
            </w:r>
          </w:p>
        </w:tc>
        <w:tc>
          <w:tcPr>
            <w:tcW w:w="166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price at grant date</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18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1660" w:type="dxa"/>
            <w:vAlign w:val="bottom"/>
          </w:tcPr>
          <w:p>
            <w:pPr>
              <w:jc w:val="right"/>
              <w:spacing w:after="0"/>
              <w:rPr>
                <w:sz w:val="20"/>
                <w:szCs w:val="20"/>
                <w:color w:val="auto"/>
              </w:rPr>
            </w:pPr>
            <w:r>
              <w:rPr>
                <w:rFonts w:ascii="Arial" w:cs="Arial" w:eastAsia="Arial" w:hAnsi="Arial"/>
                <w:sz w:val="14"/>
                <w:szCs w:val="14"/>
                <w:color w:val="auto"/>
              </w:rPr>
              <w:t>34.54 %</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36.24 %</w:t>
            </w:r>
          </w:p>
        </w:tc>
        <w:tc>
          <w:tcPr>
            <w:tcW w:w="1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37.43 %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37.71 %</w:t>
            </w: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38.72 %</w:t>
            </w:r>
          </w:p>
        </w:tc>
        <w:tc>
          <w:tcPr>
            <w:tcW w:w="0" w:type="dxa"/>
            <w:vAlign w:val="bottom"/>
          </w:tcPr>
          <w:p>
            <w:pPr>
              <w:spacing w:after="0"/>
              <w:rPr>
                <w:sz w:val="1"/>
                <w:szCs w:val="1"/>
                <w:color w:val="auto"/>
              </w:rPr>
            </w:pPr>
          </w:p>
        </w:tc>
      </w:tr>
      <w:tr>
        <w:trPr>
          <w:trHeight w:val="18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0.33 %</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0.29 %</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0.24 %</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6216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(1) The total fair value of the new performance awards granted is $4.3 million.</w:t>
      </w:r>
    </w:p>
    <w:p>
      <w:pPr>
        <w:spacing w:after="0" w:line="164"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2019, we granted 306,623 performance awards to our leadership team and certain key employees, payable in shares. The fair value of these performance awards was $1.6 million and was determined by using the Monte-Carlo simulation pricing model. These performance awards were cancelled on May 19, 2020.</w:t>
      </w:r>
    </w:p>
    <w:p>
      <w:pPr>
        <w:spacing w:after="0" w:line="4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During 2018, we granted 113,320 performance awards to our leadership team and certain key employees, payable in shares. The fair value of these performance awards was approximately $2.9 million and was determined by using the weighted average stock price on the grant date of $25.43. These performance awards were cancelled on November 29, 2019.</w:t>
      </w:r>
    </w:p>
    <w:p>
      <w:pPr>
        <w:spacing w:after="0" w:line="2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We recorded stock-based compensation expense, which is included in </w:t>
      </w:r>
      <w:r>
        <w:rPr>
          <w:rFonts w:ascii="Arial" w:cs="Arial" w:eastAsia="Arial" w:hAnsi="Arial"/>
          <w:sz w:val="14"/>
          <w:szCs w:val="14"/>
          <w:i w:val="1"/>
          <w:iCs w:val="1"/>
          <w:color w:val="auto"/>
        </w:rPr>
        <w:t>Regional and unallocated funeral and cemetery costs</w:t>
      </w:r>
      <w:r>
        <w:rPr>
          <w:rFonts w:ascii="Arial" w:cs="Arial" w:eastAsia="Arial" w:hAnsi="Arial"/>
          <w:sz w:val="14"/>
          <w:szCs w:val="14"/>
          <w:color w:val="auto"/>
        </w:rPr>
        <w:t xml:space="preserve"> and </w:t>
      </w:r>
      <w:r>
        <w:rPr>
          <w:rFonts w:ascii="Arial" w:cs="Arial" w:eastAsia="Arial" w:hAnsi="Arial"/>
          <w:sz w:val="14"/>
          <w:szCs w:val="14"/>
          <w:i w:val="1"/>
          <w:iCs w:val="1"/>
          <w:color w:val="auto"/>
        </w:rPr>
        <w:t>General, administrative and other</w:t>
      </w:r>
      <w:r>
        <w:rPr>
          <w:rFonts w:ascii="Arial" w:cs="Arial" w:eastAsia="Arial" w:hAnsi="Arial"/>
          <w:sz w:val="14"/>
          <w:szCs w:val="14"/>
          <w:color w:val="auto"/>
        </w:rPr>
        <w:t xml:space="preserve"> expenses, for performance awards of $4.4 million, $0.2 million and $0.9 million during the years ended December 31, 2018, 2019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Purchase Plan</w:t>
      </w:r>
    </w:p>
    <w:p>
      <w:pPr>
        <w:spacing w:after="0" w:line="9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We provide all employees the opportunity to purchase common stock through payroll deductions in our ESPP. Purchases are made quarterly; the price being 85% of the lower of the price on the first day of the plan entry date (beginning of the fiscal year) or the actual date of purchase (end of quarter). In 2020, employees purchased a total of 71,908 shares at a weighted average price of $16.71 per share. In 2019, employees purchased a total of 73,731 shares at a weighted average price of $13.18 per share. In 2018, employees purchased a total of 49,938 shares at a weighted average price of $18.56 per share.</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We recorded stock-based compensation expense, which is included in </w:t>
      </w:r>
      <w:r>
        <w:rPr>
          <w:rFonts w:ascii="Arial" w:cs="Arial" w:eastAsia="Arial" w:hAnsi="Arial"/>
          <w:sz w:val="14"/>
          <w:szCs w:val="14"/>
          <w:i w:val="1"/>
          <w:iCs w:val="1"/>
          <w:color w:val="auto"/>
        </w:rPr>
        <w:t>Regional and unallocated funeral and cemetery costs</w:t>
      </w:r>
      <w:r>
        <w:rPr>
          <w:rFonts w:ascii="Arial" w:cs="Arial" w:eastAsia="Arial" w:hAnsi="Arial"/>
          <w:sz w:val="14"/>
          <w:szCs w:val="14"/>
          <w:color w:val="auto"/>
        </w:rPr>
        <w:t xml:space="preserve"> and </w:t>
      </w:r>
      <w:r>
        <w:rPr>
          <w:rFonts w:ascii="Arial" w:cs="Arial" w:eastAsia="Arial" w:hAnsi="Arial"/>
          <w:sz w:val="14"/>
          <w:szCs w:val="14"/>
          <w:i w:val="1"/>
          <w:iCs w:val="1"/>
          <w:color w:val="auto"/>
        </w:rPr>
        <w:t>General, administrative and other</w:t>
      </w:r>
      <w:r>
        <w:rPr>
          <w:rFonts w:ascii="Arial" w:cs="Arial" w:eastAsia="Arial" w:hAnsi="Arial"/>
          <w:sz w:val="14"/>
          <w:szCs w:val="14"/>
          <w:color w:val="auto"/>
        </w:rPr>
        <w:t xml:space="preserve"> expenses, for our ESPP of approximately $0.2 million, $0.3 million and $0.4 million during the years ended December 31, 2018, 2019 and 2020, respectively.</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fair values of the right to purchase shares under the ESPP are estimated at the date of purchase with the four quarterly purchase dates using the following assumptions: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rPr>
              <w:t>Years Ended December 31,</w:t>
            </w:r>
          </w:p>
        </w:tc>
        <w:tc>
          <w:tcPr>
            <w:tcW w:w="2840" w:type="dxa"/>
            <w:vAlign w:val="bottom"/>
            <w:tcBorders>
              <w:bottom w:val="single" w:sz="8" w:color="auto"/>
            </w:tcBorders>
          </w:tcPr>
          <w:p>
            <w:pPr>
              <w:spacing w:after="0"/>
              <w:rPr>
                <w:sz w:val="14"/>
                <w:szCs w:val="14"/>
                <w:color w:val="auto"/>
              </w:rPr>
            </w:pPr>
          </w:p>
        </w:tc>
      </w:tr>
      <w:tr>
        <w:trPr>
          <w:trHeight w:val="160"/>
        </w:trPr>
        <w:tc>
          <w:tcPr>
            <w:tcW w:w="2560" w:type="dxa"/>
            <w:vAlign w:val="bottom"/>
            <w:tcBorders>
              <w:bottom w:val="single" w:sz="8" w:color="CCEEFF"/>
            </w:tcBorders>
          </w:tcPr>
          <w:p>
            <w:pPr>
              <w:spacing w:after="0"/>
              <w:rPr>
                <w:sz w:val="13"/>
                <w:szCs w:val="13"/>
                <w:color w:val="auto"/>
              </w:rPr>
            </w:pPr>
          </w:p>
        </w:tc>
        <w:tc>
          <w:tcPr>
            <w:tcW w:w="2820" w:type="dxa"/>
            <w:vAlign w:val="bottom"/>
            <w:tcBorders>
              <w:bottom w:val="single" w:sz="8" w:color="auto"/>
            </w:tcBorders>
          </w:tcPr>
          <w:p>
            <w:pPr>
              <w:jc w:val="right"/>
              <w:ind w:right="105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3"/>
                <w:szCs w:val="13"/>
                <w:color w:val="auto"/>
              </w:rPr>
            </w:pPr>
          </w:p>
        </w:tc>
        <w:tc>
          <w:tcPr>
            <w:tcW w:w="2820" w:type="dxa"/>
            <w:vAlign w:val="bottom"/>
            <w:tcBorders>
              <w:bottom w:val="single" w:sz="8" w:color="auto"/>
            </w:tcBorders>
          </w:tcPr>
          <w:p>
            <w:pPr>
              <w:jc w:val="right"/>
              <w:ind w:right="105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840" w:type="dxa"/>
            <w:vAlign w:val="bottom"/>
            <w:tcBorders>
              <w:bottom w:val="single" w:sz="8" w:color="auto"/>
            </w:tcBorders>
          </w:tcPr>
          <w:p>
            <w:pPr>
              <w:jc w:val="right"/>
              <w:ind w:right="1071"/>
              <w:spacing w:after="0"/>
              <w:rPr>
                <w:sz w:val="20"/>
                <w:szCs w:val="20"/>
                <w:color w:val="auto"/>
              </w:rPr>
            </w:pPr>
            <w:r>
              <w:rPr>
                <w:rFonts w:ascii="Arial" w:cs="Arial" w:eastAsia="Arial" w:hAnsi="Arial"/>
                <w:sz w:val="13"/>
                <w:szCs w:val="13"/>
                <w:b w:val="1"/>
                <w:bCs w:val="1"/>
                <w:color w:val="auto"/>
              </w:rPr>
              <w:t>2020</w:t>
            </w:r>
          </w:p>
        </w:tc>
      </w:tr>
      <w:tr>
        <w:trPr>
          <w:trHeight w:val="17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2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820" w:type="dxa"/>
            <w:vAlign w:val="bottom"/>
          </w:tcPr>
          <w:p>
            <w:pPr>
              <w:jc w:val="right"/>
              <w:spacing w:after="0"/>
              <w:rPr>
                <w:sz w:val="20"/>
                <w:szCs w:val="20"/>
                <w:color w:val="auto"/>
              </w:rPr>
            </w:pPr>
            <w:r>
              <w:rPr>
                <w:rFonts w:ascii="Arial" w:cs="Arial" w:eastAsia="Arial" w:hAnsi="Arial"/>
                <w:sz w:val="14"/>
                <w:szCs w:val="14"/>
                <w:color w:val="auto"/>
              </w:rPr>
              <w:t>20.9 %</w:t>
            </w:r>
          </w:p>
        </w:tc>
        <w:tc>
          <w:tcPr>
            <w:tcW w:w="10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36.1 %</w:t>
            </w:r>
          </w:p>
        </w:tc>
        <w:tc>
          <w:tcPr>
            <w:tcW w:w="1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4"/>
                <w:szCs w:val="14"/>
                <w:color w:val="auto"/>
              </w:rPr>
              <w:t>48.6 %</w:t>
            </w:r>
          </w:p>
        </w:tc>
      </w:tr>
      <w:tr>
        <w:trPr>
          <w:trHeight w:val="180"/>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1.61%, 1.72%, 1.83%</w:t>
            </w: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2.51%, 2.56%, 2.60%</w:t>
            </w:r>
          </w:p>
        </w:tc>
        <w:tc>
          <w:tcPr>
            <w:tcW w:w="1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 1.57%, 1.57%, 1.56%</w:t>
            </w:r>
          </w:p>
        </w:tc>
      </w:tr>
      <w:tr>
        <w:trPr>
          <w:trHeight w:val="180"/>
        </w:trPr>
        <w:tc>
          <w:tcPr>
            <w:tcW w:w="2560" w:type="dxa"/>
            <w:vAlign w:val="bottom"/>
          </w:tcPr>
          <w:p>
            <w:pPr>
              <w:ind w:left="20"/>
              <w:spacing w:after="0"/>
              <w:rPr>
                <w:sz w:val="20"/>
                <w:szCs w:val="20"/>
                <w:color w:val="auto"/>
              </w:rPr>
            </w:pPr>
            <w:r>
              <w:rPr>
                <w:rFonts w:ascii="Arial" w:cs="Arial" w:eastAsia="Arial" w:hAnsi="Arial"/>
                <w:sz w:val="14"/>
                <w:szCs w:val="14"/>
                <w:color w:val="auto"/>
              </w:rPr>
              <w:t>Expected life (years)</w:t>
            </w:r>
          </w:p>
        </w:tc>
        <w:tc>
          <w:tcPr>
            <w:tcW w:w="2820" w:type="dxa"/>
            <w:vAlign w:val="bottom"/>
          </w:tcPr>
          <w:p>
            <w:pPr>
              <w:jc w:val="right"/>
              <w:spacing w:after="0"/>
              <w:rPr>
                <w:sz w:val="20"/>
                <w:szCs w:val="20"/>
                <w:color w:val="auto"/>
              </w:rPr>
            </w:pPr>
            <w:r>
              <w:rPr>
                <w:rFonts w:ascii="Arial" w:cs="Arial" w:eastAsia="Arial" w:hAnsi="Arial"/>
                <w:sz w:val="14"/>
                <w:szCs w:val="14"/>
                <w:color w:val="auto"/>
              </w:rPr>
              <w:t>0.25, 0.50, 0.75, 1.00</w:t>
            </w:r>
          </w:p>
        </w:tc>
        <w:tc>
          <w:tcPr>
            <w:tcW w:w="10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0.25, 0.50, .0.75, 1.00</w:t>
            </w:r>
          </w:p>
        </w:tc>
        <w:tc>
          <w:tcPr>
            <w:tcW w:w="1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4"/>
                <w:szCs w:val="14"/>
                <w:color w:val="auto"/>
              </w:rPr>
              <w:t>0.25, 0.50, 0.75, 1.00</w:t>
            </w:r>
          </w:p>
        </w:tc>
      </w:tr>
    </w:tbl>
    <w:p>
      <w:pPr>
        <w:spacing w:after="0" w:line="148" w:lineRule="exact"/>
        <w:rPr>
          <w:sz w:val="20"/>
          <w:szCs w:val="20"/>
          <w:color w:val="auto"/>
        </w:rPr>
      </w:pPr>
    </w:p>
    <w:p>
      <w:pPr>
        <w:ind w:firstLine="318"/>
        <w:spacing w:after="0" w:line="367" w:lineRule="auto"/>
        <w:rPr>
          <w:sz w:val="20"/>
          <w:szCs w:val="20"/>
          <w:color w:val="auto"/>
        </w:rPr>
      </w:pPr>
      <w:r>
        <w:rPr>
          <w:rFonts w:ascii="Arial" w:cs="Arial" w:eastAsia="Arial" w:hAnsi="Arial"/>
          <w:sz w:val="12"/>
          <w:szCs w:val="12"/>
          <w:color w:val="auto"/>
        </w:rPr>
        <w:t>Expected volatilities are based on the historical volatility during the previous twelve months of the underlying common stock. The risk-free rate for the quarterly purchase periods is based on the U.S. Treasury yields in effect at the time of purchase. The expected life of the ESPP grants represents the calendar quarters from the beginning of the year to the purchase date (end of each quarter).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 To Great Incentive Program</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February 19, 2020, we issued 17,991 shares of our common stock to certain employees, which were valued at approximately $0.4 million at a grant date stock price of $25.00.</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2019, we issued 14,844 shares of our common stock to certain employees, which were valued at approximately $0.3 million at a grant date stock price of $19.92.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48" w:lineRule="exact"/>
        <w:rPr>
          <w:sz w:val="20"/>
          <w:szCs w:val="20"/>
          <w:color w:val="auto"/>
        </w:rPr>
      </w:pPr>
    </w:p>
    <w:p>
      <w:pPr>
        <w:ind w:right="1500" w:firstLine="318"/>
        <w:spacing w:after="0" w:line="378" w:lineRule="auto"/>
        <w:rPr>
          <w:sz w:val="20"/>
          <w:szCs w:val="20"/>
          <w:color w:val="auto"/>
        </w:rPr>
      </w:pPr>
      <w:r>
        <w:rPr>
          <w:rFonts w:ascii="Arial" w:cs="Arial" w:eastAsia="Arial" w:hAnsi="Arial"/>
          <w:sz w:val="14"/>
          <w:szCs w:val="14"/>
          <w:color w:val="auto"/>
        </w:rPr>
        <w:t xml:space="preserve">During 2018, we issued 5,712 shares of our common stock to certain employees, which were valued at approximately $0.1 million at a grant date stock price of $25.43. </w:t>
      </w:r>
      <w:r>
        <w:rPr>
          <w:rFonts w:ascii="Arial" w:cs="Arial" w:eastAsia="Arial" w:hAnsi="Arial"/>
          <w:sz w:val="14"/>
          <w:szCs w:val="14"/>
          <w:i w:val="1"/>
          <w:iCs w:val="1"/>
          <w:color w:val="auto"/>
        </w:rPr>
        <w:t>Director (Non-Employee) Compensation Plans</w:t>
      </w:r>
    </w:p>
    <w:p>
      <w:pPr>
        <w:spacing w:after="0" w:line="1"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3"/>
          <w:szCs w:val="13"/>
          <w:color w:val="auto"/>
        </w:rPr>
        <w:t>On February 19, 2020, our Board revised the Director Compensation Policy to provide that each independent director is entitled to a quarterly retainer of $35,000 payable in cash and/or unrestricted shares of our common stock at the end of each quarter. The Lead Director and chairman of our Audit Committee are entitled to an additional annual retainer of $10,000, payable in quarterly installments of $2,500 each at the end of each quarter, and the chairman of our Corporate Governance and Compensation Committees are entitled to an additional annual retainer of $5,000, payable in quarterly installments of $1,250 each at the end of each quarter. Any new independent director will receive upon admission to the Board a grant of $25,000 (in addition to the independent director annual retainer prorated at the time the new director is admitted to the Board) which can be taken in cash or unrestricted shares of our common stock. The number of shares of such common stock will be determined by dividing the cash amount by the closing price of our common stock on the date of grant, which will be the date of admission to the Board.</w:t>
      </w:r>
    </w:p>
    <w:p>
      <w:pPr>
        <w:spacing w:after="0" w:line="51"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On April 23, 2020, as part of our broad-based effort to respond to COVID-19, the Board approved a temporary reduction of the quarterly retainer for our non-employee directors from $35,000 per quarter to $29,750 per quarter (or 15%) effective April 19, 2020. On June 26, 2020, the Board voted to reinstate the quarterly retainer back to 100% effective as of June 28, 2020.</w:t>
      </w:r>
    </w:p>
    <w:p>
      <w:pPr>
        <w:spacing w:after="0" w:line="25"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July 30, 2020, the Board elected Dr. Achille Messac to serve as a Class II Director until the 2022 annual meeting of shareholders. Mr. Messac was appointed to serve on the Audit, Compensation and Corporate Governance Committees.</w:t>
      </w:r>
    </w:p>
    <w:p>
      <w:pPr>
        <w:spacing w:after="0" w:line="48"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Pursuant to the revised Director Compensation Policy described above, for the year ended December 31, 2020, we granted 30,883 shares of our common stock to six Directors, which were valued at $0.7 million at a weighted average stock price of $21.16. For the year ended December 31, 2019, we granted 7,458 shares of our common stock to two Directors, which were valued at $0.2 million at a weighted average stock price of $20.78. For the year ended December 31, 2018, we granted 7,403 shares of our common stock to three Directors, which were valued at $0.2 million at a weighted average stock price of $20.52.</w:t>
      </w:r>
    </w:p>
    <w:p>
      <w:pPr>
        <w:spacing w:after="0" w:line="6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 xml:space="preserve">We recorded compensation expense, which is included in </w:t>
      </w:r>
      <w:r>
        <w:rPr>
          <w:rFonts w:ascii="Arial" w:cs="Arial" w:eastAsia="Arial" w:hAnsi="Arial"/>
          <w:sz w:val="14"/>
          <w:szCs w:val="14"/>
          <w:i w:val="1"/>
          <w:iCs w:val="1"/>
          <w:color w:val="auto"/>
        </w:rPr>
        <w:t>General, administrative and other</w:t>
      </w:r>
      <w:r>
        <w:rPr>
          <w:rFonts w:ascii="Arial" w:cs="Arial" w:eastAsia="Arial" w:hAnsi="Arial"/>
          <w:sz w:val="14"/>
          <w:szCs w:val="14"/>
          <w:color w:val="auto"/>
        </w:rPr>
        <w:t xml:space="preserve"> expenses, related to annual retainers, including the value of stock granted to Directors above, of $0.5 million, $0.5 million and $0.9 million during the years ended December 31, 2018, 2019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Dividends</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On May 19, 2020, the Board approved an increase of $0.05 per share to our annual dividend beginning with the dividend declaration in the third quarter. On October 27, 2020, the Board approved an additional increase of $0.0125 per share for a total annual dividend of $0.40 per share beginning with the dividend declaration in the fourth quarter.</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Board declared the following dividends payable on the dates below (in thousands, except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gridSpan w:val="3"/>
          </w:tcPr>
          <w:p>
            <w:pPr>
              <w:ind w:left="20"/>
              <w:spacing w:after="0"/>
              <w:rPr>
                <w:sz w:val="20"/>
                <w:szCs w:val="20"/>
                <w:color w:val="auto"/>
              </w:rPr>
            </w:pPr>
            <w:r>
              <w:rPr>
                <w:rFonts w:ascii="Arial" w:cs="Arial" w:eastAsia="Arial" w:hAnsi="Arial"/>
                <w:sz w:val="11"/>
                <w:szCs w:val="11"/>
                <w:b w:val="1"/>
                <w:bCs w:val="1"/>
                <w:color w:val="auto"/>
              </w:rPr>
              <w:t>2020</w:t>
            </w:r>
          </w:p>
        </w:tc>
        <w:tc>
          <w:tcPr>
            <w:tcW w:w="4820" w:type="dxa"/>
            <w:vAlign w:val="bottom"/>
          </w:tcPr>
          <w:p>
            <w:pPr>
              <w:spacing w:after="0"/>
              <w:rPr>
                <w:sz w:val="10"/>
                <w:szCs w:val="10"/>
                <w:color w:val="auto"/>
              </w:rPr>
            </w:pPr>
          </w:p>
        </w:tc>
        <w:tc>
          <w:tcPr>
            <w:tcW w:w="920" w:type="dxa"/>
            <w:vAlign w:val="bottom"/>
          </w:tcPr>
          <w:p>
            <w:pPr>
              <w:jc w:val="right"/>
              <w:ind w:right="116"/>
              <w:spacing w:after="0"/>
              <w:rPr>
                <w:sz w:val="20"/>
                <w:szCs w:val="20"/>
                <w:color w:val="auto"/>
              </w:rPr>
            </w:pPr>
            <w:r>
              <w:rPr>
                <w:rFonts w:ascii="Arial" w:cs="Arial" w:eastAsia="Arial" w:hAnsi="Arial"/>
                <w:sz w:val="11"/>
                <w:szCs w:val="11"/>
                <w:b w:val="1"/>
                <w:bCs w:val="1"/>
                <w:color w:val="auto"/>
              </w:rPr>
              <w:t>Per Share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jc w:val="right"/>
              <w:ind w:right="692"/>
              <w:spacing w:after="0"/>
              <w:rPr>
                <w:sz w:val="20"/>
                <w:szCs w:val="20"/>
                <w:color w:val="auto"/>
              </w:rPr>
            </w:pPr>
            <w:r>
              <w:rPr>
                <w:rFonts w:ascii="Arial" w:cs="Arial" w:eastAsia="Arial" w:hAnsi="Arial"/>
                <w:sz w:val="11"/>
                <w:szCs w:val="11"/>
                <w:b w:val="1"/>
                <w:bCs w:val="1"/>
                <w:color w:val="auto"/>
                <w:w w:val="97"/>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March 1st</w:t>
            </w:r>
          </w:p>
        </w:tc>
        <w:tc>
          <w:tcPr>
            <w:tcW w:w="48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r>
      <w:tr>
        <w:trPr>
          <w:trHeight w:val="180"/>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color w:val="auto"/>
              </w:rPr>
              <w:t>June 1st</w:t>
            </w:r>
          </w:p>
        </w:tc>
        <w:tc>
          <w:tcPr>
            <w:tcW w:w="5740" w:type="dxa"/>
            <w:vAlign w:val="bottom"/>
            <w:gridSpan w:val="2"/>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0.0750</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1,343</w:t>
            </w:r>
          </w:p>
        </w:tc>
      </w:tr>
      <w:tr>
        <w:trPr>
          <w:trHeight w:val="180"/>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1st</w:t>
            </w:r>
          </w:p>
        </w:tc>
        <w:tc>
          <w:tcPr>
            <w:tcW w:w="5740" w:type="dxa"/>
            <w:vAlign w:val="bottom"/>
            <w:gridSpan w:val="2"/>
            <w:shd w:val="clear" w:color="auto" w:fill="CCEEFF"/>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0.0875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r>
      <w:tr>
        <w:trPr>
          <w:trHeight w:val="180"/>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color w:val="auto"/>
              </w:rPr>
              <w:t>December 1st</w:t>
            </w:r>
          </w:p>
        </w:tc>
        <w:tc>
          <w:tcPr>
            <w:tcW w:w="5740" w:type="dxa"/>
            <w:vAlign w:val="bottom"/>
            <w:gridSpan w:val="2"/>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0.1000</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1,797</w:t>
            </w:r>
          </w:p>
        </w:tc>
      </w:tr>
      <w:tr>
        <w:trPr>
          <w:trHeight w:val="170"/>
        </w:trPr>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48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16"/>
        </w:trPr>
        <w:tc>
          <w:tcPr>
            <w:tcW w:w="32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2019</w:t>
            </w:r>
          </w:p>
        </w:tc>
        <w:tc>
          <w:tcPr>
            <w:tcW w:w="4820" w:type="dxa"/>
            <w:vAlign w:val="bottom"/>
          </w:tcPr>
          <w:p>
            <w:pPr>
              <w:spacing w:after="0"/>
              <w:rPr>
                <w:sz w:val="10"/>
                <w:szCs w:val="10"/>
                <w:color w:val="auto"/>
              </w:rPr>
            </w:pPr>
          </w:p>
        </w:tc>
        <w:tc>
          <w:tcPr>
            <w:tcW w:w="920" w:type="dxa"/>
            <w:vAlign w:val="bottom"/>
          </w:tcPr>
          <w:p>
            <w:pPr>
              <w:jc w:val="right"/>
              <w:ind w:right="116"/>
              <w:spacing w:after="0" w:line="117" w:lineRule="exact"/>
              <w:rPr>
                <w:sz w:val="20"/>
                <w:szCs w:val="20"/>
                <w:color w:val="auto"/>
              </w:rPr>
            </w:pPr>
            <w:r>
              <w:rPr>
                <w:rFonts w:ascii="Arial" w:cs="Arial" w:eastAsia="Arial" w:hAnsi="Arial"/>
                <w:sz w:val="11"/>
                <w:szCs w:val="11"/>
                <w:b w:val="1"/>
                <w:bCs w:val="1"/>
                <w:color w:val="auto"/>
              </w:rPr>
              <w:t>Per Share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jc w:val="right"/>
              <w:ind w:right="692"/>
              <w:spacing w:after="0" w:line="117" w:lineRule="exact"/>
              <w:rPr>
                <w:sz w:val="20"/>
                <w:szCs w:val="20"/>
                <w:color w:val="auto"/>
              </w:rPr>
            </w:pPr>
            <w:r>
              <w:rPr>
                <w:rFonts w:ascii="Arial" w:cs="Arial" w:eastAsia="Arial" w:hAnsi="Arial"/>
                <w:sz w:val="11"/>
                <w:szCs w:val="11"/>
                <w:b w:val="1"/>
                <w:bCs w:val="1"/>
                <w:color w:val="auto"/>
                <w:w w:val="97"/>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March 1st</w:t>
            </w:r>
          </w:p>
        </w:tc>
        <w:tc>
          <w:tcPr>
            <w:tcW w:w="48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r>
      <w:tr>
        <w:trPr>
          <w:trHeight w:val="180"/>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color w:val="auto"/>
              </w:rPr>
              <w:t>June 1st</w:t>
            </w:r>
          </w:p>
        </w:tc>
        <w:tc>
          <w:tcPr>
            <w:tcW w:w="5740" w:type="dxa"/>
            <w:vAlign w:val="bottom"/>
            <w:gridSpan w:val="2"/>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0.0750</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1,365</w:t>
            </w:r>
          </w:p>
        </w:tc>
      </w:tr>
      <w:tr>
        <w:trPr>
          <w:trHeight w:val="180"/>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1st</w:t>
            </w:r>
          </w:p>
        </w:tc>
        <w:tc>
          <w:tcPr>
            <w:tcW w:w="5740" w:type="dxa"/>
            <w:vAlign w:val="bottom"/>
            <w:gridSpan w:val="2"/>
            <w:shd w:val="clear" w:color="auto" w:fill="CCEEFF"/>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0.0750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r>
      <w:tr>
        <w:trPr>
          <w:trHeight w:val="180"/>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color w:val="auto"/>
              </w:rPr>
              <w:t>December 1st</w:t>
            </w:r>
          </w:p>
        </w:tc>
        <w:tc>
          <w:tcPr>
            <w:tcW w:w="5740" w:type="dxa"/>
            <w:vAlign w:val="bottom"/>
            <w:gridSpan w:val="2"/>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0.0750</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1,337</w:t>
            </w:r>
          </w:p>
        </w:tc>
      </w:tr>
      <w:tr>
        <w:trPr>
          <w:trHeight w:val="67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20" w:type="dxa"/>
            <w:vAlign w:val="bottom"/>
          </w:tcPr>
          <w:p>
            <w:pPr>
              <w:jc w:val="right"/>
              <w:ind w:right="2229"/>
              <w:spacing w:after="0"/>
              <w:rPr>
                <w:sz w:val="20"/>
                <w:szCs w:val="20"/>
                <w:color w:val="auto"/>
              </w:rPr>
            </w:pPr>
            <w:r>
              <w:rPr>
                <w:rFonts w:ascii="Arial" w:cs="Arial" w:eastAsia="Arial" w:hAnsi="Arial"/>
                <w:sz w:val="14"/>
                <w:szCs w:val="14"/>
                <w:color w:val="auto"/>
              </w:rPr>
              <w:t>92</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48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SHARE REPURCHASE PROGRAM</w:t>
      </w:r>
    </w:p>
    <w:p>
      <w:pPr>
        <w:spacing w:after="0" w:line="97"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During the year ended December 31, 2018, we repurchased 1,101,969 shares of common stock for a total cost of $17.7 million at an average cost of $16.03 per share pursuant to our share repurchase program. On July 31, 2019, our Board approved an additional $25.0 million under our share repurchase program in accordance with Rule 10b-18 of the Securities Exchange Act of 1934, as amended. During the year ended December 31, 2019, we repurchased 400,000 shares of common stock for a total cost of $7.8 million at an average cost of $19.39 per share pursuant to our share repurchase program. 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w:t>
      </w:r>
    </w:p>
    <w:p>
      <w:pPr>
        <w:spacing w:after="0" w:line="4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year ended December 31, 2020, we did not repurchase any common shares. At December 31, 2020, we had approximately $25.6 million available for repurchase under our share repurchase program.</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EARNINGS PER SHARE</w:t>
      </w:r>
    </w:p>
    <w:p>
      <w:pPr>
        <w:spacing w:after="0" w:line="9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Share-based awards that contain non-forfeitable rights to dividends or dividend equivalents, whether paid or unpaid, are participating securities and included in the computation of both basic and diluted earnings per share. Our grants of stock awards to our employees are considered participating securities and we have prepared our earnings per share calculations to exclude earnings allocated to unvested restricted stock awards, using the two-class method, in the basic and diluted weighted average shares outstanding calculation.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computation of the basic and diluted earnings per share (in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58"/>
        </w:trPr>
        <w:tc>
          <w:tcPr>
            <w:tcW w:w="6300" w:type="dxa"/>
            <w:vAlign w:val="bottom"/>
          </w:tcPr>
          <w:p>
            <w:pPr>
              <w:spacing w:after="0"/>
              <w:rPr>
                <w:sz w:val="13"/>
                <w:szCs w:val="13"/>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2018</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r>
      <w:tr>
        <w:trPr>
          <w:trHeight w:val="164"/>
        </w:trPr>
        <w:tc>
          <w:tcPr>
            <w:tcW w:w="6300" w:type="dxa"/>
            <w:vAlign w:val="bottom"/>
          </w:tcPr>
          <w:p>
            <w:pPr>
              <w:ind w:left="20"/>
              <w:spacing w:after="0"/>
              <w:rPr>
                <w:sz w:val="20"/>
                <w:szCs w:val="20"/>
                <w:color w:val="auto"/>
              </w:rPr>
            </w:pPr>
            <w:r>
              <w:rPr>
                <w:rFonts w:ascii="Arial" w:cs="Arial" w:eastAsia="Arial" w:hAnsi="Arial"/>
                <w:sz w:val="14"/>
                <w:szCs w:val="14"/>
                <w:b w:val="1"/>
                <w:bCs w:val="1"/>
                <w:color w:val="auto"/>
              </w:rPr>
              <w:t>Numerator for basic and diluted earnings per share:</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11,645</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14,533</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16,090</w:t>
            </w:r>
          </w:p>
        </w:tc>
      </w:tr>
      <w:tr>
        <w:trPr>
          <w:trHeight w:val="180"/>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Earnings allocated to unvested restricted stock</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63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Income attributable to common stockholders</w:t>
            </w:r>
          </w:p>
        </w:tc>
        <w:tc>
          <w:tcPr>
            <w:tcW w:w="98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11,588</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14,471</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Denominator for basic earnings per common share - weighted average shares outstanding</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17,971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17,877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17,872</w:t>
            </w: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securities: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Notes</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0"/>
        </w:trPr>
        <w:tc>
          <w:tcPr>
            <w:tcW w:w="6300" w:type="dxa"/>
            <w:vAlign w:val="bottom"/>
          </w:tcPr>
          <w:p>
            <w:pPr>
              <w:ind w:left="20"/>
              <w:spacing w:after="0" w:line="160" w:lineRule="exact"/>
              <w:rPr>
                <w:sz w:val="20"/>
                <w:szCs w:val="20"/>
                <w:color w:val="auto"/>
              </w:rPr>
            </w:pPr>
            <w:r>
              <w:rPr>
                <w:rFonts w:ascii="Arial" w:cs="Arial" w:eastAsia="Arial" w:hAnsi="Arial"/>
                <w:sz w:val="14"/>
                <w:szCs w:val="14"/>
                <w:color w:val="auto"/>
              </w:rPr>
              <w:t>Denominator for diluted earnings per common share - weighted average shares outstanding</w:t>
            </w: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18,374</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18,005</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18,077</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3"/>
        </w:trPr>
        <w:tc>
          <w:tcPr>
            <w:tcW w:w="6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Basic earnings per common share</w:t>
            </w:r>
          </w:p>
        </w:tc>
        <w:tc>
          <w:tcPr>
            <w:tcW w:w="98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80" w:type="dxa"/>
            <w:vAlign w:val="bottom"/>
          </w:tcPr>
          <w:p>
            <w:pPr>
              <w:spacing w:after="0"/>
              <w:rPr>
                <w:sz w:val="15"/>
                <w:szCs w:val="15"/>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0.90</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7"/>
        </w:trPr>
        <w:tc>
          <w:tcPr>
            <w:tcW w:w="630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Diluted earnings per common share</w:t>
            </w:r>
          </w:p>
        </w:tc>
        <w:tc>
          <w:tcPr>
            <w:tcW w:w="98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The fully diluted weighted average shares outstanding for the years ended December 31, 2018, 2019 and 2020, and the corresponding calculation of fully diluted earnings per share, included approximately 337,000, 10,000 and 9,000 shares that would have been issued upon the conversion of our convertible subordinated notes as a result of the application of the if-converted method prescribed by the FASB ASC 260.</w:t>
      </w:r>
    </w:p>
    <w:p>
      <w:pPr>
        <w:spacing w:after="0" w:line="5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During the year ended December 31, 2020, no stock options were excluded from the computation of diluted earnings per share. For the years ended December 31, 2018 and 2019, there were 1,660,919 and 338,440 stock options excluded from the computation of diluted earnings per share because the inclusion of such stock options would result in an antidilutive effect.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SEGMENT REPORTING</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conduct funeral and cemetery operations only in the United States. Revenue, disaggregated by major source for each of our reportable segments was as follows (in thousands):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Funeral</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Cemetery</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150,283</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164,984</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Merchandise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84,787</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10,778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95,565</w:t>
            </w:r>
          </w:p>
        </w:tc>
        <w:tc>
          <w:tcPr>
            <w:tcW w:w="0" w:type="dxa"/>
            <w:vAlign w:val="bottom"/>
          </w:tcPr>
          <w:p>
            <w:pPr>
              <w:spacing w:after="0"/>
              <w:rPr>
                <w:sz w:val="1"/>
                <w:szCs w:val="1"/>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Cemetery property</w:t>
            </w:r>
          </w:p>
        </w:tc>
        <w:tc>
          <w:tcPr>
            <w:tcW w:w="9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44,065</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44,065</w:t>
            </w:r>
          </w:p>
        </w:tc>
        <w:tc>
          <w:tcPr>
            <w:tcW w:w="0" w:type="dxa"/>
            <w:vAlign w:val="bottom"/>
          </w:tcPr>
          <w:p>
            <w:pPr>
              <w:spacing w:after="0"/>
              <w:rPr>
                <w:sz w:val="1"/>
                <w:szCs w:val="1"/>
                <w:color w:val="auto"/>
              </w:rPr>
            </w:pPr>
          </w:p>
        </w:tc>
      </w:tr>
      <w:tr>
        <w:trPr>
          <w:trHeight w:val="18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14,068</w:t>
            </w: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10,766</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24,834</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249,138</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80,310</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329,448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3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Funeral</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Cemetery</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131,636</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10,918</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142,554</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Merchandise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75,682</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7,665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83,347</w:t>
            </w:r>
          </w:p>
        </w:tc>
        <w:tc>
          <w:tcPr>
            <w:tcW w:w="0" w:type="dxa"/>
            <w:vAlign w:val="bottom"/>
          </w:tcPr>
          <w:p>
            <w:pPr>
              <w:spacing w:after="0"/>
              <w:rPr>
                <w:sz w:val="1"/>
                <w:szCs w:val="1"/>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Cemetery property</w:t>
            </w:r>
          </w:p>
        </w:tc>
        <w:tc>
          <w:tcPr>
            <w:tcW w:w="9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31,167</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31,167</w:t>
            </w:r>
          </w:p>
        </w:tc>
        <w:tc>
          <w:tcPr>
            <w:tcW w:w="0" w:type="dxa"/>
            <w:vAlign w:val="bottom"/>
          </w:tcPr>
          <w:p>
            <w:pPr>
              <w:spacing w:after="0"/>
              <w:rPr>
                <w:sz w:val="1"/>
                <w:szCs w:val="1"/>
                <w:color w:val="auto"/>
              </w:rPr>
            </w:pPr>
          </w:p>
        </w:tc>
      </w:tr>
      <w:tr>
        <w:trPr>
          <w:trHeight w:val="18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9,550</w:t>
            </w: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7,489</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216,868</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57,239</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274,107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Funeral</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Cemetery</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127,262</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11,342</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138,604</w:t>
            </w:r>
          </w:p>
        </w:tc>
        <w:tc>
          <w:tcPr>
            <w:tcW w:w="0" w:type="dxa"/>
            <w:vAlign w:val="bottom"/>
          </w:tcPr>
          <w:p>
            <w:pPr>
              <w:spacing w:after="0"/>
              <w:rPr>
                <w:sz w:val="1"/>
                <w:szCs w:val="1"/>
                <w:color w:val="auto"/>
              </w:rPr>
            </w:pPr>
          </w:p>
        </w:tc>
      </w:tr>
      <w:tr>
        <w:trPr>
          <w:trHeight w:val="180"/>
        </w:trPr>
        <w:tc>
          <w:tcPr>
            <w:tcW w:w="6300" w:type="dxa"/>
            <w:vAlign w:val="bottom"/>
          </w:tcPr>
          <w:p>
            <w:pPr>
              <w:ind w:left="20"/>
              <w:spacing w:after="0"/>
              <w:rPr>
                <w:sz w:val="20"/>
                <w:szCs w:val="20"/>
                <w:color w:val="auto"/>
              </w:rPr>
            </w:pPr>
            <w:r>
              <w:rPr>
                <w:rFonts w:ascii="Arial" w:cs="Arial" w:eastAsia="Arial" w:hAnsi="Arial"/>
                <w:sz w:val="14"/>
                <w:szCs w:val="14"/>
                <w:color w:val="auto"/>
              </w:rPr>
              <w:t>Merchandise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74,644</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8,158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82,802</w:t>
            </w:r>
          </w:p>
        </w:tc>
        <w:tc>
          <w:tcPr>
            <w:tcW w:w="0" w:type="dxa"/>
            <w:vAlign w:val="bottom"/>
          </w:tcPr>
          <w:p>
            <w:pPr>
              <w:spacing w:after="0"/>
              <w:rPr>
                <w:sz w:val="1"/>
                <w:szCs w:val="1"/>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Cemetery property</w:t>
            </w:r>
          </w:p>
        </w:tc>
        <w:tc>
          <w:tcPr>
            <w:tcW w:w="9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29,451</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29,451</w:t>
            </w:r>
          </w:p>
        </w:tc>
        <w:tc>
          <w:tcPr>
            <w:tcW w:w="0" w:type="dxa"/>
            <w:vAlign w:val="bottom"/>
          </w:tcPr>
          <w:p>
            <w:pPr>
              <w:spacing w:after="0"/>
              <w:rPr>
                <w:sz w:val="1"/>
                <w:szCs w:val="1"/>
                <w:color w:val="auto"/>
              </w:rPr>
            </w:pPr>
          </w:p>
        </w:tc>
      </w:tr>
      <w:tr>
        <w:trPr>
          <w:trHeight w:val="18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8,819</w:t>
            </w:r>
          </w:p>
        </w:tc>
        <w:tc>
          <w:tcPr>
            <w:tcW w:w="1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8,316</w:t>
            </w: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17,135</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210,725</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57,267</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267,992</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following table presents operating income (loss), income (loss) before income taxes, depreciation and amortization, interest expense, income tax expense (benefit), total assets, long-lived assets, capital expenditures and number of operating locations by segment (in thousands, except number of operating locations):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Funeral</w:t>
            </w:r>
          </w:p>
        </w:tc>
        <w:tc>
          <w:tcPr>
            <w:tcW w:w="26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3"/>
                <w:szCs w:val="13"/>
                <w:b w:val="1"/>
                <w:bCs w:val="1"/>
                <w:color w:val="auto"/>
              </w:rPr>
              <w:t>Cemetery</w:t>
            </w:r>
          </w:p>
        </w:tc>
        <w:tc>
          <w:tcPr>
            <w:tcW w:w="2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3"/>
                <w:szCs w:val="13"/>
                <w:b w:val="1"/>
                <w:bCs w:val="1"/>
                <w:color w:val="auto"/>
              </w:rPr>
              <w:t>Corporate</w:t>
            </w:r>
          </w:p>
        </w:tc>
        <w:tc>
          <w:tcPr>
            <w:tcW w:w="220" w:type="dxa"/>
            <w:vAlign w:val="bottom"/>
          </w:tcPr>
          <w:p>
            <w:pPr>
              <w:spacing w:after="0"/>
              <w:rPr>
                <w:sz w:val="14"/>
                <w:szCs w:val="14"/>
                <w:color w:val="auto"/>
              </w:rPr>
            </w:pPr>
          </w:p>
        </w:tc>
        <w:tc>
          <w:tcPr>
            <w:tcW w:w="1200" w:type="dxa"/>
            <w:vAlign w:val="bottom"/>
          </w:tcPr>
          <w:p>
            <w:pPr>
              <w:jc w:val="right"/>
              <w:ind w:right="290"/>
              <w:spacing w:after="0"/>
              <w:rPr>
                <w:sz w:val="20"/>
                <w:szCs w:val="20"/>
                <w:color w:val="auto"/>
              </w:rPr>
            </w:pPr>
            <w:r>
              <w:rPr>
                <w:rFonts w:ascii="Arial" w:cs="Arial" w:eastAsia="Arial" w:hAnsi="Arial"/>
                <w:sz w:val="13"/>
                <w:szCs w:val="13"/>
                <w:b w:val="1"/>
                <w:bCs w:val="1"/>
                <w:color w:val="auto"/>
                <w:w w:val="99"/>
              </w:rPr>
              <w:t>Consolidated</w:t>
            </w:r>
          </w:p>
        </w:tc>
      </w:tr>
      <w:tr>
        <w:trPr>
          <w:trHeight w:val="162"/>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57,622</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26,859</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(27,254)</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57,227</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58,756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47,443</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60,035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14,717</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(32,640)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42,112</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56,875</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27,087</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(59,320)</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24,642</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58,844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16,025</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(52,453)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22,416</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58,896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15,108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(55,738)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18,266</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11,586</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6,376</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1,427</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19,389</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11,128</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17,771</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10,726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4,891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17,430</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1,004</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31,498</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32,515</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25,522</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19,770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21,109</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19,738</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9,401</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(20,587)</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8,552</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20,694</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5,635</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21,349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5,476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6,621</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764,535</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366,964</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14,326</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1,145,825</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790,459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314,413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1,129,755</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686,470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226,475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4,557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917,502</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619,588</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172,122</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995</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792,705</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650,179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145,158</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796,640</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572,916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89,654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664,108</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6,997</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7,025</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1,176</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15,198</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15,379</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3,989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1,241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13,526</w:t>
            </w:r>
          </w:p>
        </w:tc>
      </w:tr>
      <w:tr>
        <w:trPr>
          <w:trHeight w:val="18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operating locations at year end:</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178</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80"/>
        </w:trPr>
        <w:tc>
          <w:tcPr>
            <w:tcW w:w="5020" w:type="dxa"/>
            <w:vAlign w:val="bottom"/>
            <w:shd w:val="clear" w:color="auto" w:fill="CCEEFF"/>
          </w:tcPr>
          <w:p>
            <w:pPr>
              <w:jc w:val="right"/>
              <w:ind w:right="4489"/>
              <w:spacing w:after="0"/>
              <w:rPr>
                <w:sz w:val="20"/>
                <w:szCs w:val="20"/>
                <w:color w:val="auto"/>
              </w:rPr>
            </w:pPr>
            <w:r>
              <w:rPr>
                <w:rFonts w:ascii="Arial" w:cs="Arial" w:eastAsia="Arial" w:hAnsi="Arial"/>
                <w:sz w:val="14"/>
                <w:szCs w:val="14"/>
                <w:color w:val="auto"/>
              </w:rPr>
              <w:t>2019</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180"/>
        </w:trPr>
        <w:tc>
          <w:tcPr>
            <w:tcW w:w="5020" w:type="dxa"/>
            <w:vAlign w:val="bottom"/>
          </w:tcPr>
          <w:p>
            <w:pPr>
              <w:jc w:val="right"/>
              <w:ind w:right="4489"/>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678"/>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670"/>
              <w:spacing w:after="0"/>
              <w:rPr>
                <w:sz w:val="20"/>
                <w:szCs w:val="20"/>
                <w:color w:val="auto"/>
              </w:rPr>
            </w:pPr>
            <w:r>
              <w:rPr>
                <w:rFonts w:ascii="Arial" w:cs="Arial" w:eastAsia="Arial" w:hAnsi="Arial"/>
                <w:sz w:val="14"/>
                <w:szCs w:val="14"/>
                <w:color w:val="auto"/>
              </w:rPr>
              <w:t>95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6"/>
        </w:trPr>
        <w:tc>
          <w:tcPr>
            <w:tcW w:w="5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SUPPLEMENTARY DATA</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detail of certain balance sheet accounts is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58"/>
        </w:trPr>
        <w:tc>
          <w:tcPr>
            <w:tcW w:w="8020" w:type="dxa"/>
            <w:vAlign w:val="bottom"/>
          </w:tcPr>
          <w:p>
            <w:pPr>
              <w:spacing w:after="0"/>
              <w:rPr>
                <w:sz w:val="13"/>
                <w:szCs w:val="1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2020</w:t>
            </w:r>
          </w:p>
        </w:tc>
      </w:tr>
      <w:tr>
        <w:trPr>
          <w:trHeight w:val="164"/>
        </w:trPr>
        <w:tc>
          <w:tcPr>
            <w:tcW w:w="8020" w:type="dxa"/>
            <w:vAlign w:val="bottom"/>
          </w:tcPr>
          <w:p>
            <w:pPr>
              <w:ind w:left="20"/>
              <w:spacing w:after="0"/>
              <w:rPr>
                <w:sz w:val="20"/>
                <w:szCs w:val="20"/>
                <w:color w:val="auto"/>
              </w:rPr>
            </w:pPr>
            <w:r>
              <w:rPr>
                <w:rFonts w:ascii="Arial" w:cs="Arial" w:eastAsia="Arial" w:hAnsi="Arial"/>
                <w:sz w:val="14"/>
                <w:szCs w:val="14"/>
                <w:color w:val="auto"/>
              </w:rPr>
              <w:t>Prepaids and other current assets:</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980" w:type="dxa"/>
            <w:vAlign w:val="bottom"/>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Deposit on pending acquisition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income tax receivable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State income tax receivable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1"/>
        </w:trPr>
        <w:tc>
          <w:tcPr>
            <w:tcW w:w="8020" w:type="dxa"/>
            <w:vAlign w:val="bottom"/>
          </w:tcPr>
          <w:p>
            <w:pPr>
              <w:ind w:left="20"/>
              <w:spacing w:after="0"/>
              <w:rPr>
                <w:sz w:val="20"/>
                <w:szCs w:val="20"/>
                <w:color w:val="auto"/>
              </w:rPr>
            </w:pPr>
            <w:r>
              <w:rPr>
                <w:rFonts w:ascii="Arial" w:cs="Arial" w:eastAsia="Arial" w:hAnsi="Arial"/>
                <w:sz w:val="14"/>
                <w:szCs w:val="14"/>
                <w:color w:val="auto"/>
              </w:rPr>
              <w:t>Total other current assets</w:t>
            </w:r>
          </w:p>
        </w:tc>
        <w:tc>
          <w:tcPr>
            <w:tcW w:w="980" w:type="dxa"/>
            <w:vAlign w:val="bottom"/>
            <w:tcBorders>
              <w:bottom w:val="single" w:sz="8" w:color="auto"/>
            </w:tcBorders>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10,667</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Current portion of debt and lease obligations: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portion of acquisition debt</w:t>
            </w:r>
          </w:p>
        </w:tc>
        <w:tc>
          <w:tcPr>
            <w:tcW w:w="980" w:type="dxa"/>
            <w:vAlign w:val="bottom"/>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Current portion of finance lease obligations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portion of operating lease obligations</w:t>
            </w:r>
          </w:p>
        </w:tc>
        <w:tc>
          <w:tcPr>
            <w:tcW w:w="9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r>
      <w:tr>
        <w:trPr>
          <w:trHeight w:val="171"/>
        </w:trPr>
        <w:tc>
          <w:tcPr>
            <w:tcW w:w="8020" w:type="dxa"/>
            <w:vAlign w:val="bottom"/>
          </w:tcPr>
          <w:p>
            <w:pPr>
              <w:ind w:left="20"/>
              <w:spacing w:after="0"/>
              <w:rPr>
                <w:sz w:val="20"/>
                <w:szCs w:val="20"/>
                <w:color w:val="auto"/>
              </w:rPr>
            </w:pPr>
            <w:r>
              <w:rPr>
                <w:rFonts w:ascii="Arial" w:cs="Arial" w:eastAsia="Arial" w:hAnsi="Arial"/>
                <w:sz w:val="14"/>
                <w:szCs w:val="14"/>
                <w:color w:val="auto"/>
              </w:rPr>
              <w:t>Total current portion of debt and lease obligations</w:t>
            </w:r>
          </w:p>
        </w:tc>
        <w:tc>
          <w:tcPr>
            <w:tcW w:w="980" w:type="dxa"/>
            <w:vAlign w:val="bottom"/>
            <w:tcBorders>
              <w:bottom w:val="single" w:sz="8" w:color="auto"/>
            </w:tcBorders>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Accrued and other liabilities:</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salaries and wages</w:t>
            </w:r>
          </w:p>
        </w:tc>
        <w:tc>
          <w:tcPr>
            <w:tcW w:w="980" w:type="dxa"/>
            <w:vAlign w:val="bottom"/>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Accrued incentive compensation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9,199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11,139</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vacation</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Accrued insurance</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3,016</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interest</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Accrued ad valorem and franchise taxes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Employer payroll tax deferral</w:t>
            </w:r>
          </w:p>
        </w:tc>
        <w:tc>
          <w:tcPr>
            <w:tcW w:w="9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Accrued commissions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634</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Perpetual care trust taxes payable</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Income tax payable</w:t>
            </w:r>
          </w:p>
        </w:tc>
        <w:tc>
          <w:tcPr>
            <w:tcW w:w="9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Unrecognized tax benefit</w:t>
            </w:r>
          </w:p>
        </w:tc>
        <w:tc>
          <w:tcPr>
            <w:tcW w:w="9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3,656</w:t>
            </w:r>
          </w:p>
        </w:tc>
      </w:tr>
      <w:tr>
        <w:trPr>
          <w:trHeight w:val="19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accrued and other liabilities</w:t>
            </w:r>
          </w:p>
        </w:tc>
        <w:tc>
          <w:tcPr>
            <w:tcW w:w="98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24,026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Incentive compensation</w:t>
            </w:r>
          </w:p>
        </w:tc>
        <w:tc>
          <w:tcPr>
            <w:tcW w:w="980" w:type="dxa"/>
            <w:vAlign w:val="bottom"/>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1,267</w:t>
            </w:r>
          </w:p>
        </w:tc>
        <w:tc>
          <w:tcPr>
            <w:tcW w:w="1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2,975</w:t>
            </w:r>
          </w:p>
        </w:tc>
      </w:tr>
      <w:tr>
        <w:trPr>
          <w:trHeight w:val="180"/>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Contingent consideration</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20" w:type="dxa"/>
            <w:vAlign w:val="bottom"/>
          </w:tcPr>
          <w:p>
            <w:pPr>
              <w:ind w:left="180"/>
              <w:spacing w:after="0"/>
              <w:rPr>
                <w:sz w:val="20"/>
                <w:szCs w:val="20"/>
                <w:color w:val="auto"/>
              </w:rPr>
            </w:pPr>
            <w:r>
              <w:rPr>
                <w:rFonts w:ascii="Arial" w:cs="Arial" w:eastAsia="Arial" w:hAnsi="Arial"/>
                <w:sz w:val="14"/>
                <w:szCs w:val="14"/>
                <w:color w:val="auto"/>
              </w:rPr>
              <w:t>Employer payroll tax deferral</w:t>
            </w:r>
          </w:p>
        </w:tc>
        <w:tc>
          <w:tcPr>
            <w:tcW w:w="9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1,773</w:t>
            </w:r>
          </w:p>
        </w:tc>
      </w:tr>
      <w:tr>
        <w:trPr>
          <w:trHeight w:val="196"/>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long-term liabilities</w:t>
            </w:r>
          </w:p>
        </w:tc>
        <w:tc>
          <w:tcPr>
            <w:tcW w:w="98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QUARTERLY FINANCIAL DATA (UNAUDITED)</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tables below set forth consolidated operating results by fiscal quarter (in thousands, except earnings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Arial" w:cs="Arial" w:eastAsia="Arial" w:hAnsi="Arial"/>
                <w:sz w:val="13"/>
                <w:szCs w:val="13"/>
                <w:b w:val="1"/>
                <w:bCs w:val="1"/>
                <w:color w:val="auto"/>
              </w:rPr>
              <w:t>First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Second</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1"/>
              <w:spacing w:after="0"/>
              <w:rPr>
                <w:sz w:val="20"/>
                <w:szCs w:val="20"/>
                <w:color w:val="auto"/>
              </w:rPr>
            </w:pPr>
            <w:r>
              <w:rPr>
                <w:rFonts w:ascii="Arial" w:cs="Arial" w:eastAsia="Arial" w:hAnsi="Arial"/>
                <w:sz w:val="13"/>
                <w:szCs w:val="13"/>
                <w:b w:val="1"/>
                <w:bCs w:val="1"/>
                <w:color w:val="auto"/>
              </w:rPr>
              <w:t>Third</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51"/>
              <w:spacing w:after="0"/>
              <w:rPr>
                <w:sz w:val="20"/>
                <w:szCs w:val="20"/>
                <w:color w:val="auto"/>
              </w:rPr>
            </w:pPr>
            <w:r>
              <w:rPr>
                <w:rFonts w:ascii="Arial" w:cs="Arial" w:eastAsia="Arial" w:hAnsi="Arial"/>
                <w:sz w:val="13"/>
                <w:szCs w:val="13"/>
                <w:b w:val="1"/>
                <w:bCs w:val="1"/>
                <w:color w:val="auto"/>
              </w:rPr>
              <w:t>Fourth</w:t>
            </w:r>
          </w:p>
        </w:tc>
        <w:tc>
          <w:tcPr>
            <w:tcW w:w="0" w:type="dxa"/>
            <w:vAlign w:val="bottom"/>
          </w:tcPr>
          <w:p>
            <w:pPr>
              <w:spacing w:after="0"/>
              <w:rPr>
                <w:sz w:val="1"/>
                <w:szCs w:val="1"/>
                <w:color w:val="auto"/>
              </w:rPr>
            </w:pPr>
          </w:p>
        </w:tc>
      </w:tr>
      <w:tr>
        <w:trPr>
          <w:trHeight w:val="167"/>
        </w:trPr>
        <w:tc>
          <w:tcPr>
            <w:tcW w:w="50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Quarter</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Quarter</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Quarter</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Quarter</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Arial" w:cs="Arial" w:eastAsia="Arial" w:hAnsi="Arial"/>
                <w:sz w:val="14"/>
                <w:szCs w:val="14"/>
                <w:color w:val="auto"/>
              </w:rPr>
              <w:t>Revenue</w:t>
            </w: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77,490</w:t>
            </w:r>
          </w:p>
        </w:tc>
        <w:tc>
          <w:tcPr>
            <w:tcW w:w="180" w:type="dxa"/>
            <w:vAlign w:val="bottom"/>
          </w:tcPr>
          <w:p>
            <w:pPr>
              <w:spacing w:after="0"/>
              <w:rPr>
                <w:sz w:val="15"/>
                <w:szCs w:val="15"/>
                <w:color w:val="auto"/>
              </w:rPr>
            </w:pP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77,477</w:t>
            </w:r>
          </w:p>
        </w:tc>
        <w:tc>
          <w:tcPr>
            <w:tcW w:w="180" w:type="dxa"/>
            <w:vAlign w:val="bottom"/>
          </w:tcPr>
          <w:p>
            <w:pPr>
              <w:spacing w:after="0"/>
              <w:rPr>
                <w:sz w:val="15"/>
                <w:szCs w:val="15"/>
                <w:color w:val="auto"/>
              </w:rPr>
            </w:pP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84,393</w:t>
            </w:r>
          </w:p>
        </w:tc>
        <w:tc>
          <w:tcPr>
            <w:tcW w:w="1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90,088</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Gross profit</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23,171</w:t>
            </w:r>
          </w:p>
        </w:tc>
        <w:tc>
          <w:tcPr>
            <w:tcW w:w="1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25,160</w:t>
            </w:r>
          </w:p>
        </w:tc>
        <w:tc>
          <w:tcPr>
            <w:tcW w:w="1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27,874</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29,718</w:t>
            </w:r>
          </w:p>
        </w:tc>
        <w:tc>
          <w:tcPr>
            <w:tcW w:w="0" w:type="dxa"/>
            <w:vAlign w:val="bottom"/>
          </w:tcPr>
          <w:p>
            <w:pPr>
              <w:spacing w:after="0"/>
              <w:rPr>
                <w:sz w:val="1"/>
                <w:szCs w:val="1"/>
                <w:color w:val="auto"/>
              </w:rPr>
            </w:pPr>
          </w:p>
        </w:tc>
      </w:tr>
      <w:tr>
        <w:trPr>
          <w:trHeight w:val="170"/>
        </w:trPr>
        <w:tc>
          <w:tcPr>
            <w:tcW w:w="5020" w:type="dxa"/>
            <w:vAlign w:val="bottom"/>
          </w:tcPr>
          <w:p>
            <w:pPr>
              <w:ind w:left="180"/>
              <w:spacing w:after="0" w:line="160" w:lineRule="exact"/>
              <w:rPr>
                <w:sz w:val="20"/>
                <w:szCs w:val="20"/>
                <w:color w:val="auto"/>
              </w:rPr>
            </w:pPr>
            <w:r>
              <w:rPr>
                <w:rFonts w:ascii="Arial" w:cs="Arial" w:eastAsia="Arial" w:hAnsi="Arial"/>
                <w:sz w:val="14"/>
                <w:szCs w:val="14"/>
                <w:color w:val="auto"/>
              </w:rPr>
              <w:t>Net income (loss)</w:t>
            </w: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(4,197)</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6,397</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5,525</w:t>
            </w:r>
          </w:p>
        </w:tc>
        <w:tc>
          <w:tcPr>
            <w:tcW w:w="1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shd w:val="clear" w:color="auto" w:fill="CCEEFF"/>
          </w:tcPr>
          <w:p>
            <w:pPr>
              <w:ind w:left="180"/>
              <w:spacing w:after="0" w:line="160" w:lineRule="exact"/>
              <w:rPr>
                <w:sz w:val="20"/>
                <w:szCs w:val="20"/>
                <w:color w:val="auto"/>
              </w:rPr>
            </w:pPr>
            <w:r>
              <w:rPr>
                <w:rFonts w:ascii="Arial" w:cs="Arial" w:eastAsia="Arial" w:hAnsi="Arial"/>
                <w:sz w:val="14"/>
                <w:szCs w:val="14"/>
                <w:color w:val="auto"/>
              </w:rPr>
              <w:t>Basic earnings (loss) per common share: (a)</w:t>
            </w: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Arial" w:cs="Arial" w:eastAsia="Arial" w:hAnsi="Arial"/>
                <w:sz w:val="14"/>
                <w:szCs w:val="14"/>
                <w:color w:val="auto"/>
              </w:rPr>
              <w:t>Diluted earnings (loss) per common share: (a)</w:t>
            </w: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(0.23)</w:t>
            </w:r>
          </w:p>
        </w:tc>
        <w:tc>
          <w:tcPr>
            <w:tcW w:w="180" w:type="dxa"/>
            <w:vAlign w:val="bottom"/>
          </w:tcPr>
          <w:p>
            <w:pPr>
              <w:spacing w:after="0"/>
              <w:rPr>
                <w:sz w:val="15"/>
                <w:szCs w:val="15"/>
                <w:color w:val="auto"/>
              </w:rPr>
            </w:pP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0.36</w:t>
            </w:r>
          </w:p>
        </w:tc>
        <w:tc>
          <w:tcPr>
            <w:tcW w:w="180" w:type="dxa"/>
            <w:vAlign w:val="bottom"/>
          </w:tcPr>
          <w:p>
            <w:pPr>
              <w:spacing w:after="0"/>
              <w:rPr>
                <w:sz w:val="15"/>
                <w:szCs w:val="15"/>
                <w:color w:val="auto"/>
              </w:rPr>
            </w:pPr>
          </w:p>
        </w:tc>
        <w:tc>
          <w:tcPr>
            <w:tcW w:w="960" w:type="dxa"/>
            <w:vAlign w:val="bottom"/>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0.31</w:t>
            </w:r>
          </w:p>
        </w:tc>
        <w:tc>
          <w:tcPr>
            <w:tcW w:w="1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69,081</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67,752</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66,125</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71,149</w:t>
            </w:r>
          </w:p>
        </w:tc>
        <w:tc>
          <w:tcPr>
            <w:tcW w:w="0" w:type="dxa"/>
            <w:vAlign w:val="bottom"/>
          </w:tcPr>
          <w:p>
            <w:pPr>
              <w:spacing w:after="0"/>
              <w:rPr>
                <w:sz w:val="1"/>
                <w:szCs w:val="1"/>
                <w:color w:val="auto"/>
              </w:rPr>
            </w:pPr>
          </w:p>
        </w:tc>
      </w:tr>
      <w:tr>
        <w:trPr>
          <w:trHeight w:val="18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Gross profit</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21,600</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19,250</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18,056</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20,679</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shd w:val="clear" w:color="auto" w:fill="CCEEFF"/>
          </w:tcPr>
          <w:p>
            <w:pPr>
              <w:ind w:left="180"/>
              <w:spacing w:after="0" w:line="160" w:lineRule="exact"/>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6,525</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Basic earnings per common share: (a)</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960" w:type="dxa"/>
            <w:vAlign w:val="bottom"/>
          </w:tcPr>
          <w:p>
            <w:pPr>
              <w:jc w:val="right"/>
              <w:ind w:right="811"/>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0.36</w:t>
            </w:r>
          </w:p>
        </w:tc>
        <w:tc>
          <w:tcPr>
            <w:tcW w:w="180" w:type="dxa"/>
            <w:vAlign w:val="bottom"/>
          </w:tcPr>
          <w:p>
            <w:pPr>
              <w:spacing w:after="0"/>
              <w:rPr>
                <w:sz w:val="12"/>
                <w:szCs w:val="12"/>
                <w:color w:val="auto"/>
              </w:rPr>
            </w:pPr>
          </w:p>
        </w:tc>
        <w:tc>
          <w:tcPr>
            <w:tcW w:w="960" w:type="dxa"/>
            <w:vAlign w:val="bottom"/>
          </w:tcPr>
          <w:p>
            <w:pPr>
              <w:jc w:val="right"/>
              <w:ind w:right="811"/>
              <w:spacing w:after="0" w:line="143"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0.27</w:t>
            </w:r>
          </w:p>
        </w:tc>
        <w:tc>
          <w:tcPr>
            <w:tcW w:w="180" w:type="dxa"/>
            <w:vAlign w:val="bottom"/>
          </w:tcPr>
          <w:p>
            <w:pPr>
              <w:spacing w:after="0"/>
              <w:rPr>
                <w:sz w:val="12"/>
                <w:szCs w:val="12"/>
                <w:color w:val="auto"/>
              </w:rPr>
            </w:pPr>
          </w:p>
        </w:tc>
        <w:tc>
          <w:tcPr>
            <w:tcW w:w="960" w:type="dxa"/>
            <w:vAlign w:val="bottom"/>
          </w:tcPr>
          <w:p>
            <w:pPr>
              <w:jc w:val="right"/>
              <w:ind w:right="811"/>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0.03</w:t>
            </w:r>
          </w:p>
        </w:tc>
        <w:tc>
          <w:tcPr>
            <w:tcW w:w="180" w:type="dxa"/>
            <w:vAlign w:val="bottom"/>
          </w:tcPr>
          <w:p>
            <w:pPr>
              <w:spacing w:after="0"/>
              <w:rPr>
                <w:sz w:val="12"/>
                <w:szCs w:val="12"/>
                <w:color w:val="auto"/>
              </w:rPr>
            </w:pPr>
          </w:p>
        </w:tc>
        <w:tc>
          <w:tcPr>
            <w:tcW w:w="280" w:type="dxa"/>
            <w:vAlign w:val="bottom"/>
          </w:tcPr>
          <w:p>
            <w:pPr>
              <w:jc w:val="right"/>
              <w:ind w:right="129"/>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3"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 (a)</w:t>
            </w: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4819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22" w:lineRule="exact"/>
        <w:rPr>
          <w:sz w:val="20"/>
          <w:szCs w:val="20"/>
          <w:color w:val="auto"/>
        </w:rPr>
      </w:pPr>
    </w:p>
    <w:p>
      <w:pPr>
        <w:ind w:left="480" w:hanging="461"/>
        <w:spacing w:after="0"/>
        <w:tabs>
          <w:tab w:leader="none" w:pos="4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Earnings per share are computed independently for each of the quarters presented. Therefore, the sum of the quarterly per share amounts may not equal the total computed due to rounding.</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SUPPLEMENTAL DISCLOSURE OF CASH FLOW INFORMATION</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information is supplemental disclosure for the Consolidated Statements of Cash Flows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2018</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2020</w:t>
            </w:r>
          </w:p>
        </w:tc>
      </w:tr>
      <w:tr>
        <w:trPr>
          <w:trHeight w:val="173"/>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and financing costs</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23,870</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30,935</w:t>
            </w: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880" w:type="dxa"/>
            <w:vAlign w:val="bottom"/>
          </w:tcPr>
          <w:p>
            <w:pPr>
              <w:jc w:val="right"/>
              <w:ind w:right="73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3,543</w:t>
            </w:r>
          </w:p>
        </w:tc>
        <w:tc>
          <w:tcPr>
            <w:tcW w:w="5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378</w:t>
            </w:r>
          </w:p>
        </w:tc>
        <w:tc>
          <w:tcPr>
            <w:tcW w:w="2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2,555</w:t>
            </w:r>
          </w:p>
        </w:tc>
      </w:tr>
      <w:tr>
        <w:trPr>
          <w:trHeight w:val="180"/>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refund received for taxes</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7,012</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SUBSEQUENT EVENTS</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On January 25, 2021, the Company detected that its information technology (“IT”) system was affected by a ransomware incident. Upon learning of the incident, the Company undertook immediate steps to address the incident, including engaging IT security and forensics experts and working diligently with these experts to assess the impact on the Company’s IT systems, implementing additional security measures to help prevent a similar incident in the future, and to restore any of its IT systems that were impacted by the incident. We have insurance coverage to protect against this type of ransomware attack and therefore the Company expects that recovery of the losses related to the incident is likely after a deductible. As of February 11, 2021, the restoration of any impacted systems was complete.</w:t>
      </w:r>
    </w:p>
    <w:p>
      <w:pPr>
        <w:spacing w:after="0" w:line="63" w:lineRule="exact"/>
        <w:rPr>
          <w:sz w:val="20"/>
          <w:szCs w:val="20"/>
          <w:color w:val="auto"/>
        </w:rPr>
      </w:pPr>
    </w:p>
    <w:p>
      <w:pPr>
        <w:jc w:val="both"/>
        <w:ind w:firstLine="445"/>
        <w:spacing w:after="0" w:line="264" w:lineRule="auto"/>
        <w:rPr>
          <w:sz w:val="20"/>
          <w:szCs w:val="20"/>
          <w:color w:val="auto"/>
        </w:rPr>
      </w:pPr>
      <w:r>
        <w:rPr>
          <w:rFonts w:ascii="Arial" w:cs="Arial" w:eastAsia="Arial" w:hAnsi="Arial"/>
          <w:sz w:val="14"/>
          <w:szCs w:val="14"/>
          <w:color w:val="auto"/>
        </w:rPr>
        <w:t xml:space="preserve">While we are taking all appropriate measures to safeguard the integrity of our IT infrastructure, data, and employee, customer and vendor information and prevent such an event from reoccurring, we cannot provide reasonable assurance that similar incidents may occur in the future. Refer to Part I, Item 1A.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for risks related to our business.</w:t>
      </w:r>
    </w:p>
    <w:p>
      <w:pPr>
        <w:spacing w:after="0" w:line="4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On January 28, 2021, we received a conversion notice from a holder of our Convertible Notes exercising their right to convert. Following receipt of the conversion notice, in accordance with the terms of the Indenture, we provided notice to settle such conversion in cash, which will settle on the third business day immediately following the applicable 25-day period observation period, as more fully described in the Indenture.</w:t>
      </w:r>
    </w:p>
    <w:p>
      <w:pPr>
        <w:spacing w:after="0" w:line="5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3"/>
          <w:szCs w:val="13"/>
          <w:color w:val="auto"/>
        </w:rPr>
        <w:t>On February 17, 2021, the Company entered into an amendment to the employment agreement of Melvin C. Payne, the Company’s Chief Executive Officer and Chairman of the Board (the “Amendment”), to extend the term of his employment to February 17, 2028. The Amendment also increases the minimum amount for Mr. Payne’s base salary to $900,000 and includes consideration paid by the Company to Mr. Payne in the form of Company stock options that only vest if the price of the Company's stock reaches predetermined price targets.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CARRIAGE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SCHEDULE II — VALUATION AND QUALIFYING ACCOUNTS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Balance at</w:t>
            </w:r>
          </w:p>
        </w:tc>
        <w:tc>
          <w:tcPr>
            <w:tcW w:w="18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Charged to</w:t>
            </w: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Deduction</w:t>
            </w:r>
          </w:p>
        </w:tc>
        <w:tc>
          <w:tcPr>
            <w:tcW w:w="200" w:type="dxa"/>
            <w:vAlign w:val="bottom"/>
          </w:tcPr>
          <w:p>
            <w:pPr>
              <w:spacing w:after="0"/>
              <w:rPr>
                <w:sz w:val="13"/>
                <w:szCs w:val="13"/>
                <w:color w:val="auto"/>
              </w:rPr>
            </w:pPr>
          </w:p>
        </w:tc>
        <w:tc>
          <w:tcPr>
            <w:tcW w:w="1020" w:type="dxa"/>
            <w:vAlign w:val="bottom"/>
          </w:tcPr>
          <w:p>
            <w:pPr>
              <w:jc w:val="center"/>
              <w:ind w:right="151"/>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1"/>
                <w:szCs w:val="11"/>
                <w:color w:val="auto"/>
              </w:rPr>
            </w:pPr>
          </w:p>
        </w:tc>
        <w:tc>
          <w:tcPr>
            <w:tcW w:w="118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86"/>
              </w:rPr>
              <w:t>beginning</w:t>
            </w:r>
          </w:p>
        </w:tc>
        <w:tc>
          <w:tcPr>
            <w:tcW w:w="180" w:type="dxa"/>
            <w:vAlign w:val="bottom"/>
          </w:tcPr>
          <w:p>
            <w:pPr>
              <w:spacing w:after="0"/>
              <w:rPr>
                <w:sz w:val="11"/>
                <w:szCs w:val="11"/>
                <w:color w:val="auto"/>
              </w:rPr>
            </w:pPr>
          </w:p>
        </w:tc>
        <w:tc>
          <w:tcPr>
            <w:tcW w:w="1180" w:type="dxa"/>
            <w:vAlign w:val="bottom"/>
            <w:gridSpan w:val="2"/>
          </w:tcPr>
          <w:p>
            <w:pPr>
              <w:jc w:val="center"/>
              <w:ind w:right="320"/>
              <w:spacing w:after="0" w:line="128" w:lineRule="exact"/>
              <w:rPr>
                <w:sz w:val="20"/>
                <w:szCs w:val="20"/>
                <w:color w:val="auto"/>
              </w:rPr>
            </w:pPr>
            <w:r>
              <w:rPr>
                <w:rFonts w:ascii="Arial" w:cs="Arial" w:eastAsia="Arial" w:hAnsi="Arial"/>
                <w:sz w:val="13"/>
                <w:szCs w:val="13"/>
                <w:b w:val="1"/>
                <w:bCs w:val="1"/>
                <w:color w:val="auto"/>
                <w:w w:val="82"/>
              </w:rPr>
              <w:t>costs and</w:t>
            </w: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11"/>
              <w:spacing w:after="0" w:line="128" w:lineRule="exact"/>
              <w:rPr>
                <w:sz w:val="20"/>
                <w:szCs w:val="20"/>
                <w:color w:val="auto"/>
              </w:rPr>
            </w:pPr>
            <w:r>
              <w:rPr>
                <w:rFonts w:ascii="Arial" w:cs="Arial" w:eastAsia="Arial" w:hAnsi="Arial"/>
                <w:sz w:val="13"/>
                <w:szCs w:val="13"/>
                <w:b w:val="1"/>
                <w:bCs w:val="1"/>
                <w:color w:val="auto"/>
                <w:w w:val="86"/>
              </w:rPr>
              <w:t>end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60"/>
              <w:spacing w:after="0" w:line="138" w:lineRule="exact"/>
              <w:rPr>
                <w:sz w:val="20"/>
                <w:szCs w:val="20"/>
                <w:color w:val="auto"/>
              </w:rPr>
            </w:pPr>
            <w:r>
              <w:rPr>
                <w:rFonts w:ascii="Arial" w:cs="Arial" w:eastAsia="Arial" w:hAnsi="Arial"/>
                <w:sz w:val="13"/>
                <w:szCs w:val="13"/>
                <w:b w:val="1"/>
                <w:bCs w:val="1"/>
                <w:color w:val="auto"/>
                <w:w w:val="89"/>
              </w:rPr>
              <w:t>of year</w:t>
            </w:r>
          </w:p>
        </w:tc>
        <w:tc>
          <w:tcPr>
            <w:tcW w:w="180" w:type="dxa"/>
            <w:vAlign w:val="bottom"/>
          </w:tcPr>
          <w:p>
            <w:pPr>
              <w:spacing w:after="0"/>
              <w:rPr>
                <w:sz w:val="11"/>
                <w:szCs w:val="11"/>
                <w:color w:val="auto"/>
              </w:rPr>
            </w:pPr>
          </w:p>
        </w:tc>
        <w:tc>
          <w:tcPr>
            <w:tcW w:w="118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80"/>
              </w:rPr>
              <w:t>expenses</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31"/>
              <w:spacing w:after="0" w:line="138" w:lineRule="exact"/>
              <w:rPr>
                <w:sz w:val="20"/>
                <w:szCs w:val="20"/>
                <w:color w:val="auto"/>
              </w:rPr>
            </w:pPr>
            <w:r>
              <w:rPr>
                <w:rFonts w:ascii="Arial" w:cs="Arial" w:eastAsia="Arial" w:hAnsi="Arial"/>
                <w:sz w:val="13"/>
                <w:szCs w:val="13"/>
                <w:b w:val="1"/>
                <w:bCs w:val="1"/>
                <w:color w:val="auto"/>
                <w:w w:val="89"/>
              </w:rPr>
              <w:t>of 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9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Year ended December 31, 2018:</w:t>
            </w: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4"/>
                <w:szCs w:val="14"/>
                <w:color w:val="auto"/>
              </w:rPr>
              <w:t>Allowance for bad debts, current portion</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835</w:t>
            </w:r>
          </w:p>
        </w:tc>
        <w:tc>
          <w:tcPr>
            <w:tcW w:w="1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1,111</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1,177</w:t>
            </w:r>
          </w:p>
        </w:tc>
        <w:tc>
          <w:tcPr>
            <w:tcW w:w="14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Allowance for bad debts of preneed cemetery receivables, non-current portion</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4"/>
                <w:szCs w:val="14"/>
                <w:color w:val="auto"/>
              </w:rPr>
              <w:t>Employee severance accruals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1,649</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508</w:t>
            </w:r>
          </w:p>
        </w:tc>
        <w:tc>
          <w:tcPr>
            <w:tcW w:w="14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Valuation allowance of the deferred tax asset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4"/>
                <w:szCs w:val="14"/>
                <w:color w:val="auto"/>
              </w:rPr>
              <w:t>Allowance for bad debts, current portion</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769</w:t>
            </w:r>
          </w:p>
        </w:tc>
        <w:tc>
          <w:tcPr>
            <w:tcW w:w="1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1,088</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1,008</w:t>
            </w:r>
          </w:p>
        </w:tc>
        <w:tc>
          <w:tcPr>
            <w:tcW w:w="14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Allowance for bad debts of preneed cemetery receivables, non-current portion</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4"/>
                <w:szCs w:val="14"/>
                <w:color w:val="auto"/>
              </w:rPr>
              <w:t>Employee severance accruals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1,141</w:t>
            </w:r>
          </w:p>
        </w:tc>
        <w:tc>
          <w:tcPr>
            <w:tcW w:w="1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1,265</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1,569</w:t>
            </w:r>
          </w:p>
        </w:tc>
        <w:tc>
          <w:tcPr>
            <w:tcW w:w="14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Valuation allowance of the deferred tax asset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2020: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4"/>
                <w:szCs w:val="14"/>
                <w:color w:val="auto"/>
              </w:rPr>
              <w:t>Allowance for credit losses, current portion</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849</w:t>
            </w:r>
          </w:p>
        </w:tc>
        <w:tc>
          <w:tcPr>
            <w:tcW w:w="1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1,617</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1,179</w:t>
            </w:r>
          </w:p>
        </w:tc>
        <w:tc>
          <w:tcPr>
            <w:tcW w:w="14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Allowance for credit losses of preneed cemetery receivables, non-current portion</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20" w:type="dxa"/>
            <w:vAlign w:val="bottom"/>
            <w:gridSpan w:val="2"/>
          </w:tcPr>
          <w:p>
            <w:pPr>
              <w:ind w:left="160"/>
              <w:spacing w:after="0"/>
              <w:rPr>
                <w:sz w:val="20"/>
                <w:szCs w:val="20"/>
                <w:color w:val="auto"/>
              </w:rPr>
            </w:pPr>
            <w:r>
              <w:rPr>
                <w:rFonts w:ascii="Arial" w:cs="Arial" w:eastAsia="Arial" w:hAnsi="Arial"/>
                <w:sz w:val="14"/>
                <w:szCs w:val="14"/>
                <w:color w:val="auto"/>
              </w:rPr>
              <w:t>Employee severance accruals</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837</w:t>
            </w:r>
          </w:p>
        </w:tc>
        <w:tc>
          <w:tcPr>
            <w:tcW w:w="1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596</w:t>
            </w:r>
          </w:p>
        </w:tc>
        <w:tc>
          <w:tcPr>
            <w:tcW w:w="14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1,271</w:t>
            </w:r>
          </w:p>
        </w:tc>
        <w:tc>
          <w:tcPr>
            <w:tcW w:w="14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Valuation allowance of the deferred tax asset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ITEM 9.</w:t>
        <w:tab/>
        <w:t>CHANGES IN AND DISAGREEMENTS WITH ACCOUNTANTS ON ACCOUNTING AND FINANCIAL DISCLOSURE.</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38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Evaluation of Disclosure Controls and Procedures</w:t>
      </w:r>
    </w:p>
    <w:p>
      <w:pPr>
        <w:spacing w:after="0" w:line="9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2020 (the end of the period covered by this Annual Report on Form 10-K).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Annual Report on Internal Control over Financial Reporting</w:t>
      </w:r>
    </w:p>
    <w:p>
      <w:pPr>
        <w:spacing w:after="0" w:line="9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Exchange Act Rule 13a-15(f). Management</w:t>
      </w:r>
      <w:r>
        <w:rPr>
          <w:rFonts w:ascii="Arial" w:cs="Arial" w:eastAsia="Arial" w:hAnsi="Arial"/>
          <w:sz w:val="14"/>
          <w:szCs w:val="14"/>
          <w:b w:val="1"/>
          <w:bCs w:val="1"/>
          <w:i w:val="1"/>
          <w:iCs w:val="1"/>
          <w:color w:val="auto"/>
        </w:rPr>
        <w:t>’</w:t>
      </w:r>
      <w:r>
        <w:rPr>
          <w:rFonts w:ascii="Arial" w:cs="Arial" w:eastAsia="Arial" w:hAnsi="Arial"/>
          <w:sz w:val="14"/>
          <w:szCs w:val="14"/>
          <w:color w:val="auto"/>
        </w:rPr>
        <w:t>s report on our internal control over financial reporting is presented on the following page of this Form 10-K. Grant Thornton LLP, the independent registered public accounting firm that audited the financial statements included in this Form 10-K, has issued an attestation report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MANAGEMENT’S REPORT ON INTERNAL CONTROL OVER FINANCIAL REPORTING</w:t>
      </w:r>
    </w:p>
    <w:p>
      <w:pPr>
        <w:spacing w:after="0" w:line="97"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48" w:lineRule="exact"/>
        <w:rPr>
          <w:sz w:val="20"/>
          <w:szCs w:val="20"/>
          <w:color w:val="auto"/>
        </w:rPr>
      </w:pPr>
    </w:p>
    <w:p>
      <w:pPr>
        <w:ind w:firstLine="318"/>
        <w:spacing w:after="0" w:line="280" w:lineRule="auto"/>
        <w:rPr>
          <w:sz w:val="20"/>
          <w:szCs w:val="20"/>
          <w:color w:val="auto"/>
        </w:rPr>
      </w:pPr>
      <w:r>
        <w:rPr>
          <w:rFonts w:ascii="Arial" w:cs="Arial" w:eastAsia="Arial" w:hAnsi="Arial"/>
          <w:sz w:val="14"/>
          <w:szCs w:val="14"/>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spacing w:after="0" w:line="48" w:lineRule="exact"/>
        <w:rPr>
          <w:sz w:val="20"/>
          <w:szCs w:val="20"/>
          <w:color w:val="auto"/>
        </w:rPr>
      </w:pPr>
    </w:p>
    <w:p>
      <w:pPr>
        <w:ind w:left="880" w:hanging="176"/>
        <w:spacing w:after="0"/>
        <w:tabs>
          <w:tab w:leader="none" w:pos="8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our assets;</w:t>
      </w:r>
    </w:p>
    <w:p>
      <w:pPr>
        <w:spacing w:after="0" w:line="93" w:lineRule="exact"/>
        <w:rPr>
          <w:rFonts w:ascii="Arial" w:cs="Arial" w:eastAsia="Arial" w:hAnsi="Arial"/>
          <w:sz w:val="14"/>
          <w:szCs w:val="14"/>
          <w:color w:val="auto"/>
        </w:rPr>
      </w:pPr>
    </w:p>
    <w:p>
      <w:pPr>
        <w:ind w:firstLine="704"/>
        <w:spacing w:after="0" w:line="280" w:lineRule="auto"/>
        <w:tabs>
          <w:tab w:leader="none" w:pos="914"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spacing w:after="0" w:line="47" w:lineRule="exact"/>
        <w:rPr>
          <w:rFonts w:ascii="Arial" w:cs="Arial" w:eastAsia="Arial" w:hAnsi="Arial"/>
          <w:sz w:val="14"/>
          <w:szCs w:val="14"/>
          <w:color w:val="auto"/>
        </w:rPr>
      </w:pPr>
    </w:p>
    <w:p>
      <w:pPr>
        <w:ind w:firstLine="704"/>
        <w:spacing w:after="0" w:line="280" w:lineRule="auto"/>
        <w:tabs>
          <w:tab w:leader="none" w:pos="975"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our assets that could have a material effect on our Consolidated Financial Statements.</w:t>
      </w:r>
    </w:p>
    <w:p>
      <w:pPr>
        <w:spacing w:after="0" w:line="4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4"/>
          <w:szCs w:val="14"/>
          <w:color w:val="auto"/>
        </w:rPr>
        <w:t xml:space="preserve">Management conducted an assessment of the Company’s internal control over financial reporting as of December 31, 2020 using the framework specified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Framework (2013)</w:t>
      </w:r>
      <w:r>
        <w:rPr>
          <w:rFonts w:ascii="Arial" w:cs="Arial" w:eastAsia="Arial" w:hAnsi="Arial"/>
          <w:sz w:val="14"/>
          <w:szCs w:val="14"/>
          <w:color w:val="auto"/>
        </w:rPr>
        <w:t>, published by the Committee of Sponsoring Organizations of the Treadway Commission. Based on such assessment, management has concluded that the Company’s internal</w:t>
      </w:r>
      <w:r>
        <w:rPr>
          <w:rFonts w:ascii="Arial" w:cs="Arial" w:eastAsia="Arial" w:hAnsi="Arial"/>
          <w:sz w:val="14"/>
          <w:szCs w:val="14"/>
          <w:i w:val="1"/>
          <w:iCs w:val="1"/>
          <w:color w:val="auto"/>
        </w:rPr>
        <w:t xml:space="preserve"> </w:t>
      </w:r>
      <w:r>
        <w:rPr>
          <w:rFonts w:ascii="Arial" w:cs="Arial" w:eastAsia="Arial" w:hAnsi="Arial"/>
          <w:sz w:val="14"/>
          <w:szCs w:val="14"/>
          <w:color w:val="auto"/>
        </w:rPr>
        <w:t>control over financial reporting was effective as of December 31, 2020.</w:t>
      </w:r>
    </w:p>
    <w:p>
      <w:pPr>
        <w:spacing w:after="0" w:line="5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Company’s internal control over financial reporting as of December 31, 2020 has been audited by Grant Thornton LLP, an independent registered public accounting firm, which also audited the financial statements of the Company for the year ended December 31, 2020, as stated in their report which is presented in this Annual Report.</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19608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960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Melvin C. Payne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 and Chairman of the Board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19608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960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Viki K. Blinderman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Senior Vice President and Chief Accounting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Financial Officer)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March 2,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9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During the three months ended December 31, 2020, there was no change in our system of internal control over financial reporting (as defined in Rules 13a-15(f) or 15d-15(f) under the Exchange Act) that has materially affected, or is reasonably likely to materially affect, our internal control over financial reporting.</w:t>
      </w:r>
    </w:p>
    <w:p>
      <w:pPr>
        <w:spacing w:after="0" w:line="16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9B.</w:t>
        <w:tab/>
        <w:t>OTHER INFORMATION.</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III</w:t>
      </w:r>
    </w:p>
    <w:p>
      <w:pPr>
        <w:spacing w:after="0" w:line="19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10.</w:t>
        <w:tab/>
        <w:t>DIRECTORS, EXECUTIVE OFFICERS AND CORPORATE GOVERNANCE.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9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color w:val="auto"/>
        </w:rPr>
        <w:t xml:space="preserve">We have adopted a Code of Business Conduct and Ethics (the “Code”), which is applicable to each of our Directors, Officers, and employees, including our principal executive officer and other senior financial officers, who include our principal financial officer, principal accounting officer or controller, and persons performing similar functions. The Code is available on our internet website at </w:t>
      </w:r>
      <w:r>
        <w:rPr>
          <w:rFonts w:ascii="Arial" w:cs="Arial" w:eastAsia="Arial" w:hAnsi="Arial"/>
          <w:sz w:val="14"/>
          <w:szCs w:val="14"/>
          <w:i w:val="1"/>
          <w:iCs w:val="1"/>
          <w:color w:val="auto"/>
        </w:rPr>
        <w:t>www.carriageservices.com</w:t>
      </w:r>
      <w:r>
        <w:rPr>
          <w:rFonts w:ascii="Arial" w:cs="Arial" w:eastAsia="Arial" w:hAnsi="Arial"/>
          <w:sz w:val="14"/>
          <w:szCs w:val="14"/>
          <w:color w:val="auto"/>
        </w:rPr>
        <w:t>. To the extent required by SEC rules, we intend to disclose any amendments to this code and any waiver of a provision of the Code for the benefit of our principal executive officer, principal financial officer, principal accounting officer or controller, or persons performing similar functions, on our website within four business days following any such amendment of waiver, or within any other period that may be required under SEC rules from time to time.</w:t>
      </w:r>
    </w:p>
    <w:p>
      <w:pPr>
        <w:spacing w:after="0" w:line="6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information required by Item 10 is incorporated in this Annual Report on Form 10-K by reference to our definitive proxy statement or an amendment to this Annual Report on Form 10-K to be filed with the SEC not later than 120 days after the end of the fiscal year ended December 31, 2020.</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11.</w:t>
        <w:tab/>
        <w:t>EXECUTIVE COMPENSATION.</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information required by Item 11 is incorporated in this Annual Report on Form 10-K by reference to our definitive proxy statement or an amendment to this Annual Report on Form 10-K to be filed with the SEC not later than 120 days after the end of the fiscal year ended December 31, 2020.</w:t>
      </w:r>
    </w:p>
    <w:p>
      <w:pPr>
        <w:spacing w:after="0" w:line="16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12.</w:t>
        <w:tab/>
        <w:t>SECURITY OWNERSHIP OF CERTAIN BENEFICIAL OWNERS AND MANAGEMENT AND RELATED STOCKHOLDER MATTERS.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information required by Item 12 is incorporated in this Annual Report on Form 10-K by reference to our definitive proxy statement or an amendment to this Annual Report on Form 10-K to be filed with the SEC not later than 120 days after the end of the fiscal year ended December 31, 2020.</w:t>
      </w:r>
    </w:p>
    <w:p>
      <w:pPr>
        <w:spacing w:after="0" w:line="4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4"/>
          <w:szCs w:val="14"/>
          <w:color w:val="auto"/>
        </w:rPr>
        <w:t>The following table, required by Item 201(d) of Regulation S-K, summarizes information regarding the number of shares of our common stock that are available for issuance under all of our existing equity compensation plans as of December 31, 2020.</w:t>
      </w: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80" w:type="dxa"/>
            <w:vAlign w:val="bottom"/>
            <w:gridSpan w:val="2"/>
          </w:tcPr>
          <w:p>
            <w:pPr>
              <w:jc w:val="center"/>
              <w:ind w:right="20"/>
              <w:spacing w:after="0" w:line="113" w:lineRule="exact"/>
              <w:rPr>
                <w:sz w:val="20"/>
                <w:szCs w:val="20"/>
                <w:color w:val="auto"/>
              </w:rPr>
            </w:pPr>
            <w:r>
              <w:rPr>
                <w:rFonts w:ascii="Arial" w:cs="Arial" w:eastAsia="Arial" w:hAnsi="Arial"/>
                <w:sz w:val="11"/>
                <w:szCs w:val="11"/>
                <w:b w:val="1"/>
                <w:bCs w:val="1"/>
                <w:color w:val="auto"/>
                <w:w w:val="91"/>
              </w:rPr>
              <w:t>Number of securities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80" w:type="dxa"/>
            <w:vAlign w:val="bottom"/>
            <w:gridSpan w:val="2"/>
          </w:tcPr>
          <w:p>
            <w:pPr>
              <w:jc w:val="center"/>
              <w:ind w:right="20"/>
              <w:spacing w:after="0" w:line="106" w:lineRule="exact"/>
              <w:rPr>
                <w:sz w:val="20"/>
                <w:szCs w:val="20"/>
                <w:color w:val="auto"/>
              </w:rPr>
            </w:pPr>
            <w:r>
              <w:rPr>
                <w:rFonts w:ascii="Arial" w:cs="Arial" w:eastAsia="Arial" w:hAnsi="Arial"/>
                <w:sz w:val="11"/>
                <w:szCs w:val="11"/>
                <w:b w:val="1"/>
                <w:bCs w:val="1"/>
                <w:color w:val="auto"/>
                <w:w w:val="93"/>
              </w:rPr>
              <w:t>remaining available for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1"/>
              </w:rPr>
              <w:t>Number of securities to</w:t>
            </w:r>
          </w:p>
        </w:tc>
        <w:tc>
          <w:tcPr>
            <w:tcW w:w="240" w:type="dxa"/>
            <w:vAlign w:val="bottom"/>
          </w:tcPr>
          <w:p>
            <w:pPr>
              <w:spacing w:after="0"/>
              <w:rPr>
                <w:sz w:val="9"/>
                <w:szCs w:val="9"/>
                <w:color w:val="auto"/>
              </w:rPr>
            </w:pPr>
          </w:p>
        </w:tc>
        <w:tc>
          <w:tcPr>
            <w:tcW w:w="166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w w:val="92"/>
              </w:rPr>
              <w:t>Weighted-average</w:t>
            </w:r>
          </w:p>
        </w:tc>
        <w:tc>
          <w:tcPr>
            <w:tcW w:w="1980" w:type="dxa"/>
            <w:vAlign w:val="bottom"/>
            <w:gridSpan w:val="2"/>
          </w:tcPr>
          <w:p>
            <w:pPr>
              <w:jc w:val="center"/>
              <w:ind w:right="20"/>
              <w:spacing w:after="0" w:line="106" w:lineRule="exact"/>
              <w:rPr>
                <w:sz w:val="20"/>
                <w:szCs w:val="20"/>
                <w:color w:val="auto"/>
              </w:rPr>
            </w:pPr>
            <w:r>
              <w:rPr>
                <w:rFonts w:ascii="Arial" w:cs="Arial" w:eastAsia="Arial" w:hAnsi="Arial"/>
                <w:sz w:val="11"/>
                <w:szCs w:val="11"/>
                <w:b w:val="1"/>
                <w:bCs w:val="1"/>
                <w:color w:val="auto"/>
                <w:w w:val="90"/>
              </w:rPr>
              <w:t>future issuance under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980" w:type="dxa"/>
            <w:vAlign w:val="bottom"/>
            <w:gridSpan w:val="2"/>
          </w:tcPr>
          <w:p>
            <w:pPr>
              <w:jc w:val="center"/>
              <w:ind w:right="20"/>
              <w:spacing w:after="0" w:line="106" w:lineRule="exact"/>
              <w:rPr>
                <w:sz w:val="20"/>
                <w:szCs w:val="20"/>
                <w:color w:val="auto"/>
              </w:rPr>
            </w:pPr>
            <w:r>
              <w:rPr>
                <w:rFonts w:ascii="Arial" w:cs="Arial" w:eastAsia="Arial" w:hAnsi="Arial"/>
                <w:sz w:val="11"/>
                <w:szCs w:val="11"/>
                <w:b w:val="1"/>
                <w:bCs w:val="1"/>
                <w:color w:val="auto"/>
                <w:w w:val="90"/>
              </w:rPr>
              <w:t>equity compensation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87"/>
              </w:rPr>
              <w:t>be issued upon exercise</w:t>
            </w:r>
          </w:p>
        </w:tc>
        <w:tc>
          <w:tcPr>
            <w:tcW w:w="240" w:type="dxa"/>
            <w:vAlign w:val="bottom"/>
          </w:tcPr>
          <w:p>
            <w:pPr>
              <w:spacing w:after="0"/>
              <w:rPr>
                <w:sz w:val="9"/>
                <w:szCs w:val="9"/>
                <w:color w:val="auto"/>
              </w:rPr>
            </w:pPr>
          </w:p>
        </w:tc>
        <w:tc>
          <w:tcPr>
            <w:tcW w:w="1660" w:type="dxa"/>
            <w:vAlign w:val="bottom"/>
            <w:gridSpan w:val="2"/>
          </w:tcPr>
          <w:p>
            <w:pPr>
              <w:jc w:val="center"/>
              <w:ind w:right="400"/>
              <w:spacing w:after="0" w:line="106" w:lineRule="exact"/>
              <w:rPr>
                <w:sz w:val="20"/>
                <w:szCs w:val="20"/>
                <w:color w:val="auto"/>
              </w:rPr>
            </w:pPr>
            <w:r>
              <w:rPr>
                <w:rFonts w:ascii="Arial" w:cs="Arial" w:eastAsia="Arial" w:hAnsi="Arial"/>
                <w:sz w:val="11"/>
                <w:szCs w:val="11"/>
                <w:b w:val="1"/>
                <w:bCs w:val="1"/>
                <w:color w:val="auto"/>
                <w:w w:val="89"/>
              </w:rPr>
              <w:t>exercise price of</w:t>
            </w:r>
          </w:p>
        </w:tc>
        <w:tc>
          <w:tcPr>
            <w:tcW w:w="1980" w:type="dxa"/>
            <w:vAlign w:val="bottom"/>
            <w:gridSpan w:val="2"/>
          </w:tcPr>
          <w:p>
            <w:pPr>
              <w:jc w:val="center"/>
              <w:ind w:right="20"/>
              <w:spacing w:after="0" w:line="106" w:lineRule="exact"/>
              <w:rPr>
                <w:sz w:val="20"/>
                <w:szCs w:val="20"/>
                <w:color w:val="auto"/>
              </w:rPr>
            </w:pPr>
            <w:r>
              <w:rPr>
                <w:rFonts w:ascii="Arial" w:cs="Arial" w:eastAsia="Arial" w:hAnsi="Arial"/>
                <w:sz w:val="11"/>
                <w:szCs w:val="11"/>
                <w:b w:val="1"/>
                <w:bCs w:val="1"/>
                <w:color w:val="auto"/>
                <w:w w:val="92"/>
              </w:rPr>
              <w:t>plans (excluding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4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89"/>
              </w:rPr>
              <w:t>of outstanding options,</w:t>
            </w:r>
          </w:p>
        </w:tc>
        <w:tc>
          <w:tcPr>
            <w:tcW w:w="240" w:type="dxa"/>
            <w:vAlign w:val="bottom"/>
          </w:tcPr>
          <w:p>
            <w:pPr>
              <w:spacing w:after="0"/>
              <w:rPr>
                <w:sz w:val="9"/>
                <w:szCs w:val="9"/>
                <w:color w:val="auto"/>
              </w:rPr>
            </w:pPr>
          </w:p>
        </w:tc>
        <w:tc>
          <w:tcPr>
            <w:tcW w:w="1660" w:type="dxa"/>
            <w:vAlign w:val="bottom"/>
            <w:gridSpan w:val="2"/>
          </w:tcPr>
          <w:p>
            <w:pPr>
              <w:jc w:val="center"/>
              <w:ind w:right="400"/>
              <w:spacing w:after="0" w:line="106" w:lineRule="exact"/>
              <w:rPr>
                <w:sz w:val="20"/>
                <w:szCs w:val="20"/>
                <w:color w:val="auto"/>
              </w:rPr>
            </w:pPr>
            <w:r>
              <w:rPr>
                <w:rFonts w:ascii="Arial" w:cs="Arial" w:eastAsia="Arial" w:hAnsi="Arial"/>
                <w:sz w:val="11"/>
                <w:szCs w:val="11"/>
                <w:b w:val="1"/>
                <w:bCs w:val="1"/>
                <w:color w:val="auto"/>
                <w:w w:val="90"/>
              </w:rPr>
              <w:t>outstanding options,</w:t>
            </w:r>
          </w:p>
        </w:tc>
        <w:tc>
          <w:tcPr>
            <w:tcW w:w="1980" w:type="dxa"/>
            <w:vAlign w:val="bottom"/>
            <w:gridSpan w:val="2"/>
          </w:tcPr>
          <w:p>
            <w:pPr>
              <w:jc w:val="center"/>
              <w:spacing w:after="0" w:line="106" w:lineRule="exact"/>
              <w:rPr>
                <w:sz w:val="20"/>
                <w:szCs w:val="20"/>
                <w:color w:val="auto"/>
              </w:rPr>
            </w:pPr>
            <w:r>
              <w:rPr>
                <w:rFonts w:ascii="Arial" w:cs="Arial" w:eastAsia="Arial" w:hAnsi="Arial"/>
                <w:sz w:val="11"/>
                <w:szCs w:val="11"/>
                <w:b w:val="1"/>
                <w:bCs w:val="1"/>
                <w:color w:val="auto"/>
                <w:w w:val="90"/>
              </w:rPr>
              <w:t>securities reflected in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Plan Category</w:t>
            </w:r>
          </w:p>
        </w:tc>
        <w:tc>
          <w:tcPr>
            <w:tcW w:w="2140" w:type="dxa"/>
            <w:vAlign w:val="bottom"/>
            <w:gridSpan w:val="2"/>
          </w:tcPr>
          <w:p>
            <w:pPr>
              <w:jc w:val="center"/>
              <w:ind w:right="140"/>
              <w:spacing w:after="0" w:line="106" w:lineRule="exact"/>
              <w:rPr>
                <w:sz w:val="20"/>
                <w:szCs w:val="20"/>
                <w:color w:val="auto"/>
              </w:rPr>
            </w:pPr>
            <w:r>
              <w:rPr>
                <w:rFonts w:ascii="Arial" w:cs="Arial" w:eastAsia="Arial" w:hAnsi="Arial"/>
                <w:sz w:val="11"/>
                <w:szCs w:val="11"/>
                <w:b w:val="1"/>
                <w:bCs w:val="1"/>
                <w:color w:val="auto"/>
                <w:w w:val="93"/>
              </w:rPr>
              <w:t>warrants and rights</w:t>
            </w:r>
          </w:p>
        </w:tc>
        <w:tc>
          <w:tcPr>
            <w:tcW w:w="240" w:type="dxa"/>
            <w:vAlign w:val="bottom"/>
          </w:tcPr>
          <w:p>
            <w:pPr>
              <w:spacing w:after="0"/>
              <w:rPr>
                <w:sz w:val="9"/>
                <w:szCs w:val="9"/>
                <w:color w:val="auto"/>
              </w:rPr>
            </w:pPr>
          </w:p>
        </w:tc>
        <w:tc>
          <w:tcPr>
            <w:tcW w:w="1660" w:type="dxa"/>
            <w:vAlign w:val="bottom"/>
            <w:gridSpan w:val="2"/>
          </w:tcPr>
          <w:p>
            <w:pPr>
              <w:jc w:val="center"/>
              <w:ind w:right="380"/>
              <w:spacing w:after="0" w:line="106" w:lineRule="exact"/>
              <w:rPr>
                <w:sz w:val="20"/>
                <w:szCs w:val="20"/>
                <w:color w:val="auto"/>
              </w:rPr>
            </w:pPr>
            <w:r>
              <w:rPr>
                <w:rFonts w:ascii="Arial" w:cs="Arial" w:eastAsia="Arial" w:hAnsi="Arial"/>
                <w:sz w:val="11"/>
                <w:szCs w:val="11"/>
                <w:b w:val="1"/>
                <w:bCs w:val="1"/>
                <w:color w:val="auto"/>
                <w:w w:val="93"/>
              </w:rPr>
              <w:t>warrants and rights</w:t>
            </w:r>
          </w:p>
        </w:tc>
        <w:tc>
          <w:tcPr>
            <w:tcW w:w="1980" w:type="dxa"/>
            <w:vAlign w:val="bottom"/>
            <w:gridSpan w:val="2"/>
          </w:tcPr>
          <w:p>
            <w:pPr>
              <w:jc w:val="center"/>
              <w:ind w:right="20"/>
              <w:spacing w:after="0" w:line="106" w:lineRule="exact"/>
              <w:rPr>
                <w:sz w:val="20"/>
                <w:szCs w:val="20"/>
                <w:color w:val="auto"/>
              </w:rPr>
            </w:pPr>
            <w:r>
              <w:rPr>
                <w:rFonts w:ascii="Arial" w:cs="Arial" w:eastAsia="Arial" w:hAnsi="Arial"/>
                <w:sz w:val="11"/>
                <w:szCs w:val="11"/>
                <w:b w:val="1"/>
                <w:bCs w:val="1"/>
                <w:color w:val="auto"/>
                <w:w w:val="94"/>
              </w:rPr>
              <w:t>column (a))</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40" w:type="dxa"/>
            <w:vAlign w:val="bottom"/>
            <w:gridSpan w:val="2"/>
            <w:vMerge w:val="continue"/>
          </w:tcPr>
          <w:p>
            <w:pPr>
              <w:spacing w:after="0"/>
              <w:rPr>
                <w:sz w:val="10"/>
                <w:szCs w:val="10"/>
                <w:color w:val="auto"/>
              </w:rPr>
            </w:pPr>
          </w:p>
        </w:tc>
        <w:tc>
          <w:tcPr>
            <w:tcW w:w="214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w w:val="88"/>
              </w:rPr>
              <w:t>(a)</w:t>
            </w:r>
          </w:p>
        </w:tc>
        <w:tc>
          <w:tcPr>
            <w:tcW w:w="240" w:type="dxa"/>
            <w:vAlign w:val="bottom"/>
          </w:tcPr>
          <w:p>
            <w:pPr>
              <w:spacing w:after="0"/>
              <w:rPr>
                <w:sz w:val="10"/>
                <w:szCs w:val="10"/>
                <w:color w:val="auto"/>
              </w:rPr>
            </w:pPr>
          </w:p>
        </w:tc>
        <w:tc>
          <w:tcPr>
            <w:tcW w:w="166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w w:val="99"/>
              </w:rPr>
              <w:t>(b)</w:t>
            </w:r>
          </w:p>
        </w:tc>
        <w:tc>
          <w:tcPr>
            <w:tcW w:w="1980" w:type="dxa"/>
            <w:vAlign w:val="bottom"/>
            <w:gridSpan w:val="2"/>
          </w:tcPr>
          <w:p>
            <w:pPr>
              <w:jc w:val="center"/>
              <w:ind w:right="20"/>
              <w:spacing w:after="0" w:line="117" w:lineRule="exact"/>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4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Equity compensation plans approved by security holders</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911,736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w:t>
            </w:r>
          </w:p>
        </w:tc>
        <w:tc>
          <w:tcPr>
            <w:tcW w:w="14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1,782,824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40" w:type="dxa"/>
            <w:vAlign w:val="bottom"/>
            <w:tcBorders>
              <w:top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color w:val="auto"/>
              </w:rPr>
              <w:t>Total</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911,736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1,782,824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980" w:type="dxa"/>
            <w:vAlign w:val="bottom"/>
          </w:tcPr>
          <w:p>
            <w:pPr>
              <w:jc w:val="right"/>
              <w:ind w:right="1437"/>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54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13.</w:t>
        <w:tab/>
        <w:t>CERTAIN RELATIONSHIPS AND RELATED TRANSACTIONS AND DIRECTOR INDEPENDENCE.</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information required by Item 13 is incorporated in this Annual Report on Form 10-K by reference to our definitive proxy statement or an amendment to this Annual Report on Form 10-K to be filed with the SEC not later than 120 days after the end of the fiscal year ended December 31, 2020.</w:t>
      </w:r>
    </w:p>
    <w:p>
      <w:pPr>
        <w:spacing w:after="0" w:line="150"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3"/>
          <w:szCs w:val="13"/>
          <w:b w:val="1"/>
          <w:bCs w:val="1"/>
          <w:color w:val="auto"/>
        </w:rPr>
        <w:t>PRINCIPAL ACCOUNTANT FEES AND SERVICES.</w:t>
      </w:r>
    </w:p>
    <w:p>
      <w:pPr>
        <w:spacing w:after="0" w:line="9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4"/>
          <w:szCs w:val="14"/>
          <w:color w:val="auto"/>
        </w:rPr>
        <w:t>The information required by Item 14 is incorporated in this Annual Report on Form 10-K by reference to our definitive proxy statement or an amendment to this Annual Report on Form 10-K to be filed with the SEC not later than 120 days after the end of the fiscal year ended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560" w:type="dxa"/>
            <w:vAlign w:val="bottom"/>
          </w:tcPr>
          <w:p>
            <w:pPr>
              <w:ind w:left="5360"/>
              <w:spacing w:after="0"/>
              <w:rPr>
                <w:sz w:val="20"/>
                <w:szCs w:val="20"/>
                <w:color w:val="auto"/>
              </w:rPr>
            </w:pPr>
            <w:r>
              <w:rPr>
                <w:rFonts w:ascii="Arial" w:cs="Arial" w:eastAsia="Arial" w:hAnsi="Arial"/>
                <w:sz w:val="14"/>
                <w:szCs w:val="14"/>
                <w:b w:val="1"/>
                <w:bCs w:val="1"/>
                <w:color w:val="auto"/>
              </w:rPr>
              <w:t>PART IV</w:t>
            </w:r>
          </w:p>
        </w:tc>
        <w:tc>
          <w:tcPr>
            <w:tcW w:w="700" w:type="dxa"/>
            <w:vAlign w:val="bottom"/>
          </w:tcPr>
          <w:p>
            <w:pPr>
              <w:spacing w:after="0"/>
              <w:rPr>
                <w:sz w:val="15"/>
                <w:szCs w:val="15"/>
                <w:color w:val="auto"/>
              </w:rPr>
            </w:pPr>
          </w:p>
        </w:tc>
      </w:tr>
      <w:tr>
        <w:trPr>
          <w:trHeight w:val="371"/>
        </w:trPr>
        <w:tc>
          <w:tcPr>
            <w:tcW w:w="10560" w:type="dxa"/>
            <w:vAlign w:val="bottom"/>
          </w:tcPr>
          <w:p>
            <w:pPr>
              <w:spacing w:after="0"/>
              <w:rPr>
                <w:sz w:val="20"/>
                <w:szCs w:val="20"/>
                <w:color w:val="auto"/>
              </w:rPr>
            </w:pPr>
            <w:r>
              <w:rPr>
                <w:rFonts w:ascii="Arial" w:cs="Arial" w:eastAsia="Arial" w:hAnsi="Arial"/>
                <w:sz w:val="14"/>
                <w:szCs w:val="14"/>
                <w:b w:val="1"/>
                <w:bCs w:val="1"/>
                <w:color w:val="auto"/>
              </w:rPr>
              <w:t>ITEM 15.  EXHIBITS AND FINANCIAL STATEMENT SCHEDULES.</w:t>
            </w:r>
          </w:p>
        </w:tc>
        <w:tc>
          <w:tcPr>
            <w:tcW w:w="700" w:type="dxa"/>
            <w:vAlign w:val="bottom"/>
          </w:tcPr>
          <w:p>
            <w:pPr>
              <w:spacing w:after="0"/>
              <w:rPr>
                <w:sz w:val="24"/>
                <w:szCs w:val="24"/>
                <w:color w:val="auto"/>
              </w:rPr>
            </w:pPr>
          </w:p>
        </w:tc>
      </w:tr>
      <w:tr>
        <w:trPr>
          <w:trHeight w:val="297"/>
        </w:trPr>
        <w:tc>
          <w:tcPr>
            <w:tcW w:w="10560" w:type="dxa"/>
            <w:vAlign w:val="bottom"/>
          </w:tcPr>
          <w:p>
            <w:pPr>
              <w:ind w:left="140"/>
              <w:spacing w:after="0"/>
              <w:rPr>
                <w:sz w:val="20"/>
                <w:szCs w:val="20"/>
                <w:color w:val="auto"/>
              </w:rPr>
            </w:pPr>
            <w:r>
              <w:rPr>
                <w:rFonts w:ascii="Arial" w:cs="Arial" w:eastAsia="Arial" w:hAnsi="Arial"/>
                <w:sz w:val="14"/>
                <w:szCs w:val="14"/>
                <w:b w:val="1"/>
                <w:bCs w:val="1"/>
                <w:color w:val="auto"/>
              </w:rPr>
              <w:t>(1) FINANCIAL STATEMENTS</w:t>
            </w:r>
          </w:p>
        </w:tc>
        <w:tc>
          <w:tcPr>
            <w:tcW w:w="700" w:type="dxa"/>
            <w:vAlign w:val="bottom"/>
          </w:tcPr>
          <w:p>
            <w:pPr>
              <w:spacing w:after="0"/>
              <w:rPr>
                <w:sz w:val="24"/>
                <w:szCs w:val="24"/>
                <w:color w:val="auto"/>
              </w:rPr>
            </w:pPr>
          </w:p>
        </w:tc>
      </w:tr>
      <w:tr>
        <w:trPr>
          <w:trHeight w:val="254"/>
        </w:trPr>
        <w:tc>
          <w:tcPr>
            <w:tcW w:w="10560" w:type="dxa"/>
            <w:vAlign w:val="bottom"/>
          </w:tcPr>
          <w:p>
            <w:pPr>
              <w:ind w:left="320"/>
              <w:spacing w:after="0"/>
              <w:rPr>
                <w:sz w:val="20"/>
                <w:szCs w:val="20"/>
                <w:color w:val="auto"/>
              </w:rPr>
            </w:pPr>
            <w:r>
              <w:rPr>
                <w:rFonts w:ascii="Arial" w:cs="Arial" w:eastAsia="Arial" w:hAnsi="Arial"/>
                <w:sz w:val="14"/>
                <w:szCs w:val="14"/>
                <w:color w:val="auto"/>
              </w:rPr>
              <w:t>The following financial statements and the Report of Independent Registered Public Accounting Firm are filed as a part of this Form 10-K on the pages indicated:</w:t>
            </w:r>
          </w:p>
        </w:tc>
        <w:tc>
          <w:tcPr>
            <w:tcW w:w="700" w:type="dxa"/>
            <w:vAlign w:val="bottom"/>
          </w:tcPr>
          <w:p>
            <w:pPr>
              <w:spacing w:after="0"/>
              <w:rPr>
                <w:sz w:val="22"/>
                <w:szCs w:val="22"/>
                <w:color w:val="auto"/>
              </w:rPr>
            </w:pPr>
          </w:p>
        </w:tc>
      </w:tr>
      <w:tr>
        <w:trPr>
          <w:trHeight w:val="161"/>
        </w:trPr>
        <w:tc>
          <w:tcPr>
            <w:tcW w:w="10560" w:type="dxa"/>
            <w:vAlign w:val="bottom"/>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Page</w:t>
            </w:r>
          </w:p>
        </w:tc>
      </w:tr>
      <w:tr>
        <w:trPr>
          <w:trHeight w:val="179"/>
        </w:trPr>
        <w:tc>
          <w:tcPr>
            <w:tcW w:w="10560" w:type="dxa"/>
            <w:vAlign w:val="bottom"/>
          </w:tcPr>
          <w:p>
            <w:pPr>
              <w:ind w:left="340"/>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Reports of Independent Registered Public Accounting Firm</w:t>
              </w:r>
            </w:hyperlink>
          </w:p>
        </w:tc>
        <w:tc>
          <w:tcPr>
            <w:tcW w:w="700" w:type="dxa"/>
            <w:vAlign w:val="bottom"/>
          </w:tcPr>
          <w:p>
            <w:pPr>
              <w:jc w:val="right"/>
              <w:spacing w:after="0"/>
              <w:rPr>
                <w:rFonts w:ascii="Arial" w:cs="Arial" w:eastAsia="Arial" w:hAnsi="Arial"/>
                <w:sz w:val="14"/>
                <w:szCs w:val="14"/>
                <w:u w:val="single" w:color="auto"/>
                <w:color w:val="0000FF"/>
              </w:rPr>
            </w:pPr>
            <w:hyperlink w:anchor="page47">
              <w:r>
                <w:rPr>
                  <w:rFonts w:ascii="Arial" w:cs="Arial" w:eastAsia="Arial" w:hAnsi="Arial"/>
                  <w:sz w:val="14"/>
                  <w:szCs w:val="14"/>
                  <w:u w:val="single" w:color="auto"/>
                  <w:color w:val="0000FF"/>
                </w:rPr>
                <w:t>46</w:t>
              </w:r>
            </w:hyperlink>
          </w:p>
        </w:tc>
      </w:tr>
      <w:tr>
        <w:trPr>
          <w:trHeight w:val="180"/>
        </w:trPr>
        <w:tc>
          <w:tcPr>
            <w:tcW w:w="10560" w:type="dxa"/>
            <w:vAlign w:val="bottom"/>
          </w:tcPr>
          <w:p>
            <w:pPr>
              <w:ind w:left="340"/>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Consolidated Balance Sheet as of December 31, 2019 and 2020</w:t>
              </w:r>
            </w:hyperlink>
          </w:p>
        </w:tc>
        <w:tc>
          <w:tcPr>
            <w:tcW w:w="700" w:type="dxa"/>
            <w:vAlign w:val="bottom"/>
          </w:tcPr>
          <w:p>
            <w:pPr>
              <w:jc w:val="right"/>
              <w:spacing w:after="0"/>
              <w:rPr>
                <w:rFonts w:ascii="Arial" w:cs="Arial" w:eastAsia="Arial" w:hAnsi="Arial"/>
                <w:sz w:val="14"/>
                <w:szCs w:val="14"/>
                <w:u w:val="single" w:color="auto"/>
                <w:color w:val="0000FF"/>
              </w:rPr>
            </w:pPr>
            <w:hyperlink w:anchor="page50">
              <w:r>
                <w:rPr>
                  <w:rFonts w:ascii="Arial" w:cs="Arial" w:eastAsia="Arial" w:hAnsi="Arial"/>
                  <w:sz w:val="14"/>
                  <w:szCs w:val="14"/>
                  <w:u w:val="single" w:color="auto"/>
                  <w:color w:val="0000FF"/>
                </w:rPr>
                <w:t>49</w:t>
              </w:r>
            </w:hyperlink>
          </w:p>
        </w:tc>
      </w:tr>
      <w:tr>
        <w:trPr>
          <w:trHeight w:val="180"/>
        </w:trPr>
        <w:tc>
          <w:tcPr>
            <w:tcW w:w="10560" w:type="dxa"/>
            <w:vAlign w:val="bottom"/>
          </w:tcPr>
          <w:p>
            <w:pPr>
              <w:ind w:left="340"/>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Consolidated Statements of Operations for the Years Ended December 31, 2018, 2019 and 2020</w:t>
              </w:r>
            </w:hyperlink>
          </w:p>
        </w:tc>
        <w:tc>
          <w:tcPr>
            <w:tcW w:w="700" w:type="dxa"/>
            <w:vAlign w:val="bottom"/>
          </w:tcPr>
          <w:p>
            <w:pPr>
              <w:jc w:val="right"/>
              <w:spacing w:after="0"/>
              <w:rPr>
                <w:rFonts w:ascii="Arial" w:cs="Arial" w:eastAsia="Arial" w:hAnsi="Arial"/>
                <w:sz w:val="14"/>
                <w:szCs w:val="14"/>
                <w:u w:val="single" w:color="auto"/>
                <w:color w:val="0000FF"/>
              </w:rPr>
            </w:pPr>
            <w:hyperlink w:anchor="page51">
              <w:r>
                <w:rPr>
                  <w:rFonts w:ascii="Arial" w:cs="Arial" w:eastAsia="Arial" w:hAnsi="Arial"/>
                  <w:sz w:val="14"/>
                  <w:szCs w:val="14"/>
                  <w:u w:val="single" w:color="auto"/>
                  <w:color w:val="0000FF"/>
                </w:rPr>
                <w:t>50</w:t>
              </w:r>
            </w:hyperlink>
          </w:p>
        </w:tc>
      </w:tr>
      <w:tr>
        <w:trPr>
          <w:trHeight w:val="180"/>
        </w:trPr>
        <w:tc>
          <w:tcPr>
            <w:tcW w:w="10560" w:type="dxa"/>
            <w:vAlign w:val="bottom"/>
          </w:tcPr>
          <w:p>
            <w:pPr>
              <w:ind w:left="34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Consolidated Statements of Changes in Stockholders’ Equity for the Years Ended December 31, 2018, 2019 and 2020</w:t>
              </w:r>
            </w:hyperlink>
          </w:p>
        </w:tc>
        <w:tc>
          <w:tcPr>
            <w:tcW w:w="700" w:type="dxa"/>
            <w:vAlign w:val="bottom"/>
          </w:tcPr>
          <w:p>
            <w:pPr>
              <w:jc w:val="right"/>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51</w:t>
              </w:r>
            </w:hyperlink>
          </w:p>
        </w:tc>
      </w:tr>
      <w:tr>
        <w:trPr>
          <w:trHeight w:val="180"/>
        </w:trPr>
        <w:tc>
          <w:tcPr>
            <w:tcW w:w="10560" w:type="dxa"/>
            <w:vAlign w:val="bottom"/>
          </w:tcPr>
          <w:p>
            <w:pPr>
              <w:ind w:left="340"/>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Consolidated Statements of Cash Flows for the Years Ended December 31, 2018, 2019 and 2020</w:t>
              </w:r>
            </w:hyperlink>
          </w:p>
        </w:tc>
        <w:tc>
          <w:tcPr>
            <w:tcW w:w="700" w:type="dxa"/>
            <w:vAlign w:val="bottom"/>
          </w:tcPr>
          <w:p>
            <w:pPr>
              <w:jc w:val="right"/>
              <w:spacing w:after="0"/>
              <w:rPr>
                <w:rFonts w:ascii="Arial" w:cs="Arial" w:eastAsia="Arial" w:hAnsi="Arial"/>
                <w:sz w:val="14"/>
                <w:szCs w:val="14"/>
                <w:u w:val="single" w:color="auto"/>
                <w:color w:val="0000FF"/>
              </w:rPr>
            </w:pPr>
            <w:hyperlink w:anchor="page53">
              <w:r>
                <w:rPr>
                  <w:rFonts w:ascii="Arial" w:cs="Arial" w:eastAsia="Arial" w:hAnsi="Arial"/>
                  <w:sz w:val="14"/>
                  <w:szCs w:val="14"/>
                  <w:u w:val="single" w:color="auto"/>
                  <w:color w:val="0000FF"/>
                </w:rPr>
                <w:t>52</w:t>
              </w:r>
            </w:hyperlink>
          </w:p>
        </w:tc>
      </w:tr>
      <w:tr>
        <w:trPr>
          <w:trHeight w:val="180"/>
        </w:trPr>
        <w:tc>
          <w:tcPr>
            <w:tcW w:w="10560" w:type="dxa"/>
            <w:vAlign w:val="bottom"/>
          </w:tcPr>
          <w:p>
            <w:pPr>
              <w:ind w:left="340"/>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Notes to Consolidated Financial Statements</w:t>
              </w:r>
            </w:hyperlink>
          </w:p>
        </w:tc>
        <w:tc>
          <w:tcPr>
            <w:tcW w:w="700" w:type="dxa"/>
            <w:vAlign w:val="bottom"/>
          </w:tcPr>
          <w:p>
            <w:pPr>
              <w:jc w:val="right"/>
              <w:spacing w:after="0"/>
              <w:rPr>
                <w:rFonts w:ascii="Arial" w:cs="Arial" w:eastAsia="Arial" w:hAnsi="Arial"/>
                <w:sz w:val="14"/>
                <w:szCs w:val="14"/>
                <w:u w:val="single" w:color="auto"/>
                <w:color w:val="0000FF"/>
              </w:rPr>
            </w:pPr>
            <w:hyperlink w:anchor="page54">
              <w:r>
                <w:rPr>
                  <w:rFonts w:ascii="Arial" w:cs="Arial" w:eastAsia="Arial" w:hAnsi="Arial"/>
                  <w:sz w:val="14"/>
                  <w:szCs w:val="14"/>
                  <w:u w:val="single" w:color="auto"/>
                  <w:color w:val="0000FF"/>
                </w:rPr>
                <w:t>53</w:t>
              </w:r>
            </w:hyperlink>
          </w:p>
        </w:tc>
      </w:tr>
      <w:tr>
        <w:trPr>
          <w:trHeight w:val="180"/>
        </w:trPr>
        <w:tc>
          <w:tcPr>
            <w:tcW w:w="10560" w:type="dxa"/>
            <w:vAlign w:val="bottom"/>
          </w:tcPr>
          <w:p>
            <w:pPr>
              <w:ind w:left="340"/>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Management’s Report on Internal Control over Financial Reporting</w:t>
              </w:r>
            </w:hyperlink>
          </w:p>
        </w:tc>
        <w:tc>
          <w:tcPr>
            <w:tcW w:w="700" w:type="dxa"/>
            <w:vAlign w:val="bottom"/>
          </w:tcPr>
          <w:p>
            <w:pPr>
              <w:jc w:val="right"/>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100</w:t>
              </w:r>
            </w:hyperlink>
          </w:p>
        </w:tc>
      </w:tr>
      <w:tr>
        <w:trPr>
          <w:trHeight w:val="371"/>
        </w:trPr>
        <w:tc>
          <w:tcPr>
            <w:tcW w:w="10560" w:type="dxa"/>
            <w:vAlign w:val="bottom"/>
          </w:tcPr>
          <w:p>
            <w:pPr>
              <w:ind w:left="140"/>
              <w:spacing w:after="0"/>
              <w:rPr>
                <w:sz w:val="20"/>
                <w:szCs w:val="20"/>
                <w:color w:val="auto"/>
              </w:rPr>
            </w:pPr>
            <w:r>
              <w:rPr>
                <w:rFonts w:ascii="Arial" w:cs="Arial" w:eastAsia="Arial" w:hAnsi="Arial"/>
                <w:sz w:val="14"/>
                <w:szCs w:val="14"/>
                <w:b w:val="1"/>
                <w:bCs w:val="1"/>
                <w:color w:val="auto"/>
              </w:rPr>
              <w:t>(2) FINANCIAL STATEMENT SCHEDULES</w:t>
            </w:r>
          </w:p>
        </w:tc>
        <w:tc>
          <w:tcPr>
            <w:tcW w:w="700" w:type="dxa"/>
            <w:vAlign w:val="bottom"/>
          </w:tcPr>
          <w:p>
            <w:pPr>
              <w:spacing w:after="0"/>
              <w:rPr>
                <w:sz w:val="24"/>
                <w:szCs w:val="24"/>
                <w:color w:val="auto"/>
              </w:rPr>
            </w:pPr>
          </w:p>
        </w:tc>
      </w:tr>
      <w:tr>
        <w:trPr>
          <w:trHeight w:val="254"/>
        </w:trPr>
        <w:tc>
          <w:tcPr>
            <w:tcW w:w="10560" w:type="dxa"/>
            <w:vAlign w:val="bottom"/>
          </w:tcPr>
          <w:p>
            <w:pPr>
              <w:ind w:left="320"/>
              <w:spacing w:after="0"/>
              <w:rPr>
                <w:sz w:val="20"/>
                <w:szCs w:val="20"/>
                <w:color w:val="auto"/>
              </w:rPr>
            </w:pPr>
            <w:r>
              <w:rPr>
                <w:rFonts w:ascii="Arial" w:cs="Arial" w:eastAsia="Arial" w:hAnsi="Arial"/>
                <w:sz w:val="14"/>
                <w:szCs w:val="14"/>
                <w:color w:val="auto"/>
              </w:rPr>
              <w:t>The following Financial Statement Schedule is included in this Form 10-K on the page indicated:</w:t>
            </w:r>
          </w:p>
        </w:tc>
        <w:tc>
          <w:tcPr>
            <w:tcW w:w="700" w:type="dxa"/>
            <w:vAlign w:val="bottom"/>
          </w:tcPr>
          <w:p>
            <w:pPr>
              <w:spacing w:after="0"/>
              <w:rPr>
                <w:sz w:val="22"/>
                <w:szCs w:val="22"/>
                <w:color w:val="auto"/>
              </w:rPr>
            </w:pPr>
          </w:p>
        </w:tc>
      </w:tr>
      <w:tr>
        <w:trPr>
          <w:trHeight w:val="161"/>
        </w:trPr>
        <w:tc>
          <w:tcPr>
            <w:tcW w:w="10560" w:type="dxa"/>
            <w:vAlign w:val="bottom"/>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Page</w:t>
            </w:r>
          </w:p>
        </w:tc>
      </w:tr>
      <w:tr>
        <w:trPr>
          <w:trHeight w:val="179"/>
        </w:trPr>
        <w:tc>
          <w:tcPr>
            <w:tcW w:w="10560" w:type="dxa"/>
            <w:vAlign w:val="bottom"/>
          </w:tcPr>
          <w:p>
            <w:pPr>
              <w:ind w:left="340"/>
              <w:spacing w:after="0"/>
              <w:rPr>
                <w:rFonts w:ascii="Arial" w:cs="Arial" w:eastAsia="Arial" w:hAnsi="Arial"/>
                <w:sz w:val="14"/>
                <w:szCs w:val="14"/>
                <w:u w:val="single" w:color="auto"/>
                <w:color w:val="0000FF"/>
              </w:rPr>
            </w:pPr>
            <w:hyperlink w:anchor="page99">
              <w:r>
                <w:rPr>
                  <w:rFonts w:ascii="Arial" w:cs="Arial" w:eastAsia="Arial" w:hAnsi="Arial"/>
                  <w:sz w:val="14"/>
                  <w:szCs w:val="14"/>
                  <w:u w:val="single" w:color="auto"/>
                  <w:color w:val="0000FF"/>
                </w:rPr>
                <w:t>Financial Statement Schedule II — Valuation and Qualifying Accounts</w:t>
              </w:r>
            </w:hyperlink>
          </w:p>
        </w:tc>
        <w:tc>
          <w:tcPr>
            <w:tcW w:w="700" w:type="dxa"/>
            <w:vAlign w:val="bottom"/>
          </w:tcPr>
          <w:p>
            <w:pPr>
              <w:jc w:val="right"/>
              <w:spacing w:after="0"/>
              <w:rPr>
                <w:rFonts w:ascii="Arial" w:cs="Arial" w:eastAsia="Arial" w:hAnsi="Arial"/>
                <w:sz w:val="14"/>
                <w:szCs w:val="14"/>
                <w:u w:val="single" w:color="auto"/>
                <w:color w:val="0000FF"/>
              </w:rPr>
            </w:pPr>
            <w:hyperlink w:anchor="page99">
              <w:r>
                <w:rPr>
                  <w:rFonts w:ascii="Arial" w:cs="Arial" w:eastAsia="Arial" w:hAnsi="Arial"/>
                  <w:sz w:val="14"/>
                  <w:szCs w:val="14"/>
                  <w:u w:val="single" w:color="auto"/>
                  <w:color w:val="0000FF"/>
                </w:rPr>
                <w:t>98</w:t>
              </w:r>
            </w:hyperlink>
          </w:p>
        </w:tc>
      </w:tr>
    </w:tbl>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All other schedules are omitted as the required information is inapplicable or the information is presented in the Consolidated Financial Statements or related notes.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(3) EXHIBITS</w:t>
      </w:r>
    </w:p>
    <w:p>
      <w:pPr>
        <w:spacing w:after="0" w:line="93"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2"/>
          <w:szCs w:val="12"/>
          <w:b w:val="1"/>
          <w:bCs w:val="1"/>
          <w:color w:val="auto"/>
        </w:rPr>
        <w:t>A copy of this Form 10-K, excluding exhibits, will be furnished at no charge to each person to whom a proxy statement for our 2021 annual meeting of stockholders is delivered upon the request of such person. Exhibits to this Form 10-K are available upon payment of a reasonable fee, which is limited to our expenses in furnishing the requested exhibit. Requests for copies should be directed to our Corporate Secretary, by mail at 3040 Post Oak Boulevard, Suite 300, Houston, Texas 77056 or by phone at 1-866-332-8400 or 713-332-8400.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w w:val="93"/>
              </w:rPr>
              <w:t>Exhibit No.</w:t>
            </w: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16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1620" w:type="dxa"/>
            <w:vAlign w:val="bottom"/>
            <w:gridSpan w:val="2"/>
          </w:tcPr>
          <w:p>
            <w:pPr>
              <w:jc w:val="right"/>
              <w:ind w:right="960"/>
              <w:spacing w:after="0"/>
              <w:rPr>
                <w:sz w:val="20"/>
                <w:szCs w:val="20"/>
                <w:color w:val="auto"/>
              </w:rPr>
            </w:pPr>
            <w:r>
              <w:rPr>
                <w:rFonts w:ascii="Arial" w:cs="Arial" w:eastAsia="Arial" w:hAnsi="Arial"/>
                <w:sz w:val="14"/>
                <w:szCs w:val="14"/>
                <w:color w:val="auto"/>
              </w:rPr>
              <w:t>3.1</w:t>
            </w:r>
          </w:p>
        </w:tc>
        <w:tc>
          <w:tcPr>
            <w:tcW w:w="9660" w:type="dxa"/>
            <w:vAlign w:val="bottom"/>
            <w:gridSpan w:val="8"/>
          </w:tcPr>
          <w:p>
            <w:pPr>
              <w:spacing w:after="0"/>
              <w:rPr>
                <w:rFonts w:ascii="Arial" w:cs="Arial" w:eastAsia="Arial" w:hAnsi="Arial"/>
                <w:sz w:val="14"/>
                <w:szCs w:val="14"/>
                <w:color w:val="0000FF"/>
                <w:w w:val="92"/>
              </w:rPr>
            </w:pPr>
            <w:hyperlink r:id="rId175">
              <w:r>
                <w:rPr>
                  <w:rFonts w:ascii="Arial" w:cs="Arial" w:eastAsia="Arial" w:hAnsi="Arial"/>
                  <w:sz w:val="14"/>
                  <w:szCs w:val="14"/>
                  <w:color w:val="0000FF"/>
                  <w:w w:val="92"/>
                </w:rPr>
                <w:t>Amended and Restated Certificate of Incorporation, as amended, of the Company. Incorporated by reference to Exhibit 3.1 to the Company’s Annual Report on Form 10-</w:t>
              </w:r>
            </w:hyperlink>
          </w:p>
        </w:tc>
      </w:tr>
      <w:tr>
        <w:trPr>
          <w:trHeight w:val="118"/>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20" w:type="dxa"/>
            <w:vAlign w:val="bottom"/>
            <w:tcBorders>
              <w:top w:val="single" w:sz="8" w:color="0000FF"/>
            </w:tcBorders>
            <w:gridSpan w:val="6"/>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K for its fiscal year ended December 31, 1996.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640" w:type="dxa"/>
            <w:vAlign w:val="bottom"/>
            <w:gridSpan w:val="3"/>
          </w:tcPr>
          <w:p>
            <w:pPr>
              <w:jc w:val="right"/>
              <w:ind w:right="960"/>
              <w:spacing w:after="0"/>
              <w:rPr>
                <w:sz w:val="20"/>
                <w:szCs w:val="20"/>
                <w:color w:val="auto"/>
              </w:rPr>
            </w:pPr>
            <w:r>
              <w:rPr>
                <w:rFonts w:ascii="Arial" w:cs="Arial" w:eastAsia="Arial" w:hAnsi="Arial"/>
                <w:sz w:val="14"/>
                <w:szCs w:val="14"/>
                <w:color w:val="auto"/>
              </w:rPr>
              <w:t>3.2</w:t>
            </w:r>
          </w:p>
        </w:tc>
        <w:tc>
          <w:tcPr>
            <w:tcW w:w="9660" w:type="dxa"/>
            <w:vAlign w:val="bottom"/>
            <w:gridSpan w:val="8"/>
          </w:tcPr>
          <w:p>
            <w:pPr>
              <w:spacing w:after="0"/>
              <w:rPr>
                <w:rFonts w:ascii="Arial" w:cs="Arial" w:eastAsia="Arial" w:hAnsi="Arial"/>
                <w:sz w:val="14"/>
                <w:szCs w:val="14"/>
                <w:color w:val="0000FF"/>
                <w:w w:val="95"/>
              </w:rPr>
            </w:pPr>
            <w:hyperlink r:id="rId176">
              <w:r>
                <w:rPr>
                  <w:rFonts w:ascii="Arial" w:cs="Arial" w:eastAsia="Arial" w:hAnsi="Arial"/>
                  <w:sz w:val="14"/>
                  <w:szCs w:val="14"/>
                  <w:color w:val="0000FF"/>
                  <w:w w:val="95"/>
                </w:rPr>
                <w:t>Certificate of Amendment dated May 7, 1997. Incorporated by reference to Exhibit 10.2 to the Company’s Quarterly Report on Form 10-Q for its fiscal quarter ended</w:t>
              </w:r>
            </w:hyperlink>
          </w:p>
        </w:tc>
      </w:tr>
      <w:tr>
        <w:trPr>
          <w:trHeight w:val="118"/>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40" w:type="dxa"/>
            <w:vAlign w:val="bottom"/>
            <w:tcBorders>
              <w:top w:val="single" w:sz="8" w:color="0000FF"/>
            </w:tcBorders>
            <w:gridSpan w:val="7"/>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September 30, 1997.</w:t>
              </w:r>
            </w:hyperlink>
          </w:p>
        </w:tc>
        <w:tc>
          <w:tcPr>
            <w:tcW w:w="20" w:type="dxa"/>
            <w:vAlign w:val="bottom"/>
          </w:tcPr>
          <w:p>
            <w:pPr>
              <w:spacing w:after="0"/>
              <w:rPr>
                <w:sz w:val="10"/>
                <w:szCs w:val="10"/>
                <w:color w:val="auto"/>
              </w:rPr>
            </w:pPr>
          </w:p>
        </w:tc>
      </w:tr>
      <w:tr>
        <w:trPr>
          <w:trHeight w:val="20"/>
        </w:trPr>
        <w:tc>
          <w:tcPr>
            <w:tcW w:w="1640" w:type="dxa"/>
            <w:vAlign w:val="bottom"/>
            <w:gridSpan w:val="3"/>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640" w:type="dxa"/>
            <w:vAlign w:val="bottom"/>
            <w:gridSpan w:val="3"/>
          </w:tcPr>
          <w:p>
            <w:pPr>
              <w:jc w:val="right"/>
              <w:ind w:right="960"/>
              <w:spacing w:after="0"/>
              <w:rPr>
                <w:sz w:val="20"/>
                <w:szCs w:val="20"/>
                <w:color w:val="auto"/>
              </w:rPr>
            </w:pPr>
            <w:r>
              <w:rPr>
                <w:rFonts w:ascii="Arial" w:cs="Arial" w:eastAsia="Arial" w:hAnsi="Arial"/>
                <w:sz w:val="14"/>
                <w:szCs w:val="14"/>
                <w:color w:val="auto"/>
              </w:rPr>
              <w:t>3.3</w:t>
            </w:r>
          </w:p>
        </w:tc>
        <w:tc>
          <w:tcPr>
            <w:tcW w:w="9660" w:type="dxa"/>
            <w:vAlign w:val="bottom"/>
            <w:tcBorders>
              <w:bottom w:val="single" w:sz="8" w:color="0000FF"/>
            </w:tcBorders>
            <w:gridSpan w:val="8"/>
          </w:tcPr>
          <w:p>
            <w:pPr>
              <w:spacing w:after="0"/>
              <w:rPr>
                <w:rFonts w:ascii="Arial" w:cs="Arial" w:eastAsia="Arial" w:hAnsi="Arial"/>
                <w:sz w:val="14"/>
                <w:szCs w:val="14"/>
                <w:color w:val="0000FF"/>
                <w:w w:val="92"/>
              </w:rPr>
            </w:pPr>
            <w:hyperlink r:id="rId177">
              <w:r>
                <w:rPr>
                  <w:rFonts w:ascii="Arial" w:cs="Arial" w:eastAsia="Arial" w:hAnsi="Arial"/>
                  <w:sz w:val="14"/>
                  <w:szCs w:val="14"/>
                  <w:color w:val="0000FF"/>
                  <w:w w:val="92"/>
                </w:rPr>
                <w:t>Certificate of Amendment dated May 7, 2002. Incorporated by reference to Exhibit 3.1 to the Company’s Quarterly Report on Form 10-Q for its fiscal quarter ended June</w:t>
              </w:r>
            </w:hyperlink>
          </w:p>
        </w:tc>
      </w:tr>
      <w:tr>
        <w:trPr>
          <w:trHeight w:val="118"/>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gridSpan w:val="2"/>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30, 2002.</w:t>
              </w:r>
            </w:hyperlink>
          </w:p>
        </w:tc>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1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980" w:type="dxa"/>
            <w:vAlign w:val="bottom"/>
            <w:gridSpan w:val="3"/>
          </w:tcPr>
          <w:p>
            <w:pPr>
              <w:jc w:val="right"/>
              <w:ind w:right="400"/>
              <w:spacing w:after="0"/>
              <w:rPr>
                <w:sz w:val="20"/>
                <w:szCs w:val="20"/>
                <w:color w:val="auto"/>
              </w:rPr>
            </w:pPr>
            <w:r>
              <w:rPr>
                <w:rFonts w:ascii="Arial" w:cs="Arial" w:eastAsia="Arial" w:hAnsi="Arial"/>
                <w:sz w:val="14"/>
                <w:szCs w:val="14"/>
                <w:color w:val="auto"/>
              </w:rPr>
              <w:t>102</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0"/>
        </w:trPr>
        <w:tc>
          <w:tcPr>
            <w:tcW w:w="164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78"/>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3.4</w:t>
            </w:r>
          </w:p>
        </w:tc>
        <w:tc>
          <w:tcPr>
            <w:tcW w:w="9820" w:type="dxa"/>
            <w:vAlign w:val="bottom"/>
            <w:gridSpan w:val="24"/>
          </w:tcPr>
          <w:p>
            <w:pPr>
              <w:spacing w:after="0"/>
              <w:rPr>
                <w:rFonts w:ascii="Arial" w:cs="Arial" w:eastAsia="Arial" w:hAnsi="Arial"/>
                <w:sz w:val="14"/>
                <w:szCs w:val="14"/>
                <w:color w:val="0000FF"/>
                <w:w w:val="94"/>
              </w:rPr>
            </w:pPr>
            <w:hyperlink r:id="rId180">
              <w:r>
                <w:rPr>
                  <w:rFonts w:ascii="Arial" w:cs="Arial" w:eastAsia="Arial" w:hAnsi="Arial"/>
                  <w:sz w:val="14"/>
                  <w:szCs w:val="14"/>
                  <w:color w:val="0000FF"/>
                  <w:w w:val="94"/>
                </w:rPr>
                <w:t>Amended and Restated Bylaws of the Company. Incorporated by reference to Exhibit 3.2 to the Company’s Registration Statement on Form S-1/A (File No. 333-05545)</w:t>
              </w:r>
            </w:hyperlink>
          </w:p>
        </w:tc>
      </w:tr>
      <w:tr>
        <w:trPr>
          <w:trHeight w:val="118"/>
        </w:trPr>
        <w:tc>
          <w:tcPr>
            <w:tcW w:w="1640" w:type="dxa"/>
            <w:vAlign w:val="bottom"/>
          </w:tcPr>
          <w:p>
            <w:pPr>
              <w:spacing w:after="0"/>
              <w:rPr>
                <w:sz w:val="10"/>
                <w:szCs w:val="10"/>
                <w:color w:val="auto"/>
              </w:rPr>
            </w:pPr>
          </w:p>
        </w:tc>
        <w:tc>
          <w:tcPr>
            <w:tcW w:w="980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filed on July 18, 1996.</w:t>
              </w:r>
            </w:hyperlink>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3.5</w:t>
            </w:r>
          </w:p>
        </w:tc>
        <w:tc>
          <w:tcPr>
            <w:tcW w:w="9820" w:type="dxa"/>
            <w:vAlign w:val="bottom"/>
            <w:gridSpan w:val="24"/>
          </w:tcPr>
          <w:p>
            <w:pPr>
              <w:spacing w:after="0"/>
              <w:rPr>
                <w:rFonts w:ascii="Arial" w:cs="Arial" w:eastAsia="Arial" w:hAnsi="Arial"/>
                <w:sz w:val="14"/>
                <w:szCs w:val="14"/>
                <w:color w:val="0000FF"/>
                <w:w w:val="94"/>
              </w:rPr>
            </w:pPr>
            <w:hyperlink r:id="rId181">
              <w:r>
                <w:rPr>
                  <w:rFonts w:ascii="Arial" w:cs="Arial" w:eastAsia="Arial" w:hAnsi="Arial"/>
                  <w:sz w:val="14"/>
                  <w:szCs w:val="14"/>
                  <w:color w:val="0000FF"/>
                  <w:w w:val="94"/>
                </w:rPr>
                <w:t>Amendments to the Bylaws of the Company effective December 18, 2000. Incorporated by reference to Exhibit 3.8 to the Company’s Annual Report on Form 10-K for its</w:t>
              </w:r>
            </w:hyperlink>
          </w:p>
        </w:tc>
      </w:tr>
      <w:tr>
        <w:trPr>
          <w:trHeight w:val="118"/>
        </w:trPr>
        <w:tc>
          <w:tcPr>
            <w:tcW w:w="164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5"/>
              </w:rPr>
            </w:pPr>
            <w:hyperlink r:id="rId181">
              <w:r>
                <w:rPr>
                  <w:rFonts w:ascii="Arial" w:cs="Arial" w:eastAsia="Arial" w:hAnsi="Arial"/>
                  <w:sz w:val="13"/>
                  <w:szCs w:val="13"/>
                  <w:color w:val="0000FF"/>
                  <w:w w:val="95"/>
                </w:rPr>
                <w:t>year ended December 31, 2000.</w:t>
              </w:r>
            </w:hyperlink>
          </w:p>
        </w:tc>
        <w:tc>
          <w:tcPr>
            <w:tcW w:w="79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3.6</w:t>
            </w:r>
          </w:p>
        </w:tc>
        <w:tc>
          <w:tcPr>
            <w:tcW w:w="9820" w:type="dxa"/>
            <w:vAlign w:val="bottom"/>
            <w:gridSpan w:val="24"/>
          </w:tcPr>
          <w:p>
            <w:pPr>
              <w:spacing w:after="0"/>
              <w:rPr>
                <w:rFonts w:ascii="Arial" w:cs="Arial" w:eastAsia="Arial" w:hAnsi="Arial"/>
                <w:sz w:val="14"/>
                <w:szCs w:val="14"/>
                <w:color w:val="0000FF"/>
                <w:w w:val="95"/>
              </w:rPr>
            </w:pPr>
            <w:hyperlink r:id="rId182">
              <w:r>
                <w:rPr>
                  <w:rFonts w:ascii="Arial" w:cs="Arial" w:eastAsia="Arial" w:hAnsi="Arial"/>
                  <w:sz w:val="14"/>
                  <w:szCs w:val="14"/>
                  <w:color w:val="0000FF"/>
                  <w:w w:val="95"/>
                </w:rPr>
                <w:t>Amendments to the Bylaws of the Company effective May 20, 2008. Incorporated by reference to Exhibit 3.1 to the Company’s Current Report on Form 8-K filed May</w:t>
              </w:r>
            </w:hyperlink>
          </w:p>
        </w:tc>
      </w:tr>
      <w:tr>
        <w:trPr>
          <w:trHeight w:val="118"/>
        </w:trPr>
        <w:tc>
          <w:tcPr>
            <w:tcW w:w="1640" w:type="dxa"/>
            <w:vAlign w:val="bottom"/>
          </w:tcPr>
          <w:p>
            <w:pPr>
              <w:spacing w:after="0"/>
              <w:rPr>
                <w:sz w:val="10"/>
                <w:szCs w:val="10"/>
                <w:color w:val="auto"/>
              </w:rPr>
            </w:pPr>
          </w:p>
        </w:tc>
        <w:tc>
          <w:tcPr>
            <w:tcW w:w="5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2"/>
              </w:rPr>
            </w:pPr>
            <w:hyperlink r:id="rId182">
              <w:r>
                <w:rPr>
                  <w:rFonts w:ascii="Arial" w:cs="Arial" w:eastAsia="Arial" w:hAnsi="Arial"/>
                  <w:sz w:val="13"/>
                  <w:szCs w:val="13"/>
                  <w:color w:val="0000FF"/>
                  <w:w w:val="92"/>
                </w:rPr>
                <w:t>28, 2008.</w:t>
              </w:r>
            </w:hyperlink>
          </w:p>
        </w:tc>
        <w:tc>
          <w:tcPr>
            <w:tcW w:w="7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900" w:type="dxa"/>
            <w:vAlign w:val="bottom"/>
            <w:tcBorders>
              <w:top w:val="single" w:sz="8" w:color="0000FF"/>
            </w:tcBorders>
          </w:tcPr>
          <w:p>
            <w:pPr>
              <w:spacing w:after="0"/>
              <w:rPr>
                <w:sz w:val="10"/>
                <w:szCs w:val="10"/>
                <w:color w:val="auto"/>
              </w:rPr>
            </w:pPr>
          </w:p>
        </w:tc>
        <w:tc>
          <w:tcPr>
            <w:tcW w:w="3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3.7</w:t>
            </w:r>
          </w:p>
        </w:tc>
        <w:tc>
          <w:tcPr>
            <w:tcW w:w="9820" w:type="dxa"/>
            <w:vAlign w:val="bottom"/>
            <w:gridSpan w:val="24"/>
          </w:tcPr>
          <w:p>
            <w:pPr>
              <w:spacing w:after="0"/>
              <w:rPr>
                <w:rFonts w:ascii="Arial" w:cs="Arial" w:eastAsia="Arial" w:hAnsi="Arial"/>
                <w:sz w:val="14"/>
                <w:szCs w:val="14"/>
                <w:color w:val="0000FF"/>
                <w:w w:val="93"/>
              </w:rPr>
            </w:pPr>
            <w:hyperlink r:id="rId183">
              <w:r>
                <w:rPr>
                  <w:rFonts w:ascii="Arial" w:cs="Arial" w:eastAsia="Arial" w:hAnsi="Arial"/>
                  <w:sz w:val="14"/>
                  <w:szCs w:val="14"/>
                  <w:color w:val="0000FF"/>
                  <w:w w:val="93"/>
                </w:rPr>
                <w:t>Second Amendment to the Amended and Restated Bylaws of Carriage Services, Inc. Incorporated by reference to Exhibit 3.1 to the Company's Current report on Form 8-</w:t>
              </w:r>
            </w:hyperlink>
          </w:p>
        </w:tc>
      </w:tr>
      <w:tr>
        <w:trPr>
          <w:trHeight w:val="118"/>
        </w:trPr>
        <w:tc>
          <w:tcPr>
            <w:tcW w:w="1640" w:type="dxa"/>
            <w:vAlign w:val="bottom"/>
          </w:tcPr>
          <w:p>
            <w:pPr>
              <w:spacing w:after="0"/>
              <w:rPr>
                <w:sz w:val="10"/>
                <w:szCs w:val="10"/>
                <w:color w:val="auto"/>
              </w:rPr>
            </w:pPr>
          </w:p>
        </w:tc>
        <w:tc>
          <w:tcPr>
            <w:tcW w:w="13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K filed March 8, 2019.</w:t>
              </w:r>
            </w:hyperlink>
          </w:p>
        </w:tc>
        <w:tc>
          <w:tcPr>
            <w:tcW w:w="838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4.1</w:t>
            </w:r>
          </w:p>
        </w:tc>
        <w:tc>
          <w:tcPr>
            <w:tcW w:w="9820" w:type="dxa"/>
            <w:vAlign w:val="bottom"/>
            <w:gridSpan w:val="24"/>
          </w:tcPr>
          <w:p>
            <w:pPr>
              <w:spacing w:after="0"/>
              <w:rPr>
                <w:rFonts w:ascii="Arial" w:cs="Arial" w:eastAsia="Arial" w:hAnsi="Arial"/>
                <w:sz w:val="14"/>
                <w:szCs w:val="14"/>
                <w:color w:val="0000FF"/>
                <w:w w:val="97"/>
              </w:rPr>
            </w:pPr>
            <w:hyperlink r:id="rId184">
              <w:r>
                <w:rPr>
                  <w:rFonts w:ascii="Arial" w:cs="Arial" w:eastAsia="Arial" w:hAnsi="Arial"/>
                  <w:sz w:val="14"/>
                  <w:szCs w:val="14"/>
                  <w:color w:val="0000FF"/>
                  <w:w w:val="97"/>
                </w:rPr>
                <w:t>Indenture, dated as of March 19, 2014, by and among Carriage Services, Inc. and Wilmington Trust, National Association, as Trustee. Incorporated by reference to</w:t>
              </w:r>
            </w:hyperlink>
          </w:p>
        </w:tc>
      </w:tr>
      <w:tr>
        <w:trPr>
          <w:trHeight w:val="118"/>
        </w:trPr>
        <w:tc>
          <w:tcPr>
            <w:tcW w:w="1640" w:type="dxa"/>
            <w:vAlign w:val="bottom"/>
          </w:tcPr>
          <w:p>
            <w:pPr>
              <w:spacing w:after="0"/>
              <w:rPr>
                <w:sz w:val="10"/>
                <w:szCs w:val="10"/>
                <w:color w:val="auto"/>
              </w:rPr>
            </w:pPr>
          </w:p>
        </w:tc>
        <w:tc>
          <w:tcPr>
            <w:tcW w:w="964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Exhibit 4.1 to the Company's Current Report on Form 8-K filed March 19, 2014.</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4.2</w:t>
            </w:r>
          </w:p>
        </w:tc>
        <w:tc>
          <w:tcPr>
            <w:tcW w:w="9820" w:type="dxa"/>
            <w:vAlign w:val="bottom"/>
            <w:gridSpan w:val="24"/>
          </w:tcPr>
          <w:p>
            <w:pPr>
              <w:spacing w:after="0"/>
              <w:rPr>
                <w:rFonts w:ascii="Arial" w:cs="Arial" w:eastAsia="Arial" w:hAnsi="Arial"/>
                <w:sz w:val="14"/>
                <w:szCs w:val="14"/>
                <w:color w:val="0000FF"/>
                <w:w w:val="94"/>
              </w:rPr>
            </w:pPr>
            <w:hyperlink r:id="rId185">
              <w:r>
                <w:rPr>
                  <w:rFonts w:ascii="Arial" w:cs="Arial" w:eastAsia="Arial" w:hAnsi="Arial"/>
                  <w:sz w:val="14"/>
                  <w:szCs w:val="14"/>
                  <w:color w:val="0000FF"/>
                  <w:w w:val="94"/>
                </w:rPr>
                <w:t>Indenture, dated as of May 31, 2018, among the Company, the Guarantors and Wilmington Trust, National Association, as Trustee. Incorporated by reference to Exhibit</w:t>
              </w:r>
            </w:hyperlink>
          </w:p>
        </w:tc>
      </w:tr>
      <w:tr>
        <w:trPr>
          <w:trHeight w:val="118"/>
        </w:trPr>
        <w:tc>
          <w:tcPr>
            <w:tcW w:w="164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85">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r>
                <w:rPr>
                  <w:rFonts w:ascii="Arial" w:cs="Arial" w:eastAsia="Arial" w:hAnsi="Arial"/>
                  <w:sz w:val="13"/>
                  <w:szCs w:val="13"/>
                  <w:color w:val="0000FF"/>
                  <w:w w:val="99"/>
                </w:rPr>
                <w:t xml:space="preserve"> to the Company’s Current Report on Form 8-K filed on May 31, 2018.</w:t>
              </w:r>
            </w:hyperlink>
          </w:p>
        </w:tc>
        <w:tc>
          <w:tcPr>
            <w:tcW w:w="558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50"/>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4.3</w:t>
            </w:r>
          </w:p>
        </w:tc>
        <w:tc>
          <w:tcPr>
            <w:tcW w:w="9820" w:type="dxa"/>
            <w:vAlign w:val="bottom"/>
            <w:gridSpan w:val="24"/>
          </w:tcPr>
          <w:p>
            <w:pPr>
              <w:spacing w:after="0"/>
              <w:rPr>
                <w:rFonts w:ascii="Arial" w:cs="Arial" w:eastAsia="Arial" w:hAnsi="Arial"/>
                <w:sz w:val="14"/>
                <w:szCs w:val="14"/>
                <w:u w:val="single" w:color="auto"/>
                <w:color w:val="0000FF"/>
              </w:rPr>
            </w:pPr>
            <w:hyperlink r:id="rId185">
              <w:r>
                <w:rPr>
                  <w:rFonts w:ascii="Arial" w:cs="Arial" w:eastAsia="Arial" w:hAnsi="Arial"/>
                  <w:sz w:val="14"/>
                  <w:szCs w:val="14"/>
                  <w:u w:val="single" w:color="auto"/>
                  <w:color w:val="0000FF"/>
                </w:rPr>
                <w:t>Form of 6.625% Senior Notes due 2026. Incorporated by reference to Exhibit 4.1 to the Company’s Current Report on Form 8-K filed on May 31, 2018.</w:t>
              </w:r>
            </w:hyperlink>
          </w:p>
        </w:tc>
      </w:tr>
      <w:tr>
        <w:trPr>
          <w:trHeight w:val="307"/>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4.4</w:t>
            </w:r>
          </w:p>
        </w:tc>
        <w:tc>
          <w:tcPr>
            <w:tcW w:w="9820" w:type="dxa"/>
            <w:vAlign w:val="bottom"/>
            <w:gridSpan w:val="24"/>
          </w:tcPr>
          <w:p>
            <w:pPr>
              <w:spacing w:after="0"/>
              <w:rPr>
                <w:rFonts w:ascii="Arial" w:cs="Arial" w:eastAsia="Arial" w:hAnsi="Arial"/>
                <w:sz w:val="14"/>
                <w:szCs w:val="14"/>
                <w:color w:val="0000FF"/>
                <w:w w:val="97"/>
              </w:rPr>
            </w:pPr>
            <w:hyperlink r:id="rId186">
              <w:r>
                <w:rPr>
                  <w:rFonts w:ascii="Arial" w:cs="Arial" w:eastAsia="Arial" w:hAnsi="Arial"/>
                  <w:sz w:val="14"/>
                  <w:szCs w:val="14"/>
                  <w:color w:val="0000FF"/>
                  <w:w w:val="97"/>
                </w:rPr>
                <w:t>Second Amended and Restated 2006 Long-Term Incentive Plan. Incorporated by reference to Exhibit 10.1 to the Company's Quarterly Report on Form 10-Q for its</w:t>
              </w:r>
            </w:hyperlink>
          </w:p>
        </w:tc>
      </w:tr>
      <w:tr>
        <w:trPr>
          <w:trHeight w:val="118"/>
        </w:trPr>
        <w:tc>
          <w:tcPr>
            <w:tcW w:w="1640" w:type="dxa"/>
            <w:vAlign w:val="bottom"/>
          </w:tcPr>
          <w:p>
            <w:pPr>
              <w:spacing w:after="0"/>
              <w:rPr>
                <w:sz w:val="10"/>
                <w:szCs w:val="10"/>
                <w:color w:val="auto"/>
              </w:rPr>
            </w:pPr>
          </w:p>
        </w:tc>
        <w:tc>
          <w:tcPr>
            <w:tcW w:w="964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quarter ended June 30, 2012</w:t>
              </w:r>
              <w:r>
                <w:rPr>
                  <w:rFonts w:ascii="Arial" w:cs="Arial" w:eastAsia="Arial" w:hAnsi="Arial"/>
                  <w:sz w:val="13"/>
                  <w:szCs w:val="13"/>
                  <w:color w:val="000000"/>
                </w:rPr>
                <w:t>. †</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4.5</w:t>
            </w:r>
          </w:p>
        </w:tc>
        <w:tc>
          <w:tcPr>
            <w:tcW w:w="9820" w:type="dxa"/>
            <w:vAlign w:val="bottom"/>
            <w:gridSpan w:val="24"/>
          </w:tcPr>
          <w:p>
            <w:pPr>
              <w:spacing w:after="0"/>
              <w:rPr>
                <w:rFonts w:ascii="Arial" w:cs="Arial" w:eastAsia="Arial" w:hAnsi="Arial"/>
                <w:sz w:val="14"/>
                <w:szCs w:val="14"/>
                <w:color w:val="0000FF"/>
                <w:w w:val="93"/>
              </w:rPr>
            </w:pPr>
            <w:hyperlink r:id="rId187">
              <w:r>
                <w:rPr>
                  <w:rFonts w:ascii="Arial" w:cs="Arial" w:eastAsia="Arial" w:hAnsi="Arial"/>
                  <w:sz w:val="14"/>
                  <w:szCs w:val="14"/>
                  <w:color w:val="0000FF"/>
                  <w:w w:val="93"/>
                </w:rPr>
                <w:t>First Amendment to Carriage Services, Inc. Second Amended and Restated 2006 Long-Term Incentive Plan. Incorporated by reference to Exhibit 10.28 to the Company's</w:t>
              </w:r>
            </w:hyperlink>
          </w:p>
        </w:tc>
      </w:tr>
      <w:tr>
        <w:trPr>
          <w:trHeight w:val="118"/>
        </w:trPr>
        <w:tc>
          <w:tcPr>
            <w:tcW w:w="1640" w:type="dxa"/>
            <w:vAlign w:val="bottom"/>
          </w:tcPr>
          <w:p>
            <w:pPr>
              <w:spacing w:after="0"/>
              <w:rPr>
                <w:sz w:val="10"/>
                <w:szCs w:val="10"/>
                <w:color w:val="auto"/>
              </w:rPr>
            </w:pPr>
          </w:p>
        </w:tc>
        <w:tc>
          <w:tcPr>
            <w:tcW w:w="976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87">
              <w:r>
                <w:rPr>
                  <w:rFonts w:ascii="Arial" w:cs="Arial" w:eastAsia="Arial" w:hAnsi="Arial"/>
                  <w:sz w:val="13"/>
                  <w:szCs w:val="13"/>
                  <w:color w:val="0000FF"/>
                </w:rPr>
                <w:t xml:space="preserve">Annual Report on Form 10-K filed March 5, 2014. </w:t>
              </w:r>
              <w:r>
                <w:rPr>
                  <w:rFonts w:ascii="Arial" w:cs="Arial" w:eastAsia="Arial" w:hAnsi="Arial"/>
                  <w:sz w:val="13"/>
                  <w:szCs w:val="13"/>
                  <w:color w:val="000000"/>
                </w:rPr>
                <w:t>†</w:t>
              </w:r>
            </w:hyperlink>
          </w:p>
        </w:tc>
        <w:tc>
          <w:tcPr>
            <w:tcW w:w="60" w:type="dxa"/>
            <w:vAlign w:val="bottom"/>
            <w:gridSpan w:val="3"/>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4.6</w:t>
            </w:r>
          </w:p>
        </w:tc>
        <w:tc>
          <w:tcPr>
            <w:tcW w:w="9820" w:type="dxa"/>
            <w:vAlign w:val="bottom"/>
            <w:gridSpan w:val="24"/>
          </w:tcPr>
          <w:p>
            <w:pPr>
              <w:spacing w:after="0"/>
              <w:rPr>
                <w:rFonts w:ascii="Arial" w:cs="Arial" w:eastAsia="Arial" w:hAnsi="Arial"/>
                <w:sz w:val="14"/>
                <w:szCs w:val="14"/>
                <w:color w:val="0000FF"/>
                <w:w w:val="95"/>
              </w:rPr>
            </w:pPr>
            <w:hyperlink r:id="rId188">
              <w:r>
                <w:rPr>
                  <w:rFonts w:ascii="Arial" w:cs="Arial" w:eastAsia="Arial" w:hAnsi="Arial"/>
                  <w:sz w:val="14"/>
                  <w:szCs w:val="14"/>
                  <w:color w:val="0000FF"/>
                  <w:w w:val="95"/>
                </w:rPr>
                <w:t>Amended and Restated Carriage Services, Inc. 2007 Employee Stock Purchase Plan. Incorporated by reference to Exhibit 10.1 to the Company's Quarterly Report on</w:t>
              </w:r>
            </w:hyperlink>
          </w:p>
        </w:tc>
      </w:tr>
      <w:tr>
        <w:trPr>
          <w:trHeight w:val="118"/>
        </w:trPr>
        <w:tc>
          <w:tcPr>
            <w:tcW w:w="1640" w:type="dxa"/>
            <w:vAlign w:val="bottom"/>
          </w:tcPr>
          <w:p>
            <w:pPr>
              <w:spacing w:after="0"/>
              <w:rPr>
                <w:sz w:val="10"/>
                <w:szCs w:val="10"/>
                <w:color w:val="auto"/>
              </w:rPr>
            </w:pPr>
          </w:p>
        </w:tc>
        <w:tc>
          <w:tcPr>
            <w:tcW w:w="966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88">
              <w:r>
                <w:rPr>
                  <w:rFonts w:ascii="Arial" w:cs="Arial" w:eastAsia="Arial" w:hAnsi="Arial"/>
                  <w:sz w:val="13"/>
                  <w:szCs w:val="13"/>
                  <w:color w:val="0000FF"/>
                </w:rPr>
                <w:t xml:space="preserve">Form 10-Q for its quarter ended September 30, 2013. </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4.7</w:t>
            </w:r>
          </w:p>
        </w:tc>
        <w:tc>
          <w:tcPr>
            <w:tcW w:w="9820" w:type="dxa"/>
            <w:vAlign w:val="bottom"/>
            <w:gridSpan w:val="24"/>
          </w:tcPr>
          <w:p>
            <w:pPr>
              <w:spacing w:after="0"/>
              <w:rPr>
                <w:rFonts w:ascii="Arial" w:cs="Arial" w:eastAsia="Arial" w:hAnsi="Arial"/>
                <w:sz w:val="14"/>
                <w:szCs w:val="14"/>
                <w:color w:val="0000FF"/>
                <w:w w:val="97"/>
              </w:rPr>
            </w:pPr>
            <w:hyperlink r:id="rId189">
              <w:r>
                <w:rPr>
                  <w:rFonts w:ascii="Arial" w:cs="Arial" w:eastAsia="Arial" w:hAnsi="Arial"/>
                  <w:sz w:val="14"/>
                  <w:szCs w:val="14"/>
                  <w:color w:val="0000FF"/>
                  <w:w w:val="97"/>
                </w:rPr>
                <w:t>Amended and Restated Carriage Services, Inc. 2007 Employee Stock Purchase Plan (incorporated by reference to Appendix A to the Company’s Definitive Proxy</w:t>
              </w:r>
            </w:hyperlink>
          </w:p>
        </w:tc>
      </w:tr>
      <w:tr>
        <w:trPr>
          <w:trHeight w:val="118"/>
        </w:trPr>
        <w:tc>
          <w:tcPr>
            <w:tcW w:w="1640" w:type="dxa"/>
            <w:vAlign w:val="bottom"/>
          </w:tcPr>
          <w:p>
            <w:pPr>
              <w:spacing w:after="0"/>
              <w:rPr>
                <w:sz w:val="10"/>
                <w:szCs w:val="10"/>
                <w:color w:val="auto"/>
              </w:rPr>
            </w:pPr>
          </w:p>
        </w:tc>
        <w:tc>
          <w:tcPr>
            <w:tcW w:w="29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89">
              <w:r>
                <w:rPr>
                  <w:rFonts w:ascii="Arial" w:cs="Arial" w:eastAsia="Arial" w:hAnsi="Arial"/>
                  <w:sz w:val="13"/>
                  <w:szCs w:val="13"/>
                  <w:color w:val="0000FF"/>
                  <w:w w:val="99"/>
                </w:rPr>
                <w:t>Statement on Schedule 14A filed on April 4, 2018).</w:t>
              </w:r>
            </w:hyperlink>
          </w:p>
        </w:tc>
        <w:tc>
          <w:tcPr>
            <w:tcW w:w="676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4.8</w:t>
            </w:r>
          </w:p>
        </w:tc>
        <w:tc>
          <w:tcPr>
            <w:tcW w:w="9820" w:type="dxa"/>
            <w:vAlign w:val="bottom"/>
            <w:gridSpan w:val="24"/>
          </w:tcPr>
          <w:p>
            <w:pPr>
              <w:spacing w:after="0"/>
              <w:rPr>
                <w:rFonts w:ascii="Arial" w:cs="Arial" w:eastAsia="Arial" w:hAnsi="Arial"/>
                <w:sz w:val="14"/>
                <w:szCs w:val="14"/>
                <w:color w:val="0000FF"/>
                <w:w w:val="93"/>
              </w:rPr>
            </w:pPr>
            <w:hyperlink r:id="rId189">
              <w:r>
                <w:rPr>
                  <w:rFonts w:ascii="Arial" w:cs="Arial" w:eastAsia="Arial" w:hAnsi="Arial"/>
                  <w:sz w:val="14"/>
                  <w:szCs w:val="14"/>
                  <w:color w:val="0000FF"/>
                  <w:w w:val="93"/>
                </w:rPr>
                <w:t>First Amendment to the Amended and Restated Carriage Services, Inc. 2007 Employee Stock Purchase Plan (incorporated by reference to Appendix B to the Company’s</w:t>
              </w:r>
            </w:hyperlink>
          </w:p>
        </w:tc>
      </w:tr>
      <w:tr>
        <w:trPr>
          <w:trHeight w:val="118"/>
        </w:trPr>
        <w:tc>
          <w:tcPr>
            <w:tcW w:w="1640" w:type="dxa"/>
            <w:vAlign w:val="bottom"/>
          </w:tcPr>
          <w:p>
            <w:pPr>
              <w:spacing w:after="0"/>
              <w:rPr>
                <w:sz w:val="10"/>
                <w:szCs w:val="10"/>
                <w:color w:val="auto"/>
              </w:rPr>
            </w:pPr>
          </w:p>
        </w:tc>
        <w:tc>
          <w:tcPr>
            <w:tcW w:w="39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189">
              <w:r>
                <w:rPr>
                  <w:rFonts w:ascii="Arial" w:cs="Arial" w:eastAsia="Arial" w:hAnsi="Arial"/>
                  <w:sz w:val="13"/>
                  <w:szCs w:val="13"/>
                  <w:color w:val="0000FF"/>
                </w:rPr>
                <w:t>Definitive Proxy Statement on Schedule 14A filed on April 4, 2018).</w:t>
              </w:r>
            </w:hyperlink>
          </w:p>
        </w:tc>
        <w:tc>
          <w:tcPr>
            <w:tcW w:w="58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350"/>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2"/>
              </w:rPr>
              <w:t>4.9</w:t>
            </w:r>
          </w:p>
        </w:tc>
        <w:tc>
          <w:tcPr>
            <w:tcW w:w="9820" w:type="dxa"/>
            <w:vAlign w:val="bottom"/>
            <w:gridSpan w:val="24"/>
          </w:tcPr>
          <w:p>
            <w:pPr>
              <w:spacing w:after="0"/>
              <w:rPr>
                <w:rFonts w:ascii="Arial" w:cs="Arial" w:eastAsia="Arial" w:hAnsi="Arial"/>
                <w:sz w:val="14"/>
                <w:szCs w:val="14"/>
                <w:color w:val="0000FF"/>
                <w:w w:val="98"/>
              </w:rPr>
            </w:pPr>
            <w:hyperlink r:id="rId190">
              <w:r>
                <w:rPr>
                  <w:rFonts w:ascii="Arial" w:cs="Arial" w:eastAsia="Arial" w:hAnsi="Arial"/>
                  <w:sz w:val="14"/>
                  <w:szCs w:val="14"/>
                  <w:u w:val="single" w:color="auto"/>
                  <w:color w:val="0000FF"/>
                  <w:w w:val="98"/>
                </w:rPr>
                <w:t>Carriage Services, Inc. 2017 Omnibus Incentive Plan. Incorporated by reference to Appendix A of the Proxy Statement on Schedule 14A filed on April 5, 2017.</w:t>
              </w:r>
              <w:r>
                <w:rPr>
                  <w:rFonts w:ascii="Arial" w:cs="Arial" w:eastAsia="Arial" w:hAnsi="Arial"/>
                  <w:sz w:val="14"/>
                  <w:szCs w:val="14"/>
                  <w:color w:val="0000FF"/>
                  <w:w w:val="98"/>
                </w:rPr>
                <w:t xml:space="preserve"> </w:t>
              </w:r>
            </w:hyperlink>
            <w:r>
              <w:rPr>
                <w:rFonts w:ascii="Arial" w:cs="Arial" w:eastAsia="Arial" w:hAnsi="Arial"/>
                <w:sz w:val="14"/>
                <w:szCs w:val="14"/>
                <w:color w:val="000000"/>
                <w:w w:val="98"/>
              </w:rPr>
              <w:t>†</w:t>
            </w:r>
          </w:p>
        </w:tc>
      </w:tr>
      <w:tr>
        <w:trPr>
          <w:trHeight w:val="307"/>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4.10</w:t>
            </w:r>
          </w:p>
        </w:tc>
        <w:tc>
          <w:tcPr>
            <w:tcW w:w="9820" w:type="dxa"/>
            <w:vAlign w:val="bottom"/>
            <w:gridSpan w:val="24"/>
          </w:tcPr>
          <w:p>
            <w:pPr>
              <w:spacing w:after="0"/>
              <w:rPr>
                <w:rFonts w:ascii="Arial" w:cs="Arial" w:eastAsia="Arial" w:hAnsi="Arial"/>
                <w:sz w:val="14"/>
                <w:szCs w:val="14"/>
                <w:color w:val="0000FF"/>
                <w:w w:val="96"/>
              </w:rPr>
            </w:pPr>
            <w:hyperlink r:id="rId191">
              <w:r>
                <w:rPr>
                  <w:rFonts w:ascii="Arial" w:cs="Arial" w:eastAsia="Arial" w:hAnsi="Arial"/>
                  <w:sz w:val="14"/>
                  <w:szCs w:val="14"/>
                  <w:color w:val="0000FF"/>
                  <w:w w:val="96"/>
                </w:rPr>
                <w:t>Summary of Securities Registered under Section 12. Incorporated by reference to Exhibit 4.10 to the Company's Annual Report on Form 10-K filed on February 28,</w:t>
              </w:r>
            </w:hyperlink>
          </w:p>
        </w:tc>
      </w:tr>
      <w:tr>
        <w:trPr>
          <w:trHeight w:val="118"/>
        </w:trPr>
        <w:tc>
          <w:tcPr>
            <w:tcW w:w="164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91">
              <w:r>
                <w:rPr>
                  <w:rFonts w:ascii="Arial" w:cs="Arial" w:eastAsia="Arial" w:hAnsi="Arial"/>
                  <w:sz w:val="13"/>
                  <w:szCs w:val="13"/>
                  <w:color w:val="0000FF"/>
                  <w:w w:val="92"/>
                </w:rPr>
                <w:t>2020.</w:t>
              </w:r>
            </w:hyperlink>
          </w:p>
        </w:tc>
        <w:tc>
          <w:tcPr>
            <w:tcW w:w="20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900" w:type="dxa"/>
            <w:vAlign w:val="bottom"/>
            <w:tcBorders>
              <w:top w:val="single" w:sz="8" w:color="0000FF"/>
            </w:tcBorders>
          </w:tcPr>
          <w:p>
            <w:pPr>
              <w:spacing w:after="0"/>
              <w:rPr>
                <w:sz w:val="10"/>
                <w:szCs w:val="10"/>
                <w:color w:val="auto"/>
              </w:rPr>
            </w:pPr>
          </w:p>
        </w:tc>
        <w:tc>
          <w:tcPr>
            <w:tcW w:w="3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10.1</w:t>
            </w:r>
          </w:p>
        </w:tc>
        <w:tc>
          <w:tcPr>
            <w:tcW w:w="9820" w:type="dxa"/>
            <w:vAlign w:val="bottom"/>
            <w:gridSpan w:val="24"/>
          </w:tcPr>
          <w:p>
            <w:pPr>
              <w:spacing w:after="0"/>
              <w:rPr>
                <w:rFonts w:ascii="Arial" w:cs="Arial" w:eastAsia="Arial" w:hAnsi="Arial"/>
                <w:sz w:val="14"/>
                <w:szCs w:val="14"/>
                <w:color w:val="0000FF"/>
                <w:w w:val="96"/>
              </w:rPr>
            </w:pPr>
            <w:hyperlink r:id="rId192">
              <w:r>
                <w:rPr>
                  <w:rFonts w:ascii="Arial" w:cs="Arial" w:eastAsia="Arial" w:hAnsi="Arial"/>
                  <w:sz w:val="14"/>
                  <w:szCs w:val="14"/>
                  <w:color w:val="0000FF"/>
                  <w:w w:val="96"/>
                </w:rPr>
                <w:t>Credit Agreement dated August 30, 2012, among Carriage Services, Inc. as the Borrower, and Bank of America, N.A. as the Administrative Agent and Sole Lender.</w:t>
              </w:r>
            </w:hyperlink>
          </w:p>
        </w:tc>
      </w:tr>
      <w:tr>
        <w:trPr>
          <w:trHeight w:val="118"/>
        </w:trPr>
        <w:tc>
          <w:tcPr>
            <w:tcW w:w="1640" w:type="dxa"/>
            <w:vAlign w:val="bottom"/>
          </w:tcPr>
          <w:p>
            <w:pPr>
              <w:spacing w:after="0"/>
              <w:rPr>
                <w:sz w:val="10"/>
                <w:szCs w:val="10"/>
                <w:color w:val="auto"/>
              </w:rPr>
            </w:pPr>
          </w:p>
        </w:tc>
        <w:tc>
          <w:tcPr>
            <w:tcW w:w="646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92">
              <w:r>
                <w:rPr>
                  <w:rFonts w:ascii="Arial" w:cs="Arial" w:eastAsia="Arial" w:hAnsi="Arial"/>
                  <w:sz w:val="13"/>
                  <w:szCs w:val="13"/>
                  <w:color w:val="0000FF"/>
                  <w:w w:val="99"/>
                </w:rPr>
                <w:t>Incorporated by reference to Exhibit 10.1 to the Company’s Current Report on Form 8-K filed September 4, 2012.</w:t>
              </w:r>
            </w:hyperlink>
          </w:p>
        </w:tc>
        <w:tc>
          <w:tcPr>
            <w:tcW w:w="3160" w:type="dxa"/>
            <w:vAlign w:val="bottom"/>
            <w:tcBorders>
              <w:top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10.2</w:t>
            </w:r>
          </w:p>
        </w:tc>
        <w:tc>
          <w:tcPr>
            <w:tcW w:w="9820" w:type="dxa"/>
            <w:vAlign w:val="bottom"/>
            <w:gridSpan w:val="24"/>
          </w:tcPr>
          <w:p>
            <w:pPr>
              <w:spacing w:after="0"/>
              <w:rPr>
                <w:rFonts w:ascii="Arial" w:cs="Arial" w:eastAsia="Arial" w:hAnsi="Arial"/>
                <w:sz w:val="14"/>
                <w:szCs w:val="14"/>
                <w:color w:val="0000FF"/>
                <w:w w:val="96"/>
              </w:rPr>
            </w:pPr>
            <w:hyperlink r:id="rId193">
              <w:r>
                <w:rPr>
                  <w:rFonts w:ascii="Arial" w:cs="Arial" w:eastAsia="Arial" w:hAnsi="Arial"/>
                  <w:sz w:val="14"/>
                  <w:szCs w:val="14"/>
                  <w:color w:val="0000FF"/>
                  <w:w w:val="96"/>
                </w:rPr>
                <w:t>First Amendment to Credit Agreement dated November 29, 2012, among Carriage Services, Inc. as the Borrower, and Bank of American N.A. as the Administrative</w:t>
              </w:r>
            </w:hyperlink>
          </w:p>
        </w:tc>
      </w:tr>
      <w:tr>
        <w:trPr>
          <w:trHeight w:val="170"/>
        </w:trPr>
        <w:tc>
          <w:tcPr>
            <w:tcW w:w="1640" w:type="dxa"/>
            <w:vAlign w:val="bottom"/>
          </w:tcPr>
          <w:p>
            <w:pPr>
              <w:spacing w:after="0"/>
              <w:rPr>
                <w:sz w:val="14"/>
                <w:szCs w:val="14"/>
                <w:color w:val="auto"/>
              </w:rPr>
            </w:pPr>
          </w:p>
        </w:tc>
        <w:tc>
          <w:tcPr>
            <w:tcW w:w="9720" w:type="dxa"/>
            <w:vAlign w:val="bottom"/>
            <w:tcBorders>
              <w:top w:val="single" w:sz="8" w:color="0000FF"/>
            </w:tcBorders>
            <w:gridSpan w:val="19"/>
          </w:tcPr>
          <w:p>
            <w:pPr>
              <w:spacing w:after="0"/>
              <w:rPr>
                <w:rFonts w:ascii="Arial" w:cs="Arial" w:eastAsia="Arial" w:hAnsi="Arial"/>
                <w:sz w:val="14"/>
                <w:szCs w:val="14"/>
                <w:u w:val="single" w:color="auto"/>
                <w:color w:val="0000FF"/>
                <w:w w:val="99"/>
              </w:rPr>
            </w:pPr>
            <w:hyperlink r:id="rId193">
              <w:r>
                <w:rPr>
                  <w:rFonts w:ascii="Arial" w:cs="Arial" w:eastAsia="Arial" w:hAnsi="Arial"/>
                  <w:sz w:val="14"/>
                  <w:szCs w:val="14"/>
                  <w:u w:val="single" w:color="auto"/>
                  <w:color w:val="0000FF"/>
                  <w:w w:val="99"/>
                </w:rPr>
                <w:t>Agent and Sole Lender. Incorporated by reference to Exhibit 10.3 to the Company's Annual Report on Form 10-K for its fiscal year ended December 31, 2012.</w:t>
              </w:r>
            </w:hyperlink>
          </w:p>
        </w:tc>
        <w:tc>
          <w:tcPr>
            <w:tcW w:w="100" w:type="dxa"/>
            <w:vAlign w:val="bottom"/>
            <w:gridSpan w:val="5"/>
          </w:tcPr>
          <w:p>
            <w:pPr>
              <w:spacing w:after="0"/>
              <w:rPr>
                <w:sz w:val="14"/>
                <w:szCs w:val="14"/>
                <w:color w:val="auto"/>
              </w:rPr>
            </w:pPr>
          </w:p>
        </w:tc>
      </w:tr>
      <w:tr>
        <w:trPr>
          <w:trHeight w:val="805"/>
        </w:trPr>
        <w:tc>
          <w:tcPr>
            <w:tcW w:w="1640" w:type="dxa"/>
            <w:vAlign w:val="bottom"/>
          </w:tcPr>
          <w:p>
            <w:pPr>
              <w:spacing w:after="0"/>
              <w:rPr>
                <w:sz w:val="24"/>
                <w:szCs w:val="24"/>
                <w:color w:val="auto"/>
              </w:rPr>
            </w:pPr>
          </w:p>
        </w:tc>
        <w:tc>
          <w:tcPr>
            <w:tcW w:w="4200" w:type="dxa"/>
            <w:vAlign w:val="bottom"/>
            <w:gridSpan w:val="11"/>
          </w:tcPr>
          <w:p>
            <w:pPr>
              <w:ind w:left="3900"/>
              <w:spacing w:after="0"/>
              <w:rPr>
                <w:sz w:val="20"/>
                <w:szCs w:val="20"/>
                <w:color w:val="auto"/>
              </w:rPr>
            </w:pPr>
            <w:r>
              <w:rPr>
                <w:rFonts w:ascii="Arial" w:cs="Arial" w:eastAsia="Arial" w:hAnsi="Arial"/>
                <w:sz w:val="14"/>
                <w:szCs w:val="14"/>
                <w:color w:val="auto"/>
              </w:rPr>
              <w:t>103</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16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0"/>
        </w:trPr>
        <w:tc>
          <w:tcPr>
            <w:tcW w:w="164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78"/>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10.3</w:t>
            </w:r>
          </w:p>
        </w:tc>
        <w:tc>
          <w:tcPr>
            <w:tcW w:w="9900" w:type="dxa"/>
            <w:vAlign w:val="bottom"/>
            <w:gridSpan w:val="25"/>
          </w:tcPr>
          <w:p>
            <w:pPr>
              <w:spacing w:after="0"/>
              <w:rPr>
                <w:rFonts w:ascii="Arial" w:cs="Arial" w:eastAsia="Arial" w:hAnsi="Arial"/>
                <w:sz w:val="14"/>
                <w:szCs w:val="14"/>
                <w:color w:val="0000FF"/>
                <w:w w:val="96"/>
              </w:rPr>
            </w:pPr>
            <w:hyperlink r:id="rId196">
              <w:r>
                <w:rPr>
                  <w:rFonts w:ascii="Arial" w:cs="Arial" w:eastAsia="Arial" w:hAnsi="Arial"/>
                  <w:sz w:val="14"/>
                  <w:szCs w:val="14"/>
                  <w:color w:val="0000FF"/>
                  <w:w w:val="96"/>
                </w:rPr>
                <w:t>Second Amendment to Credit Agreement dated February 14, 2013, among Carriage Services, Inc. as the Borrower, and Bank of America, N.A. as the Administrative</w:t>
              </w:r>
            </w:hyperlink>
          </w:p>
        </w:tc>
      </w:tr>
      <w:tr>
        <w:trPr>
          <w:trHeight w:val="170"/>
        </w:trPr>
        <w:tc>
          <w:tcPr>
            <w:tcW w:w="1640" w:type="dxa"/>
            <w:vAlign w:val="bottom"/>
          </w:tcPr>
          <w:p>
            <w:pPr>
              <w:spacing w:after="0"/>
              <w:rPr>
                <w:sz w:val="14"/>
                <w:szCs w:val="14"/>
                <w:color w:val="auto"/>
              </w:rPr>
            </w:pPr>
          </w:p>
        </w:tc>
        <w:tc>
          <w:tcPr>
            <w:tcW w:w="9660" w:type="dxa"/>
            <w:vAlign w:val="bottom"/>
            <w:tcBorders>
              <w:top w:val="single" w:sz="8" w:color="0000FF"/>
            </w:tcBorders>
            <w:gridSpan w:val="13"/>
          </w:tcPr>
          <w:p>
            <w:pPr>
              <w:spacing w:after="0"/>
              <w:rPr>
                <w:rFonts w:ascii="Arial" w:cs="Arial" w:eastAsia="Arial" w:hAnsi="Arial"/>
                <w:sz w:val="14"/>
                <w:szCs w:val="14"/>
                <w:u w:val="single" w:color="auto"/>
                <w:color w:val="0000FF"/>
                <w:w w:val="98"/>
              </w:rPr>
            </w:pPr>
            <w:hyperlink r:id="rId196">
              <w:r>
                <w:rPr>
                  <w:rFonts w:ascii="Arial" w:cs="Arial" w:eastAsia="Arial" w:hAnsi="Arial"/>
                  <w:sz w:val="14"/>
                  <w:szCs w:val="14"/>
                  <w:u w:val="single" w:color="auto"/>
                  <w:color w:val="0000FF"/>
                  <w:w w:val="98"/>
                </w:rPr>
                <w:t>Agent and Sole Lender. Incorporated by reference to Exhibit 10.4 to the Company's Annual Report on Form 10-K for its fiscal year ended December 31,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6"/>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10.4</w:t>
            </w:r>
          </w:p>
        </w:tc>
        <w:tc>
          <w:tcPr>
            <w:tcW w:w="9900" w:type="dxa"/>
            <w:vAlign w:val="bottom"/>
            <w:gridSpan w:val="25"/>
          </w:tcPr>
          <w:p>
            <w:pPr>
              <w:spacing w:after="0"/>
              <w:rPr>
                <w:rFonts w:ascii="Arial" w:cs="Arial" w:eastAsia="Arial" w:hAnsi="Arial"/>
                <w:sz w:val="14"/>
                <w:szCs w:val="14"/>
                <w:color w:val="0000FF"/>
                <w:w w:val="95"/>
              </w:rPr>
            </w:pPr>
            <w:hyperlink r:id="rId197">
              <w:r>
                <w:rPr>
                  <w:rFonts w:ascii="Arial" w:cs="Arial" w:eastAsia="Arial" w:hAnsi="Arial"/>
                  <w:sz w:val="14"/>
                  <w:szCs w:val="14"/>
                  <w:color w:val="0000FF"/>
                  <w:w w:val="95"/>
                </w:rPr>
                <w:t>Third Amendment and Commitment Increase dated April 23, 2013 among Carriage Services, Inc., the Lenders and Bank of America, N.A. Incorporated by reference to</w:t>
              </w:r>
            </w:hyperlink>
          </w:p>
        </w:tc>
      </w:tr>
      <w:tr>
        <w:trPr>
          <w:trHeight w:val="118"/>
        </w:trPr>
        <w:tc>
          <w:tcPr>
            <w:tcW w:w="1640" w:type="dxa"/>
            <w:vAlign w:val="bottom"/>
          </w:tcPr>
          <w:p>
            <w:pPr>
              <w:spacing w:after="0"/>
              <w:rPr>
                <w:sz w:val="10"/>
                <w:szCs w:val="10"/>
                <w:color w:val="auto"/>
              </w:rPr>
            </w:pPr>
          </w:p>
        </w:tc>
        <w:tc>
          <w:tcPr>
            <w:tcW w:w="97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Exhibit 10.1 to the Company's Current Report on Form 8-K filed April 25, 2013.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10.5</w:t>
            </w:r>
          </w:p>
        </w:tc>
        <w:tc>
          <w:tcPr>
            <w:tcW w:w="9900" w:type="dxa"/>
            <w:vAlign w:val="bottom"/>
            <w:gridSpan w:val="25"/>
          </w:tcPr>
          <w:p>
            <w:pPr>
              <w:spacing w:after="0"/>
              <w:rPr>
                <w:rFonts w:ascii="Arial" w:cs="Arial" w:eastAsia="Arial" w:hAnsi="Arial"/>
                <w:sz w:val="14"/>
                <w:szCs w:val="14"/>
                <w:color w:val="0000FF"/>
                <w:w w:val="93"/>
              </w:rPr>
            </w:pPr>
            <w:hyperlink r:id="rId198">
              <w:r>
                <w:rPr>
                  <w:rFonts w:ascii="Arial" w:cs="Arial" w:eastAsia="Arial" w:hAnsi="Arial"/>
                  <w:sz w:val="14"/>
                  <w:szCs w:val="14"/>
                  <w:color w:val="0000FF"/>
                  <w:w w:val="93"/>
                </w:rPr>
                <w:t>Fourth Amendment to Credit Agreement, dated as of February 27, 2014, by and among Carriage Services, Inc., the banks listed on the signature page thereto and Bank of</w:t>
              </w:r>
            </w:hyperlink>
          </w:p>
        </w:tc>
      </w:tr>
      <w:tr>
        <w:trPr>
          <w:trHeight w:val="118"/>
        </w:trPr>
        <w:tc>
          <w:tcPr>
            <w:tcW w:w="1640" w:type="dxa"/>
            <w:vAlign w:val="bottom"/>
          </w:tcPr>
          <w:p>
            <w:pPr>
              <w:spacing w:after="0"/>
              <w:rPr>
                <w:sz w:val="10"/>
                <w:szCs w:val="10"/>
                <w:color w:val="auto"/>
              </w:rPr>
            </w:pPr>
          </w:p>
        </w:tc>
        <w:tc>
          <w:tcPr>
            <w:tcW w:w="9720" w:type="dxa"/>
            <w:vAlign w:val="bottom"/>
            <w:tcBorders>
              <w:top w:val="single" w:sz="8" w:color="0000FF"/>
              <w:bottom w:val="single" w:sz="8" w:color="0000FF"/>
            </w:tcBorders>
            <w:gridSpan w:val="16"/>
          </w:tcPr>
          <w:p>
            <w:pPr>
              <w:spacing w:after="0" w:line="118" w:lineRule="exact"/>
              <w:rPr>
                <w:rFonts w:ascii="Arial" w:cs="Arial" w:eastAsia="Arial" w:hAnsi="Arial"/>
                <w:sz w:val="13"/>
                <w:szCs w:val="13"/>
                <w:color w:val="0000FF"/>
              </w:rPr>
            </w:pPr>
            <w:hyperlink r:id="rId198">
              <w:r>
                <w:rPr>
                  <w:rFonts w:ascii="Arial" w:cs="Arial" w:eastAsia="Arial" w:hAnsi="Arial"/>
                  <w:sz w:val="13"/>
                  <w:szCs w:val="13"/>
                  <w:color w:val="0000FF"/>
                </w:rPr>
                <w:t>America, N.A., as Administrative Agent, Swing Line Lender and L/C Issuer. Incorporated by reference to Exhibit 10.1 to the Company's Current Report on Form 8-K</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40" w:type="dxa"/>
            <w:vAlign w:val="bottom"/>
          </w:tcPr>
          <w:p>
            <w:pPr>
              <w:spacing w:after="0"/>
              <w:rPr>
                <w:sz w:val="10"/>
                <w:szCs w:val="10"/>
                <w:color w:val="auto"/>
              </w:rPr>
            </w:pPr>
          </w:p>
        </w:tc>
        <w:tc>
          <w:tcPr>
            <w:tcW w:w="1160" w:type="dxa"/>
            <w:vAlign w:val="bottom"/>
            <w:tcBorders>
              <w:bottom w:val="single" w:sz="8" w:color="0000FF"/>
            </w:tcBorders>
            <w:gridSpan w:val="2"/>
          </w:tcPr>
          <w:p>
            <w:pPr>
              <w:spacing w:after="0" w:line="118" w:lineRule="exact"/>
              <w:rPr>
                <w:rFonts w:ascii="Arial" w:cs="Arial" w:eastAsia="Arial" w:hAnsi="Arial"/>
                <w:sz w:val="13"/>
                <w:szCs w:val="13"/>
                <w:color w:val="0000FF"/>
                <w:w w:val="99"/>
              </w:rPr>
            </w:pPr>
            <w:hyperlink r:id="rId198">
              <w:r>
                <w:rPr>
                  <w:rFonts w:ascii="Arial" w:cs="Arial" w:eastAsia="Arial" w:hAnsi="Arial"/>
                  <w:sz w:val="13"/>
                  <w:szCs w:val="13"/>
                  <w:color w:val="0000FF"/>
                  <w:w w:val="99"/>
                </w:rPr>
                <w:t>filed March 5, 2014.</w:t>
              </w:r>
            </w:hyperlink>
          </w:p>
        </w:tc>
        <w:tc>
          <w:tcPr>
            <w:tcW w:w="8640" w:type="dxa"/>
            <w:vAlign w:val="bottom"/>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10.6</w:t>
            </w:r>
          </w:p>
        </w:tc>
        <w:tc>
          <w:tcPr>
            <w:tcW w:w="9900" w:type="dxa"/>
            <w:vAlign w:val="bottom"/>
            <w:gridSpan w:val="25"/>
          </w:tcPr>
          <w:p>
            <w:pPr>
              <w:spacing w:after="0"/>
              <w:rPr>
                <w:rFonts w:ascii="Arial" w:cs="Arial" w:eastAsia="Arial" w:hAnsi="Arial"/>
                <w:sz w:val="14"/>
                <w:szCs w:val="14"/>
                <w:color w:val="0000FF"/>
                <w:w w:val="97"/>
              </w:rPr>
            </w:pPr>
            <w:hyperlink r:id="rId199">
              <w:r>
                <w:rPr>
                  <w:rFonts w:ascii="Arial" w:cs="Arial" w:eastAsia="Arial" w:hAnsi="Arial"/>
                  <w:sz w:val="14"/>
                  <w:szCs w:val="14"/>
                  <w:color w:val="0000FF"/>
                  <w:w w:val="97"/>
                </w:rPr>
                <w:t>Fifth Amendment to Credit Agreement, dated as of April 14, 2014, by and among Carriage Services, Inc., the banks listed on the signature page thereto and Bank of</w:t>
              </w:r>
            </w:hyperlink>
          </w:p>
        </w:tc>
      </w:tr>
      <w:tr>
        <w:trPr>
          <w:trHeight w:val="118"/>
        </w:trPr>
        <w:tc>
          <w:tcPr>
            <w:tcW w:w="1640" w:type="dxa"/>
            <w:vAlign w:val="bottom"/>
          </w:tcPr>
          <w:p>
            <w:pPr>
              <w:spacing w:after="0"/>
              <w:rPr>
                <w:sz w:val="10"/>
                <w:szCs w:val="10"/>
                <w:color w:val="auto"/>
              </w:rPr>
            </w:pPr>
          </w:p>
        </w:tc>
        <w:tc>
          <w:tcPr>
            <w:tcW w:w="986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America, N.A., as Administrative Agent, Swing Line Lender and L/C Issuer. Incorporated by reference to Exhibit 10.1 to the Company's Current Report on Form 8-K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640" w:type="dxa"/>
            <w:vAlign w:val="bottom"/>
          </w:tcPr>
          <w:p>
            <w:pPr>
              <w:spacing w:after="0"/>
              <w:rPr>
                <w:sz w:val="10"/>
                <w:szCs w:val="10"/>
                <w:color w:val="auto"/>
              </w:rPr>
            </w:pPr>
          </w:p>
        </w:tc>
        <w:tc>
          <w:tcPr>
            <w:tcW w:w="134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filed on April 16, 2014.</w:t>
              </w:r>
            </w:hyperlink>
          </w:p>
        </w:tc>
        <w:tc>
          <w:tcPr>
            <w:tcW w:w="846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10.7</w:t>
            </w:r>
          </w:p>
        </w:tc>
        <w:tc>
          <w:tcPr>
            <w:tcW w:w="9900" w:type="dxa"/>
            <w:vAlign w:val="bottom"/>
            <w:gridSpan w:val="25"/>
          </w:tcPr>
          <w:p>
            <w:pPr>
              <w:spacing w:after="0"/>
              <w:rPr>
                <w:rFonts w:ascii="Arial" w:cs="Arial" w:eastAsia="Arial" w:hAnsi="Arial"/>
                <w:sz w:val="14"/>
                <w:szCs w:val="14"/>
                <w:color w:val="0000FF"/>
                <w:w w:val="95"/>
              </w:rPr>
            </w:pPr>
            <w:hyperlink r:id="rId200">
              <w:r>
                <w:rPr>
                  <w:rFonts w:ascii="Arial" w:cs="Arial" w:eastAsia="Arial" w:hAnsi="Arial"/>
                  <w:sz w:val="14"/>
                  <w:szCs w:val="14"/>
                  <w:color w:val="0000FF"/>
                  <w:w w:val="95"/>
                </w:rPr>
                <w:t>Sixth Amendment to Credit Agreement, dated May 20, 2015, by and among the Company, Bank of America, N.A., as Administrative Agent, and the other lenders party</w:t>
              </w:r>
            </w:hyperlink>
          </w:p>
        </w:tc>
      </w:tr>
      <w:tr>
        <w:trPr>
          <w:trHeight w:val="118"/>
        </w:trPr>
        <w:tc>
          <w:tcPr>
            <w:tcW w:w="1640" w:type="dxa"/>
            <w:vAlign w:val="bottom"/>
          </w:tcPr>
          <w:p>
            <w:pPr>
              <w:spacing w:after="0"/>
              <w:rPr>
                <w:sz w:val="10"/>
                <w:szCs w:val="10"/>
                <w:color w:val="auto"/>
              </w:rPr>
            </w:pPr>
          </w:p>
        </w:tc>
        <w:tc>
          <w:tcPr>
            <w:tcW w:w="962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thereto. Incorporated by reference to Exhibit 10.1 to the Company's Current Report on Form 8-K filed on May 22, 2015.</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9"/>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10.8</w:t>
            </w:r>
          </w:p>
        </w:tc>
        <w:tc>
          <w:tcPr>
            <w:tcW w:w="9900" w:type="dxa"/>
            <w:vAlign w:val="bottom"/>
            <w:gridSpan w:val="25"/>
          </w:tcPr>
          <w:p>
            <w:pPr>
              <w:spacing w:after="0"/>
              <w:rPr>
                <w:rFonts w:ascii="Arial" w:cs="Arial" w:eastAsia="Arial" w:hAnsi="Arial"/>
                <w:sz w:val="14"/>
                <w:szCs w:val="14"/>
                <w:color w:val="0000FF"/>
                <w:w w:val="95"/>
              </w:rPr>
            </w:pPr>
            <w:hyperlink r:id="rId201">
              <w:r>
                <w:rPr>
                  <w:rFonts w:ascii="Arial" w:cs="Arial" w:eastAsia="Arial" w:hAnsi="Arial"/>
                  <w:sz w:val="14"/>
                  <w:szCs w:val="14"/>
                  <w:color w:val="0000FF"/>
                  <w:w w:val="95"/>
                </w:rPr>
                <w:t>Seventh Amendment to Credit Agreement, dated February 9, 2016, by and among the Company, Bank of America, N.A., as Administrative Agent, and the other lenders</w:t>
              </w:r>
            </w:hyperlink>
          </w:p>
        </w:tc>
      </w:tr>
      <w:tr>
        <w:trPr>
          <w:trHeight w:val="118"/>
        </w:trPr>
        <w:tc>
          <w:tcPr>
            <w:tcW w:w="1640" w:type="dxa"/>
            <w:vAlign w:val="bottom"/>
          </w:tcPr>
          <w:p>
            <w:pPr>
              <w:spacing w:after="0"/>
              <w:rPr>
                <w:sz w:val="10"/>
                <w:szCs w:val="10"/>
                <w:color w:val="auto"/>
              </w:rPr>
            </w:pPr>
          </w:p>
        </w:tc>
        <w:tc>
          <w:tcPr>
            <w:tcW w:w="966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201">
              <w:r>
                <w:rPr>
                  <w:rFonts w:ascii="Arial" w:cs="Arial" w:eastAsia="Arial" w:hAnsi="Arial"/>
                  <w:sz w:val="13"/>
                  <w:szCs w:val="13"/>
                  <w:color w:val="0000FF"/>
                </w:rPr>
                <w:t>party thereto. Incorporated by reference to Exhibit 10.1 to the Company’s Current Report on Form 8-K filed on February 9,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5"/>
              </w:rPr>
              <w:t>10.9</w:t>
            </w:r>
          </w:p>
        </w:tc>
        <w:tc>
          <w:tcPr>
            <w:tcW w:w="9900" w:type="dxa"/>
            <w:vAlign w:val="bottom"/>
            <w:gridSpan w:val="25"/>
          </w:tcPr>
          <w:p>
            <w:pPr>
              <w:spacing w:after="0"/>
              <w:rPr>
                <w:rFonts w:ascii="Arial" w:cs="Arial" w:eastAsia="Arial" w:hAnsi="Arial"/>
                <w:sz w:val="14"/>
                <w:szCs w:val="14"/>
                <w:color w:val="0000FF"/>
                <w:w w:val="95"/>
              </w:rPr>
            </w:pPr>
            <w:hyperlink r:id="rId202">
              <w:r>
                <w:rPr>
                  <w:rFonts w:ascii="Arial" w:cs="Arial" w:eastAsia="Arial" w:hAnsi="Arial"/>
                  <w:sz w:val="14"/>
                  <w:szCs w:val="14"/>
                  <w:color w:val="0000FF"/>
                  <w:w w:val="95"/>
                </w:rPr>
                <w:t>Eighth Amendment and Commitment Increase to Credit Agreement, dated April 25. 2018, by and among the Company, Bank of America, N.A., as Administrative Agent,</w:t>
              </w:r>
            </w:hyperlink>
          </w:p>
        </w:tc>
      </w:tr>
      <w:tr>
        <w:trPr>
          <w:trHeight w:val="170"/>
        </w:trPr>
        <w:tc>
          <w:tcPr>
            <w:tcW w:w="1640" w:type="dxa"/>
            <w:vAlign w:val="bottom"/>
          </w:tcPr>
          <w:p>
            <w:pPr>
              <w:spacing w:after="0"/>
              <w:rPr>
                <w:sz w:val="14"/>
                <w:szCs w:val="14"/>
                <w:color w:val="auto"/>
              </w:rPr>
            </w:pPr>
          </w:p>
        </w:tc>
        <w:tc>
          <w:tcPr>
            <w:tcW w:w="9820" w:type="dxa"/>
            <w:vAlign w:val="bottom"/>
            <w:tcBorders>
              <w:top w:val="single" w:sz="8" w:color="0000FF"/>
            </w:tcBorders>
            <w:gridSpan w:val="21"/>
          </w:tcPr>
          <w:p>
            <w:pPr>
              <w:spacing w:after="0"/>
              <w:rPr>
                <w:rFonts w:ascii="Arial" w:cs="Arial" w:eastAsia="Arial" w:hAnsi="Arial"/>
                <w:sz w:val="14"/>
                <w:szCs w:val="14"/>
                <w:u w:val="single" w:color="auto"/>
                <w:color w:val="0000FF"/>
              </w:rPr>
            </w:pPr>
            <w:hyperlink r:id="rId202">
              <w:r>
                <w:rPr>
                  <w:rFonts w:ascii="Arial" w:cs="Arial" w:eastAsia="Arial" w:hAnsi="Arial"/>
                  <w:sz w:val="14"/>
                  <w:szCs w:val="14"/>
                  <w:u w:val="single" w:color="auto"/>
                  <w:color w:val="0000FF"/>
                </w:rPr>
                <w:t>and the other lenders party thereto. Incorporated by reference to Exhibit 10.1 to the Company’s Current Report on Form 8-K filed on April 27, 2018.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10.10</w:t>
            </w:r>
          </w:p>
        </w:tc>
        <w:tc>
          <w:tcPr>
            <w:tcW w:w="9900" w:type="dxa"/>
            <w:vAlign w:val="bottom"/>
            <w:gridSpan w:val="25"/>
          </w:tcPr>
          <w:p>
            <w:pPr>
              <w:spacing w:after="0"/>
              <w:rPr>
                <w:rFonts w:ascii="Arial" w:cs="Arial" w:eastAsia="Arial" w:hAnsi="Arial"/>
                <w:sz w:val="14"/>
                <w:szCs w:val="14"/>
                <w:color w:val="0000FF"/>
                <w:w w:val="97"/>
              </w:rPr>
            </w:pPr>
            <w:hyperlink r:id="rId203">
              <w:r>
                <w:rPr>
                  <w:rFonts w:ascii="Arial" w:cs="Arial" w:eastAsia="Arial" w:hAnsi="Arial"/>
                  <w:sz w:val="14"/>
                  <w:szCs w:val="14"/>
                  <w:color w:val="0000FF"/>
                  <w:w w:val="97"/>
                </w:rPr>
                <w:t>Credit Agreement, dated May 31, 2018, among the Company, the financial institutions party thereto, as lenders and Bank of America, N.A., as Administrative Agent.</w:t>
              </w:r>
            </w:hyperlink>
          </w:p>
        </w:tc>
      </w:tr>
      <w:tr>
        <w:trPr>
          <w:trHeight w:val="118"/>
        </w:trPr>
        <w:tc>
          <w:tcPr>
            <w:tcW w:w="1640" w:type="dxa"/>
            <w:vAlign w:val="bottom"/>
          </w:tcPr>
          <w:p>
            <w:pPr>
              <w:spacing w:after="0"/>
              <w:rPr>
                <w:sz w:val="10"/>
                <w:szCs w:val="10"/>
                <w:color w:val="auto"/>
              </w:rPr>
            </w:pPr>
          </w:p>
        </w:tc>
        <w:tc>
          <w:tcPr>
            <w:tcW w:w="636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203">
              <w:r>
                <w:rPr>
                  <w:rFonts w:ascii="Arial" w:cs="Arial" w:eastAsia="Arial" w:hAnsi="Arial"/>
                  <w:sz w:val="13"/>
                  <w:szCs w:val="13"/>
                  <w:color w:val="0000FF"/>
                  <w:w w:val="99"/>
                </w:rPr>
                <w:t>Incorporated by reference to Exhibit 10.1 to the Company’s Current Report on Form 8-K filed on May 31, 2018.</w:t>
              </w:r>
            </w:hyperlink>
          </w:p>
        </w:tc>
        <w:tc>
          <w:tcPr>
            <w:tcW w:w="334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85"/>
              </w:rPr>
              <w:t>10.11</w:t>
            </w:r>
          </w:p>
        </w:tc>
        <w:tc>
          <w:tcPr>
            <w:tcW w:w="9900" w:type="dxa"/>
            <w:vAlign w:val="bottom"/>
            <w:gridSpan w:val="25"/>
          </w:tcPr>
          <w:p>
            <w:pPr>
              <w:spacing w:after="0"/>
              <w:rPr>
                <w:rFonts w:ascii="Arial" w:cs="Arial" w:eastAsia="Arial" w:hAnsi="Arial"/>
                <w:sz w:val="14"/>
                <w:szCs w:val="14"/>
                <w:color w:val="0000FF"/>
                <w:w w:val="97"/>
              </w:rPr>
            </w:pPr>
            <w:hyperlink r:id="rId204">
              <w:r>
                <w:rPr>
                  <w:rFonts w:ascii="Arial" w:cs="Arial" w:eastAsia="Arial" w:hAnsi="Arial"/>
                  <w:sz w:val="14"/>
                  <w:szCs w:val="14"/>
                  <w:color w:val="0000FF"/>
                  <w:w w:val="97"/>
                </w:rPr>
                <w:t>First Amendment to Credit Agreement dated as of November 8, 2018, among Carriage Services, Inc., the financial institutions party thereto, as lenders, and Bank of</w:t>
              </w:r>
            </w:hyperlink>
          </w:p>
        </w:tc>
      </w:tr>
      <w:tr>
        <w:trPr>
          <w:trHeight w:val="170"/>
        </w:trPr>
        <w:tc>
          <w:tcPr>
            <w:tcW w:w="1640" w:type="dxa"/>
            <w:vAlign w:val="bottom"/>
          </w:tcPr>
          <w:p>
            <w:pPr>
              <w:spacing w:after="0"/>
              <w:rPr>
                <w:sz w:val="14"/>
                <w:szCs w:val="14"/>
                <w:color w:val="auto"/>
              </w:rPr>
            </w:pPr>
          </w:p>
        </w:tc>
        <w:tc>
          <w:tcPr>
            <w:tcW w:w="9840" w:type="dxa"/>
            <w:vAlign w:val="bottom"/>
            <w:tcBorders>
              <w:top w:val="single" w:sz="8" w:color="0000FF"/>
            </w:tcBorders>
            <w:gridSpan w:val="22"/>
          </w:tcPr>
          <w:p>
            <w:pPr>
              <w:spacing w:after="0"/>
              <w:rPr>
                <w:rFonts w:ascii="Arial" w:cs="Arial" w:eastAsia="Arial" w:hAnsi="Arial"/>
                <w:sz w:val="14"/>
                <w:szCs w:val="14"/>
                <w:u w:val="single" w:color="auto"/>
                <w:color w:val="0000FF"/>
              </w:rPr>
            </w:pPr>
            <w:hyperlink r:id="rId204">
              <w:r>
                <w:rPr>
                  <w:rFonts w:ascii="Arial" w:cs="Arial" w:eastAsia="Arial" w:hAnsi="Arial"/>
                  <w:sz w:val="14"/>
                  <w:szCs w:val="14"/>
                  <w:u w:val="single" w:color="auto"/>
                  <w:color w:val="0000FF"/>
                </w:rPr>
                <w:t>America, N.A., as administrative agent. Incorporated by reference to Exhibit 10.1 to the Company’s Current Report on Form 8-K filed on November 9, 2018.</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10.12</w:t>
            </w:r>
          </w:p>
        </w:tc>
        <w:tc>
          <w:tcPr>
            <w:tcW w:w="9900" w:type="dxa"/>
            <w:vAlign w:val="bottom"/>
            <w:gridSpan w:val="25"/>
          </w:tcPr>
          <w:p>
            <w:pPr>
              <w:spacing w:after="0"/>
              <w:rPr>
                <w:rFonts w:ascii="Arial" w:cs="Arial" w:eastAsia="Arial" w:hAnsi="Arial"/>
                <w:sz w:val="14"/>
                <w:szCs w:val="14"/>
                <w:color w:val="0000FF"/>
                <w:w w:val="98"/>
              </w:rPr>
            </w:pPr>
            <w:hyperlink r:id="rId205">
              <w:r>
                <w:rPr>
                  <w:rFonts w:ascii="Arial" w:cs="Arial" w:eastAsia="Arial" w:hAnsi="Arial"/>
                  <w:sz w:val="14"/>
                  <w:szCs w:val="14"/>
                  <w:color w:val="0000FF"/>
                  <w:w w:val="98"/>
                </w:rPr>
                <w:t>Second Amendment to Credit Agreement dated as of July 31, 2019, among Carriage Services, Inc., the financial institutions party thereto, as lenders, and Bank of</w:t>
              </w:r>
            </w:hyperlink>
          </w:p>
        </w:tc>
      </w:tr>
      <w:tr>
        <w:trPr>
          <w:trHeight w:val="170"/>
        </w:trPr>
        <w:tc>
          <w:tcPr>
            <w:tcW w:w="1640" w:type="dxa"/>
            <w:vAlign w:val="bottom"/>
          </w:tcPr>
          <w:p>
            <w:pPr>
              <w:spacing w:after="0"/>
              <w:rPr>
                <w:sz w:val="14"/>
                <w:szCs w:val="14"/>
                <w:color w:val="auto"/>
              </w:rPr>
            </w:pPr>
          </w:p>
        </w:tc>
        <w:tc>
          <w:tcPr>
            <w:tcW w:w="9680" w:type="dxa"/>
            <w:vAlign w:val="bottom"/>
            <w:tcBorders>
              <w:top w:val="single" w:sz="8" w:color="0000FF"/>
            </w:tcBorders>
            <w:gridSpan w:val="14"/>
          </w:tcPr>
          <w:p>
            <w:pPr>
              <w:spacing w:after="0"/>
              <w:rPr>
                <w:rFonts w:ascii="Arial" w:cs="Arial" w:eastAsia="Arial" w:hAnsi="Arial"/>
                <w:sz w:val="14"/>
                <w:szCs w:val="14"/>
                <w:u w:val="single" w:color="auto"/>
                <w:color w:val="0000FF"/>
              </w:rPr>
            </w:pPr>
            <w:hyperlink r:id="rId205">
              <w:r>
                <w:rPr>
                  <w:rFonts w:ascii="Arial" w:cs="Arial" w:eastAsia="Arial" w:hAnsi="Arial"/>
                  <w:sz w:val="14"/>
                  <w:szCs w:val="14"/>
                  <w:u w:val="single" w:color="auto"/>
                  <w:color w:val="0000FF"/>
                </w:rPr>
                <w:t>America, N.A., as administrative agent. Incorporated by reference to Exhibit 10.1 to the Company’s Current Report on Form 8-K filed on July 31, 2019.</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10.13</w:t>
            </w:r>
          </w:p>
        </w:tc>
        <w:tc>
          <w:tcPr>
            <w:tcW w:w="9900" w:type="dxa"/>
            <w:vAlign w:val="bottom"/>
            <w:gridSpan w:val="25"/>
          </w:tcPr>
          <w:p>
            <w:pPr>
              <w:spacing w:after="0"/>
              <w:rPr>
                <w:rFonts w:ascii="Arial" w:cs="Arial" w:eastAsia="Arial" w:hAnsi="Arial"/>
                <w:sz w:val="14"/>
                <w:szCs w:val="14"/>
                <w:color w:val="0000FF"/>
                <w:w w:val="96"/>
              </w:rPr>
            </w:pPr>
            <w:hyperlink r:id="rId206">
              <w:r>
                <w:rPr>
                  <w:rFonts w:ascii="Arial" w:cs="Arial" w:eastAsia="Arial" w:hAnsi="Arial"/>
                  <w:sz w:val="14"/>
                  <w:szCs w:val="14"/>
                  <w:color w:val="0000FF"/>
                  <w:w w:val="96"/>
                </w:rPr>
                <w:t>Third Amendment to Credit Agreement dated as of December 19, 2019, among Carriage Services, Inc., the financial institutions party thereto, as lenders, and Bank of</w:t>
              </w:r>
            </w:hyperlink>
          </w:p>
        </w:tc>
      </w:tr>
      <w:tr>
        <w:trPr>
          <w:trHeight w:val="170"/>
        </w:trPr>
        <w:tc>
          <w:tcPr>
            <w:tcW w:w="1640" w:type="dxa"/>
            <w:vAlign w:val="bottom"/>
          </w:tcPr>
          <w:p>
            <w:pPr>
              <w:spacing w:after="0"/>
              <w:rPr>
                <w:sz w:val="14"/>
                <w:szCs w:val="14"/>
                <w:color w:val="auto"/>
              </w:rPr>
            </w:pPr>
          </w:p>
        </w:tc>
        <w:tc>
          <w:tcPr>
            <w:tcW w:w="9640" w:type="dxa"/>
            <w:vAlign w:val="bottom"/>
            <w:tcBorders>
              <w:top w:val="single" w:sz="8" w:color="0000FF"/>
            </w:tcBorders>
            <w:gridSpan w:val="12"/>
          </w:tcPr>
          <w:p>
            <w:pPr>
              <w:spacing w:after="0"/>
              <w:rPr>
                <w:rFonts w:ascii="Arial" w:cs="Arial" w:eastAsia="Arial" w:hAnsi="Arial"/>
                <w:sz w:val="14"/>
                <w:szCs w:val="14"/>
                <w:u w:val="single" w:color="auto"/>
                <w:color w:val="0000FF"/>
                <w:w w:val="99"/>
              </w:rPr>
            </w:pPr>
            <w:hyperlink r:id="rId206">
              <w:r>
                <w:rPr>
                  <w:rFonts w:ascii="Arial" w:cs="Arial" w:eastAsia="Arial" w:hAnsi="Arial"/>
                  <w:sz w:val="14"/>
                  <w:szCs w:val="14"/>
                  <w:u w:val="single" w:color="auto"/>
                  <w:color w:val="0000FF"/>
                  <w:w w:val="99"/>
                </w:rPr>
                <w:t>America, N.A., as administrative agent. Incorporated by reference to Exhibit 10.1 to the Company’s Current Report on Form 8-K filed on December 19, 2019.</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r>
      <w:tr>
        <w:trPr>
          <w:trHeight w:val="286"/>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10.14</w:t>
            </w:r>
          </w:p>
        </w:tc>
        <w:tc>
          <w:tcPr>
            <w:tcW w:w="9900" w:type="dxa"/>
            <w:vAlign w:val="bottom"/>
            <w:gridSpan w:val="25"/>
          </w:tcPr>
          <w:p>
            <w:pPr>
              <w:spacing w:after="0"/>
              <w:rPr>
                <w:rFonts w:ascii="Arial" w:cs="Arial" w:eastAsia="Arial" w:hAnsi="Arial"/>
                <w:sz w:val="14"/>
                <w:szCs w:val="14"/>
                <w:color w:val="0000FF"/>
                <w:w w:val="95"/>
              </w:rPr>
            </w:pPr>
            <w:hyperlink r:id="rId207">
              <w:r>
                <w:rPr>
                  <w:rFonts w:ascii="Arial" w:cs="Arial" w:eastAsia="Arial" w:hAnsi="Arial"/>
                  <w:sz w:val="14"/>
                  <w:szCs w:val="14"/>
                  <w:color w:val="0000FF"/>
                  <w:w w:val="95"/>
                </w:rPr>
                <w:t>Indemnity Agreement with Melvin C. Payne dated December 18, 2000. Incorporated by reference to Exhibit 10.20 to the Company’s Annual Report on Form 10-K for its</w:t>
              </w:r>
            </w:hyperlink>
          </w:p>
        </w:tc>
      </w:tr>
      <w:tr>
        <w:trPr>
          <w:trHeight w:val="118"/>
        </w:trPr>
        <w:tc>
          <w:tcPr>
            <w:tcW w:w="1640" w:type="dxa"/>
            <w:vAlign w:val="bottom"/>
          </w:tcPr>
          <w:p>
            <w:pPr>
              <w:spacing w:after="0"/>
              <w:rPr>
                <w:sz w:val="10"/>
                <w:szCs w:val="10"/>
                <w:color w:val="auto"/>
              </w:rPr>
            </w:pPr>
          </w:p>
        </w:tc>
        <w:tc>
          <w:tcPr>
            <w:tcW w:w="97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fiscal year ended December 31, 2000</w:t>
              </w:r>
              <w:r>
                <w:rPr>
                  <w:rFonts w:ascii="Arial" w:cs="Arial" w:eastAsia="Arial" w:hAnsi="Arial"/>
                  <w:sz w:val="13"/>
                  <w:szCs w:val="13"/>
                  <w:color w:val="000000"/>
                </w:rPr>
                <w:t>. †</w:t>
              </w:r>
            </w:hyperlink>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9"/>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10.15</w:t>
            </w:r>
          </w:p>
        </w:tc>
        <w:tc>
          <w:tcPr>
            <w:tcW w:w="9900" w:type="dxa"/>
            <w:vAlign w:val="bottom"/>
            <w:gridSpan w:val="25"/>
          </w:tcPr>
          <w:p>
            <w:pPr>
              <w:spacing w:after="0"/>
              <w:rPr>
                <w:rFonts w:ascii="Arial" w:cs="Arial" w:eastAsia="Arial" w:hAnsi="Arial"/>
                <w:sz w:val="14"/>
                <w:szCs w:val="14"/>
                <w:color w:val="0000FF"/>
                <w:w w:val="96"/>
              </w:rPr>
            </w:pPr>
            <w:hyperlink r:id="rId208">
              <w:r>
                <w:rPr>
                  <w:rFonts w:ascii="Arial" w:cs="Arial" w:eastAsia="Arial" w:hAnsi="Arial"/>
                  <w:sz w:val="14"/>
                  <w:szCs w:val="14"/>
                  <w:color w:val="0000FF"/>
                  <w:w w:val="96"/>
                </w:rPr>
                <w:t>Employment Agreement with Mark R. Bruce dated January 4, 2011. Incorporated by reference to Exhibit 10.1 to the Company's Quarterly Report on Form 10-Q for its</w:t>
              </w:r>
            </w:hyperlink>
          </w:p>
        </w:tc>
      </w:tr>
      <w:tr>
        <w:trPr>
          <w:trHeight w:val="118"/>
        </w:trPr>
        <w:tc>
          <w:tcPr>
            <w:tcW w:w="1640" w:type="dxa"/>
            <w:vAlign w:val="bottom"/>
          </w:tcPr>
          <w:p>
            <w:pPr>
              <w:spacing w:after="0"/>
              <w:rPr>
                <w:sz w:val="10"/>
                <w:szCs w:val="10"/>
                <w:color w:val="auto"/>
              </w:rPr>
            </w:pPr>
          </w:p>
        </w:tc>
        <w:tc>
          <w:tcPr>
            <w:tcW w:w="97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208">
              <w:r>
                <w:rPr>
                  <w:rFonts w:ascii="Arial" w:cs="Arial" w:eastAsia="Arial" w:hAnsi="Arial"/>
                  <w:sz w:val="13"/>
                  <w:szCs w:val="13"/>
                  <w:color w:val="0000FF"/>
                </w:rPr>
                <w:t xml:space="preserve">quarter ended March 31, 2013. </w:t>
              </w:r>
              <w:r>
                <w:rPr>
                  <w:rFonts w:ascii="Arial" w:cs="Arial" w:eastAsia="Arial" w:hAnsi="Arial"/>
                  <w:sz w:val="13"/>
                  <w:szCs w:val="13"/>
                  <w:color w:val="000000"/>
                </w:rPr>
                <w:t>†</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14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9"/>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10.16</w:t>
            </w:r>
          </w:p>
        </w:tc>
        <w:tc>
          <w:tcPr>
            <w:tcW w:w="9900" w:type="dxa"/>
            <w:vAlign w:val="bottom"/>
            <w:gridSpan w:val="25"/>
          </w:tcPr>
          <w:p>
            <w:pPr>
              <w:spacing w:after="0"/>
              <w:rPr>
                <w:rFonts w:ascii="Arial" w:cs="Arial" w:eastAsia="Arial" w:hAnsi="Arial"/>
                <w:sz w:val="14"/>
                <w:szCs w:val="14"/>
                <w:color w:val="0000FF"/>
                <w:w w:val="95"/>
              </w:rPr>
            </w:pPr>
            <w:hyperlink r:id="rId209">
              <w:r>
                <w:rPr>
                  <w:rFonts w:ascii="Arial" w:cs="Arial" w:eastAsia="Arial" w:hAnsi="Arial"/>
                  <w:sz w:val="14"/>
                  <w:szCs w:val="14"/>
                  <w:color w:val="0000FF"/>
                  <w:w w:val="95"/>
                </w:rPr>
                <w:t>Employment Letter with Mark R. Bruce dated March 14, 2012. Incorporated by reference to Exhibit 10.2 to the Company's Quarterly Report on Form 10-Q for its quarter</w:t>
              </w:r>
            </w:hyperlink>
          </w:p>
        </w:tc>
      </w:tr>
      <w:tr>
        <w:trPr>
          <w:trHeight w:val="118"/>
        </w:trPr>
        <w:tc>
          <w:tcPr>
            <w:tcW w:w="1640" w:type="dxa"/>
            <w:vAlign w:val="bottom"/>
          </w:tcPr>
          <w:p>
            <w:pPr>
              <w:spacing w:after="0"/>
              <w:rPr>
                <w:sz w:val="10"/>
                <w:szCs w:val="10"/>
                <w:color w:val="auto"/>
              </w:rPr>
            </w:pPr>
          </w:p>
        </w:tc>
        <w:tc>
          <w:tcPr>
            <w:tcW w:w="982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209">
              <w:r>
                <w:rPr>
                  <w:rFonts w:ascii="Arial" w:cs="Arial" w:eastAsia="Arial" w:hAnsi="Arial"/>
                  <w:sz w:val="13"/>
                  <w:szCs w:val="13"/>
                  <w:color w:val="0000FF"/>
                </w:rPr>
                <w:t xml:space="preserve">ended March 31, 2013. </w:t>
              </w:r>
              <w:r>
                <w:rPr>
                  <w:rFonts w:ascii="Arial" w:cs="Arial" w:eastAsia="Arial" w:hAnsi="Arial"/>
                  <w:sz w:val="13"/>
                  <w:szCs w:val="13"/>
                  <w:color w:val="000000"/>
                </w:rPr>
                <w:t>†</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6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58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9"/>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10.17</w:t>
            </w:r>
          </w:p>
        </w:tc>
        <w:tc>
          <w:tcPr>
            <w:tcW w:w="9900" w:type="dxa"/>
            <w:vAlign w:val="bottom"/>
            <w:gridSpan w:val="25"/>
          </w:tcPr>
          <w:p>
            <w:pPr>
              <w:spacing w:after="0"/>
              <w:rPr>
                <w:rFonts w:ascii="Arial" w:cs="Arial" w:eastAsia="Arial" w:hAnsi="Arial"/>
                <w:sz w:val="14"/>
                <w:szCs w:val="14"/>
                <w:color w:val="0000FF"/>
                <w:w w:val="98"/>
              </w:rPr>
            </w:pPr>
            <w:hyperlink r:id="rId210">
              <w:r>
                <w:rPr>
                  <w:rFonts w:ascii="Arial" w:cs="Arial" w:eastAsia="Arial" w:hAnsi="Arial"/>
                  <w:sz w:val="14"/>
                  <w:szCs w:val="14"/>
                  <w:color w:val="0000FF"/>
                  <w:w w:val="98"/>
                </w:rPr>
                <w:t>Director Compensation Policy dated March 5, 2012. Incorporated by reference to Exhibit 10.24 to Company's Annual Report on Form 10-K for its fiscal year ended</w:t>
              </w:r>
            </w:hyperlink>
          </w:p>
        </w:tc>
      </w:tr>
      <w:tr>
        <w:trPr>
          <w:trHeight w:val="118"/>
        </w:trPr>
        <w:tc>
          <w:tcPr>
            <w:tcW w:w="1640" w:type="dxa"/>
            <w:vAlign w:val="bottom"/>
          </w:tcPr>
          <w:p>
            <w:pPr>
              <w:spacing w:after="0"/>
              <w:rPr>
                <w:sz w:val="10"/>
                <w:szCs w:val="10"/>
                <w:color w:val="auto"/>
              </w:rPr>
            </w:pPr>
          </w:p>
        </w:tc>
        <w:tc>
          <w:tcPr>
            <w:tcW w:w="988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210">
              <w:r>
                <w:rPr>
                  <w:rFonts w:ascii="Arial" w:cs="Arial" w:eastAsia="Arial" w:hAnsi="Arial"/>
                  <w:sz w:val="13"/>
                  <w:szCs w:val="13"/>
                  <w:color w:val="0000FF"/>
                </w:rPr>
                <w:t xml:space="preserve">December 31, 2011.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r>
      <w:tr>
        <w:trPr>
          <w:trHeight w:val="806"/>
        </w:trPr>
        <w:tc>
          <w:tcPr>
            <w:tcW w:w="1640" w:type="dxa"/>
            <w:vAlign w:val="bottom"/>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20" w:type="dxa"/>
            <w:vAlign w:val="bottom"/>
            <w:gridSpan w:val="6"/>
          </w:tcPr>
          <w:p>
            <w:pPr>
              <w:jc w:val="right"/>
              <w:ind w:right="460"/>
              <w:spacing w:after="0"/>
              <w:rPr>
                <w:sz w:val="20"/>
                <w:szCs w:val="20"/>
                <w:color w:val="auto"/>
              </w:rPr>
            </w:pPr>
            <w:r>
              <w:rPr>
                <w:rFonts w:ascii="Arial" w:cs="Arial" w:eastAsia="Arial" w:hAnsi="Arial"/>
                <w:sz w:val="14"/>
                <w:szCs w:val="14"/>
                <w:color w:val="auto"/>
              </w:rPr>
              <w:t>104</w:t>
            </w: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16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0"/>
        </w:trPr>
        <w:tc>
          <w:tcPr>
            <w:tcW w:w="1640" w:type="dxa"/>
            <w:vAlign w:val="bottom"/>
          </w:tcPr>
          <w:p>
            <w:pPr>
              <w:jc w:val="right"/>
              <w:ind w:right="569"/>
              <w:spacing w:after="0"/>
              <w:rPr>
                <w:rFonts w:ascii="Arial" w:cs="Arial" w:eastAsia="Arial" w:hAnsi="Arial"/>
                <w:sz w:val="14"/>
                <w:szCs w:val="14"/>
                <w:u w:val="single" w:color="auto"/>
                <w:color w:val="0000FF"/>
                <w:w w:val="88"/>
              </w:rPr>
            </w:pPr>
            <w:hyperlink w:anchor="page1">
              <w:r>
                <w:rPr>
                  <w:rFonts w:ascii="Arial" w:cs="Arial" w:eastAsia="Arial" w:hAnsi="Arial"/>
                  <w:sz w:val="14"/>
                  <w:szCs w:val="14"/>
                  <w:u w:val="single" w:color="auto"/>
                  <w:color w:val="0000FF"/>
                  <w:w w:val="88"/>
                </w:rPr>
                <w:t>Table of Contents</w:t>
              </w:r>
            </w:hyperlink>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8"/>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10.18</w:t>
            </w:r>
          </w:p>
        </w:tc>
        <w:tc>
          <w:tcPr>
            <w:tcW w:w="9800" w:type="dxa"/>
            <w:vAlign w:val="bottom"/>
            <w:gridSpan w:val="25"/>
          </w:tcPr>
          <w:p>
            <w:pPr>
              <w:spacing w:after="0"/>
              <w:rPr>
                <w:rFonts w:ascii="Arial" w:cs="Arial" w:eastAsia="Arial" w:hAnsi="Arial"/>
                <w:sz w:val="14"/>
                <w:szCs w:val="14"/>
                <w:color w:val="0000FF"/>
                <w:w w:val="94"/>
              </w:rPr>
            </w:pPr>
            <w:hyperlink r:id="rId213">
              <w:r>
                <w:rPr>
                  <w:rFonts w:ascii="Arial" w:cs="Arial" w:eastAsia="Arial" w:hAnsi="Arial"/>
                  <w:sz w:val="14"/>
                  <w:szCs w:val="14"/>
                  <w:color w:val="0000FF"/>
                  <w:w w:val="94"/>
                </w:rPr>
                <w:t>Incentive Stock Option Agreement Under Carriage Services, Inc. Second Amended and Restated 2006 Long-Term Incentive Plan. Incorporated by reference to Exhibit</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62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213">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Company's Quarterly Report on Form 10-Q for its quarter ended June 30, 2013.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10.19</w:t>
            </w:r>
          </w:p>
        </w:tc>
        <w:tc>
          <w:tcPr>
            <w:tcW w:w="9800" w:type="dxa"/>
            <w:vAlign w:val="bottom"/>
            <w:gridSpan w:val="25"/>
          </w:tcPr>
          <w:p>
            <w:pPr>
              <w:spacing w:after="0"/>
              <w:rPr>
                <w:rFonts w:ascii="Arial" w:cs="Arial" w:eastAsia="Arial" w:hAnsi="Arial"/>
                <w:sz w:val="14"/>
                <w:szCs w:val="14"/>
                <w:color w:val="0000FF"/>
                <w:w w:val="93"/>
              </w:rPr>
            </w:pPr>
            <w:hyperlink r:id="rId214">
              <w:r>
                <w:rPr>
                  <w:rFonts w:ascii="Arial" w:cs="Arial" w:eastAsia="Arial" w:hAnsi="Arial"/>
                  <w:sz w:val="14"/>
                  <w:szCs w:val="14"/>
                  <w:color w:val="0000FF"/>
                  <w:w w:val="93"/>
                </w:rPr>
                <w:t>Restricted Stock Agreement Under Carriage Services, Inc. Second and Amended and Restated 2006 Long-Term Incentive Plan. Incorporated by reference to Exhibit 10.2</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58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214">
              <w:r>
                <w:rPr>
                  <w:rFonts w:ascii="Arial" w:cs="Arial" w:eastAsia="Arial" w:hAnsi="Arial"/>
                  <w:sz w:val="13"/>
                  <w:szCs w:val="13"/>
                  <w:color w:val="0000FF"/>
                </w:rPr>
                <w:t xml:space="preserve">to the Company's Quarterly Report on Form 10-Q for its quarter ended June 30, 2013. </w:t>
              </w:r>
              <w:r>
                <w:rPr>
                  <w:rFonts w:ascii="Arial" w:cs="Arial" w:eastAsia="Arial" w:hAnsi="Arial"/>
                  <w:sz w:val="13"/>
                  <w:szCs w:val="13"/>
                  <w:color w:val="000000"/>
                </w:rPr>
                <w:t>†</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10.20</w:t>
            </w:r>
          </w:p>
        </w:tc>
        <w:tc>
          <w:tcPr>
            <w:tcW w:w="9800" w:type="dxa"/>
            <w:vAlign w:val="bottom"/>
            <w:gridSpan w:val="25"/>
          </w:tcPr>
          <w:p>
            <w:pPr>
              <w:spacing w:after="0"/>
              <w:rPr>
                <w:rFonts w:ascii="Arial" w:cs="Arial" w:eastAsia="Arial" w:hAnsi="Arial"/>
                <w:sz w:val="14"/>
                <w:szCs w:val="14"/>
                <w:color w:val="0000FF"/>
                <w:w w:val="93"/>
              </w:rPr>
            </w:pPr>
            <w:hyperlink r:id="rId215">
              <w:r>
                <w:rPr>
                  <w:rFonts w:ascii="Arial" w:cs="Arial" w:eastAsia="Arial" w:hAnsi="Arial"/>
                  <w:sz w:val="14"/>
                  <w:szCs w:val="14"/>
                  <w:color w:val="0000FF"/>
                  <w:w w:val="93"/>
                </w:rPr>
                <w:t>Form of Employee Restricted Stock Agreement under Carriage Services, Inc. 2017 Omnibus Incentive Plan. Incorporated by reference to Exhibit 10.30 to the Company's</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6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15">
              <w:r>
                <w:rPr>
                  <w:rFonts w:ascii="Arial" w:cs="Arial" w:eastAsia="Arial" w:hAnsi="Arial"/>
                  <w:sz w:val="13"/>
                  <w:szCs w:val="13"/>
                  <w:color w:val="0000FF"/>
                </w:rPr>
                <w:t xml:space="preserve">Annual Report on Form 10-K for its fiscal year ended December 31, 2017.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10.21</w:t>
            </w:r>
          </w:p>
        </w:tc>
        <w:tc>
          <w:tcPr>
            <w:tcW w:w="9800" w:type="dxa"/>
            <w:vAlign w:val="bottom"/>
            <w:gridSpan w:val="25"/>
          </w:tcPr>
          <w:p>
            <w:pPr>
              <w:spacing w:after="0"/>
              <w:rPr>
                <w:rFonts w:ascii="Arial" w:cs="Arial" w:eastAsia="Arial" w:hAnsi="Arial"/>
                <w:sz w:val="14"/>
                <w:szCs w:val="14"/>
                <w:color w:val="0000FF"/>
                <w:w w:val="96"/>
              </w:rPr>
            </w:pPr>
            <w:hyperlink r:id="rId216">
              <w:r>
                <w:rPr>
                  <w:rFonts w:ascii="Arial" w:cs="Arial" w:eastAsia="Arial" w:hAnsi="Arial"/>
                  <w:sz w:val="14"/>
                  <w:szCs w:val="14"/>
                  <w:color w:val="0000FF"/>
                  <w:w w:val="96"/>
                </w:rPr>
                <w:t>Form of Employee Incentive Stock Option Agreement under Carriage Services, Inc. 2017 Omnibus Incentive Plan. Incorporated by reference to Exhibit 10.31 to the</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76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 xml:space="preserve">Company's Annual Report on Form 10-K for its fiscal year ended December 31, 2017.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10.22</w:t>
            </w:r>
          </w:p>
        </w:tc>
        <w:tc>
          <w:tcPr>
            <w:tcW w:w="9800" w:type="dxa"/>
            <w:vAlign w:val="bottom"/>
            <w:gridSpan w:val="25"/>
          </w:tcPr>
          <w:p>
            <w:pPr>
              <w:spacing w:after="0"/>
              <w:rPr>
                <w:rFonts w:ascii="Arial" w:cs="Arial" w:eastAsia="Arial" w:hAnsi="Arial"/>
                <w:sz w:val="14"/>
                <w:szCs w:val="14"/>
                <w:color w:val="0000FF"/>
                <w:w w:val="94"/>
              </w:rPr>
            </w:pPr>
            <w:hyperlink r:id="rId217">
              <w:r>
                <w:rPr>
                  <w:rFonts w:ascii="Arial" w:cs="Arial" w:eastAsia="Arial" w:hAnsi="Arial"/>
                  <w:sz w:val="14"/>
                  <w:szCs w:val="14"/>
                  <w:color w:val="0000FF"/>
                  <w:w w:val="94"/>
                </w:rPr>
                <w:t>Form of Employee Performance Share Unit Award Agreement under Carriage Services, Inc. 2017 Omnibus Incentive Plan. Incorporated by reference to Exhibit 10.32 to</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72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 xml:space="preserve">the Company's Annual Report on Form 10-K for its fiscal year ended December 31, 2017.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10.23</w:t>
            </w:r>
          </w:p>
        </w:tc>
        <w:tc>
          <w:tcPr>
            <w:tcW w:w="9800" w:type="dxa"/>
            <w:vAlign w:val="bottom"/>
            <w:gridSpan w:val="25"/>
          </w:tcPr>
          <w:p>
            <w:pPr>
              <w:spacing w:after="0"/>
              <w:rPr>
                <w:rFonts w:ascii="Arial" w:cs="Arial" w:eastAsia="Arial" w:hAnsi="Arial"/>
                <w:sz w:val="14"/>
                <w:szCs w:val="14"/>
                <w:color w:val="0000FF"/>
                <w:w w:val="95"/>
              </w:rPr>
            </w:pPr>
            <w:hyperlink r:id="rId218">
              <w:r>
                <w:rPr>
                  <w:rFonts w:ascii="Arial" w:cs="Arial" w:eastAsia="Arial" w:hAnsi="Arial"/>
                  <w:sz w:val="14"/>
                  <w:szCs w:val="14"/>
                  <w:color w:val="0000FF"/>
                  <w:w w:val="95"/>
                </w:rPr>
                <w:t>Form of Employee Stock Option Agreement under Carriage Services, Inc. 2017 Omnibus Incentive Plan. Incorporated by reference to Exhibit 10.33 to the Company's</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40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218">
              <w:r>
                <w:rPr>
                  <w:rFonts w:ascii="Arial" w:cs="Arial" w:eastAsia="Arial" w:hAnsi="Arial"/>
                  <w:sz w:val="13"/>
                  <w:szCs w:val="13"/>
                  <w:color w:val="0000FF"/>
                </w:rPr>
                <w:t xml:space="preserve">Annual Report on Form 10-K for its fiscal year ended December 31, 2017. </w:t>
              </w:r>
              <w:r>
                <w:rPr>
                  <w:rFonts w:ascii="Arial" w:cs="Arial" w:eastAsia="Arial" w:hAnsi="Arial"/>
                  <w:sz w:val="13"/>
                  <w:szCs w:val="13"/>
                  <w:color w:val="000000"/>
                </w:rPr>
                <w:t>†</w:t>
              </w:r>
            </w:hyperlink>
          </w:p>
        </w:tc>
        <w:tc>
          <w:tcPr>
            <w:tcW w:w="6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jc w:val="right"/>
              <w:ind w:right="829"/>
              <w:spacing w:after="0"/>
              <w:rPr>
                <w:sz w:val="20"/>
                <w:szCs w:val="20"/>
                <w:color w:val="auto"/>
              </w:rPr>
            </w:pPr>
            <w:r>
              <w:rPr>
                <w:rFonts w:ascii="Arial" w:cs="Arial" w:eastAsia="Arial" w:hAnsi="Arial"/>
                <w:sz w:val="14"/>
                <w:szCs w:val="14"/>
                <w:color w:val="auto"/>
              </w:rPr>
              <w:t>10.24</w:t>
            </w: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640" w:type="dxa"/>
            <w:vAlign w:val="bottom"/>
            <w:vMerge w:val="continue"/>
          </w:tcPr>
          <w:p>
            <w:pPr>
              <w:spacing w:after="0"/>
              <w:rPr>
                <w:sz w:val="24"/>
                <w:szCs w:val="24"/>
                <w:color w:val="auto"/>
              </w:rPr>
            </w:pPr>
          </w:p>
        </w:tc>
        <w:tc>
          <w:tcPr>
            <w:tcW w:w="9800" w:type="dxa"/>
            <w:vAlign w:val="bottom"/>
            <w:gridSpan w:val="25"/>
            <w:vMerge w:val="restart"/>
          </w:tcPr>
          <w:p>
            <w:pPr>
              <w:spacing w:after="0"/>
              <w:rPr>
                <w:rFonts w:ascii="Arial" w:cs="Arial" w:eastAsia="Arial" w:hAnsi="Arial"/>
                <w:sz w:val="14"/>
                <w:szCs w:val="14"/>
                <w:color w:val="0000FF"/>
                <w:w w:val="94"/>
              </w:rPr>
            </w:pPr>
            <w:hyperlink r:id="rId219">
              <w:r>
                <w:rPr>
                  <w:rFonts w:ascii="Arial" w:cs="Arial" w:eastAsia="Arial" w:hAnsi="Arial"/>
                  <w:sz w:val="14"/>
                  <w:szCs w:val="14"/>
                  <w:color w:val="0000FF"/>
                  <w:w w:val="94"/>
                </w:rPr>
                <w:t>Release and Separation Agreement by and between Carriage Services, Inc. and Mark R. Bruce, dated effective November 1, 2018. Incorporated by reference to Exhibit</w:t>
              </w:r>
            </w:hyperlink>
          </w:p>
        </w:tc>
        <w:tc>
          <w:tcPr>
            <w:tcW w:w="0" w:type="dxa"/>
            <w:vAlign w:val="bottom"/>
          </w:tcPr>
          <w:p>
            <w:pPr>
              <w:spacing w:after="0"/>
              <w:rPr>
                <w:sz w:val="1"/>
                <w:szCs w:val="1"/>
                <w:color w:val="auto"/>
              </w:rPr>
            </w:pPr>
          </w:p>
        </w:tc>
      </w:tr>
      <w:tr>
        <w:trPr>
          <w:trHeight w:val="32"/>
        </w:trPr>
        <w:tc>
          <w:tcPr>
            <w:tcW w:w="1640" w:type="dxa"/>
            <w:vAlign w:val="bottom"/>
          </w:tcPr>
          <w:p>
            <w:pPr>
              <w:spacing w:after="0"/>
              <w:rPr>
                <w:sz w:val="2"/>
                <w:szCs w:val="2"/>
                <w:color w:val="auto"/>
              </w:rPr>
            </w:pPr>
          </w:p>
        </w:tc>
        <w:tc>
          <w:tcPr>
            <w:tcW w:w="9800" w:type="dxa"/>
            <w:vAlign w:val="bottom"/>
            <w:gridSpan w:val="2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6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19">
              <w:r>
                <w:rPr>
                  <w:rFonts w:ascii="Arial" w:cs="Arial" w:eastAsia="Arial" w:hAnsi="Arial"/>
                  <w:sz w:val="13"/>
                  <w:szCs w:val="13"/>
                  <w:color w:val="0000FF"/>
                </w:rPr>
                <w:t>10.</w:t>
              </w:r>
              <w:r>
                <w:rPr>
                  <w:rFonts w:ascii="Arial" w:cs="Arial" w:eastAsia="Arial" w:hAnsi="Arial"/>
                  <w:sz w:val="13"/>
                  <w:szCs w:val="13"/>
                  <w:u w:val="single" w:color="auto"/>
                  <w:color w:val="0000FF"/>
                </w:rPr>
                <w:t>36</w:t>
              </w:r>
              <w:r>
                <w:rPr>
                  <w:rFonts w:ascii="Arial" w:cs="Arial" w:eastAsia="Arial" w:hAnsi="Arial"/>
                  <w:sz w:val="13"/>
                  <w:szCs w:val="13"/>
                  <w:color w:val="0000FF"/>
                </w:rPr>
                <w:t xml:space="preserve"> to the Company's Annual Report on Form 10-K for its fiscal year ended December 31, 2018.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10.25</w:t>
            </w:r>
          </w:p>
        </w:tc>
        <w:tc>
          <w:tcPr>
            <w:tcW w:w="9800" w:type="dxa"/>
            <w:vAlign w:val="bottom"/>
            <w:gridSpan w:val="25"/>
          </w:tcPr>
          <w:p>
            <w:pPr>
              <w:spacing w:after="0"/>
              <w:rPr>
                <w:rFonts w:ascii="Arial" w:cs="Arial" w:eastAsia="Arial" w:hAnsi="Arial"/>
                <w:sz w:val="14"/>
                <w:szCs w:val="14"/>
                <w:color w:val="0000FF"/>
                <w:w w:val="93"/>
              </w:rPr>
            </w:pPr>
            <w:hyperlink r:id="rId220">
              <w:r>
                <w:rPr>
                  <w:rFonts w:ascii="Arial" w:cs="Arial" w:eastAsia="Arial" w:hAnsi="Arial"/>
                  <w:sz w:val="14"/>
                  <w:szCs w:val="14"/>
                  <w:color w:val="0000FF"/>
                  <w:w w:val="93"/>
                </w:rPr>
                <w:t>Form of Performance Award Agreement under Carriage Services, Inc. 2017 Omnibus Incentive Plan. Incorporated by reference to Exhibit 10.2 to the Company's Current</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6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220">
              <w:r>
                <w:rPr>
                  <w:rFonts w:ascii="Arial" w:cs="Arial" w:eastAsia="Arial" w:hAnsi="Arial"/>
                  <w:sz w:val="13"/>
                  <w:szCs w:val="13"/>
                  <w:color w:val="0000FF"/>
                </w:rPr>
                <w:t xml:space="preserve">Report on Form 8-K filed on February 26, 2019. </w:t>
              </w:r>
              <w:r>
                <w:rPr>
                  <w:rFonts w:ascii="Arial" w:cs="Arial" w:eastAsia="Arial" w:hAnsi="Arial"/>
                  <w:sz w:val="13"/>
                  <w:szCs w:val="13"/>
                  <w:color w:val="000000"/>
                </w:rPr>
                <w:t>†</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10.26</w:t>
            </w:r>
          </w:p>
        </w:tc>
        <w:tc>
          <w:tcPr>
            <w:tcW w:w="9800" w:type="dxa"/>
            <w:vAlign w:val="bottom"/>
            <w:gridSpan w:val="25"/>
          </w:tcPr>
          <w:p>
            <w:pPr>
              <w:spacing w:after="0"/>
              <w:rPr>
                <w:rFonts w:ascii="Arial" w:cs="Arial" w:eastAsia="Arial" w:hAnsi="Arial"/>
                <w:sz w:val="14"/>
                <w:szCs w:val="14"/>
                <w:color w:val="0000FF"/>
                <w:w w:val="96"/>
              </w:rPr>
            </w:pPr>
            <w:hyperlink r:id="rId221">
              <w:r>
                <w:rPr>
                  <w:rFonts w:ascii="Arial" w:cs="Arial" w:eastAsia="Arial" w:hAnsi="Arial"/>
                  <w:sz w:val="14"/>
                  <w:szCs w:val="14"/>
                  <w:color w:val="0000FF"/>
                  <w:w w:val="96"/>
                </w:rPr>
                <w:t>Employment Agreement dated November 5, 2019, by and between the Company and Melvin C. Payne. Incorporated by reference to Exhibit 10.1 to the Company’s</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221">
              <w:r>
                <w:rPr>
                  <w:rFonts w:ascii="Arial" w:cs="Arial" w:eastAsia="Arial" w:hAnsi="Arial"/>
                  <w:sz w:val="13"/>
                  <w:szCs w:val="13"/>
                  <w:color w:val="0000FF"/>
                </w:rPr>
                <w:t>Current Report on Form 8-K filed on November 8, 2019. †</w:t>
              </w:r>
            </w:hyperlink>
          </w:p>
        </w:tc>
        <w:tc>
          <w:tcPr>
            <w:tcW w:w="64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5"/>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10.27</w:t>
            </w:r>
          </w:p>
        </w:tc>
        <w:tc>
          <w:tcPr>
            <w:tcW w:w="9800" w:type="dxa"/>
            <w:vAlign w:val="bottom"/>
            <w:gridSpan w:val="25"/>
          </w:tcPr>
          <w:p>
            <w:pPr>
              <w:spacing w:after="0"/>
              <w:rPr>
                <w:rFonts w:ascii="Arial" w:cs="Arial" w:eastAsia="Arial" w:hAnsi="Arial"/>
                <w:sz w:val="14"/>
                <w:szCs w:val="14"/>
                <w:color w:val="0000FF"/>
                <w:w w:val="94"/>
              </w:rPr>
            </w:pPr>
            <w:hyperlink r:id="rId222">
              <w:r>
                <w:rPr>
                  <w:rFonts w:ascii="Arial" w:cs="Arial" w:eastAsia="Arial" w:hAnsi="Arial"/>
                  <w:sz w:val="14"/>
                  <w:szCs w:val="14"/>
                  <w:u w:val="single" w:color="auto"/>
                  <w:color w:val="0000FF"/>
                  <w:w w:val="94"/>
                </w:rPr>
                <w:t>First Amendment to Employment Agreement dated February 17, 2021 by and between the Company and Melvin C. Payne.</w:t>
              </w:r>
              <w:r>
                <w:rPr>
                  <w:rFonts w:ascii="Arial" w:cs="Arial" w:eastAsia="Arial" w:hAnsi="Arial"/>
                  <w:sz w:val="14"/>
                  <w:szCs w:val="14"/>
                  <w:color w:val="0000FF"/>
                  <w:w w:val="94"/>
                </w:rPr>
                <w:t xml:space="preserve"> Incorporated by reference to Exhibit 10.1 to</w:t>
              </w:r>
            </w:hyperlink>
          </w:p>
        </w:tc>
        <w:tc>
          <w:tcPr>
            <w:tcW w:w="0" w:type="dxa"/>
            <w:vAlign w:val="bottom"/>
          </w:tcPr>
          <w:p>
            <w:pPr>
              <w:spacing w:after="0"/>
              <w:rPr>
                <w:sz w:val="1"/>
                <w:szCs w:val="1"/>
                <w:color w:val="auto"/>
              </w:rPr>
            </w:pPr>
          </w:p>
        </w:tc>
      </w:tr>
      <w:tr>
        <w:trPr>
          <w:trHeight w:val="139"/>
        </w:trPr>
        <w:tc>
          <w:tcPr>
            <w:tcW w:w="1640" w:type="dxa"/>
            <w:vAlign w:val="bottom"/>
          </w:tcPr>
          <w:p>
            <w:pPr>
              <w:spacing w:after="0"/>
              <w:rPr>
                <w:sz w:val="12"/>
                <w:szCs w:val="12"/>
                <w:color w:val="auto"/>
              </w:rPr>
            </w:pPr>
          </w:p>
        </w:tc>
        <w:tc>
          <w:tcPr>
            <w:tcW w:w="4260" w:type="dxa"/>
            <w:vAlign w:val="bottom"/>
            <w:tcBorders>
              <w:bottom w:val="single" w:sz="8" w:color="0000FF"/>
            </w:tcBorders>
            <w:gridSpan w:val="7"/>
          </w:tcPr>
          <w:p>
            <w:pPr>
              <w:spacing w:after="0" w:line="139" w:lineRule="exact"/>
              <w:rPr>
                <w:rFonts w:ascii="Arial" w:cs="Arial" w:eastAsia="Arial" w:hAnsi="Arial"/>
                <w:sz w:val="14"/>
                <w:szCs w:val="14"/>
                <w:color w:val="0000FF"/>
                <w:w w:val="92"/>
              </w:rPr>
            </w:pPr>
            <w:hyperlink r:id="rId222">
              <w:r>
                <w:rPr>
                  <w:rFonts w:ascii="Arial" w:cs="Arial" w:eastAsia="Arial" w:hAnsi="Arial"/>
                  <w:sz w:val="14"/>
                  <w:szCs w:val="14"/>
                  <w:color w:val="0000FF"/>
                  <w:w w:val="92"/>
                </w:rPr>
                <w:t>the Company’s Current Report on Form 8-K filed on February 18, 2021. †</w:t>
              </w:r>
            </w:hyperlink>
          </w:p>
        </w:tc>
        <w:tc>
          <w:tcPr>
            <w:tcW w:w="2720" w:type="dxa"/>
            <w:vAlign w:val="bottom"/>
            <w:gridSpan w:val="5"/>
          </w:tcPr>
          <w:p>
            <w:pPr>
              <w:spacing w:after="0"/>
              <w:rPr>
                <w:sz w:val="12"/>
                <w:szCs w:val="12"/>
                <w:color w:val="auto"/>
              </w:rPr>
            </w:pPr>
          </w:p>
        </w:tc>
        <w:tc>
          <w:tcPr>
            <w:tcW w:w="2480" w:type="dxa"/>
            <w:vAlign w:val="bottom"/>
            <w:tcBorders>
              <w:top w:val="single" w:sz="8" w:color="0000FF"/>
            </w:tcBorders>
            <w:gridSpan w:val="2"/>
          </w:tcPr>
          <w:p>
            <w:pPr>
              <w:spacing w:after="0"/>
              <w:rPr>
                <w:sz w:val="12"/>
                <w:szCs w:val="12"/>
                <w:color w:val="auto"/>
              </w:rPr>
            </w:pPr>
          </w:p>
        </w:tc>
        <w:tc>
          <w:tcPr>
            <w:tcW w:w="1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10.28</w:t>
            </w:r>
          </w:p>
        </w:tc>
        <w:tc>
          <w:tcPr>
            <w:tcW w:w="9800" w:type="dxa"/>
            <w:vAlign w:val="bottom"/>
            <w:gridSpan w:val="25"/>
          </w:tcPr>
          <w:p>
            <w:pPr>
              <w:spacing w:after="0"/>
              <w:rPr>
                <w:rFonts w:ascii="Arial" w:cs="Arial" w:eastAsia="Arial" w:hAnsi="Arial"/>
                <w:sz w:val="14"/>
                <w:szCs w:val="14"/>
                <w:color w:val="0000FF"/>
                <w:w w:val="93"/>
              </w:rPr>
            </w:pPr>
            <w:hyperlink r:id="rId223">
              <w:r>
                <w:rPr>
                  <w:rFonts w:ascii="Arial" w:cs="Arial" w:eastAsia="Arial" w:hAnsi="Arial"/>
                  <w:sz w:val="14"/>
                  <w:szCs w:val="14"/>
                  <w:color w:val="0000FF"/>
                  <w:w w:val="93"/>
                </w:rPr>
                <w:t>Employment Agreement dated November 5, 2019, by and between the Company and Shawn Phillips. Incorporated by reference to Exhibit 10.2 to the Company’s Current</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28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223">
              <w:r>
                <w:rPr>
                  <w:rFonts w:ascii="Arial" w:cs="Arial" w:eastAsia="Arial" w:hAnsi="Arial"/>
                  <w:sz w:val="13"/>
                  <w:szCs w:val="13"/>
                  <w:color w:val="0000FF"/>
                  <w:w w:val="99"/>
                </w:rPr>
                <w:t>Report on Form 8-K filed on November 8, 2019. †</w:t>
              </w:r>
            </w:hyperlink>
          </w:p>
        </w:tc>
        <w:tc>
          <w:tcPr>
            <w:tcW w:w="6780" w:type="dxa"/>
            <w:vAlign w:val="bottom"/>
            <w:tcBorders>
              <w:top w:val="single" w:sz="8" w:color="0000FF"/>
            </w:tcBorders>
            <w:gridSpan w:val="15"/>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10.29</w:t>
            </w:r>
          </w:p>
        </w:tc>
        <w:tc>
          <w:tcPr>
            <w:tcW w:w="9800" w:type="dxa"/>
            <w:vAlign w:val="bottom"/>
            <w:gridSpan w:val="25"/>
          </w:tcPr>
          <w:p>
            <w:pPr>
              <w:spacing w:after="0"/>
              <w:rPr>
                <w:rFonts w:ascii="Arial" w:cs="Arial" w:eastAsia="Arial" w:hAnsi="Arial"/>
                <w:sz w:val="14"/>
                <w:szCs w:val="14"/>
                <w:color w:val="0000FF"/>
                <w:w w:val="95"/>
              </w:rPr>
            </w:pPr>
            <w:hyperlink r:id="rId224">
              <w:r>
                <w:rPr>
                  <w:rFonts w:ascii="Arial" w:cs="Arial" w:eastAsia="Arial" w:hAnsi="Arial"/>
                  <w:sz w:val="14"/>
                  <w:szCs w:val="14"/>
                  <w:color w:val="0000FF"/>
                  <w:w w:val="95"/>
                </w:rPr>
                <w:t>Employment Agreement dated November 5, 2019, by and between the Company and Paul Elliot. Incorporated by reference to Exhibit 10.3 to the Company’s Current</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286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224">
              <w:r>
                <w:rPr>
                  <w:rFonts w:ascii="Arial" w:cs="Arial" w:eastAsia="Arial" w:hAnsi="Arial"/>
                  <w:sz w:val="13"/>
                  <w:szCs w:val="13"/>
                  <w:color w:val="0000FF"/>
                  <w:w w:val="99"/>
                </w:rPr>
                <w:t>Report on Form 8-K filed on November 8, 2019. †</w:t>
              </w:r>
            </w:hyperlink>
          </w:p>
        </w:tc>
        <w:tc>
          <w:tcPr>
            <w:tcW w:w="68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10.30</w:t>
            </w:r>
          </w:p>
        </w:tc>
        <w:tc>
          <w:tcPr>
            <w:tcW w:w="9800" w:type="dxa"/>
            <w:vAlign w:val="bottom"/>
            <w:gridSpan w:val="25"/>
          </w:tcPr>
          <w:p>
            <w:pPr>
              <w:spacing w:after="0"/>
              <w:rPr>
                <w:rFonts w:ascii="Arial" w:cs="Arial" w:eastAsia="Arial" w:hAnsi="Arial"/>
                <w:sz w:val="14"/>
                <w:szCs w:val="14"/>
                <w:color w:val="0000FF"/>
                <w:w w:val="95"/>
              </w:rPr>
            </w:pPr>
            <w:hyperlink r:id="rId225">
              <w:r>
                <w:rPr>
                  <w:rFonts w:ascii="Arial" w:cs="Arial" w:eastAsia="Arial" w:hAnsi="Arial"/>
                  <w:sz w:val="14"/>
                  <w:szCs w:val="14"/>
                  <w:color w:val="0000FF"/>
                  <w:w w:val="95"/>
                </w:rPr>
                <w:t>Employment Agreement dated November 5, 2019, by and between the Company and Viki K. Blinderman. Incorporated by reference to Exhibit 10.4 to the Company’s</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334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225">
              <w:r>
                <w:rPr>
                  <w:rFonts w:ascii="Arial" w:cs="Arial" w:eastAsia="Arial" w:hAnsi="Arial"/>
                  <w:sz w:val="13"/>
                  <w:szCs w:val="13"/>
                  <w:color w:val="0000FF"/>
                  <w:w w:val="99"/>
                </w:rPr>
                <w:t>Current Report on Form 8-K filed on November 8, 2019. †</w:t>
              </w:r>
            </w:hyperlink>
          </w:p>
        </w:tc>
        <w:tc>
          <w:tcPr>
            <w:tcW w:w="632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10.31</w:t>
            </w:r>
          </w:p>
        </w:tc>
        <w:tc>
          <w:tcPr>
            <w:tcW w:w="9800" w:type="dxa"/>
            <w:vAlign w:val="bottom"/>
            <w:gridSpan w:val="25"/>
          </w:tcPr>
          <w:p>
            <w:pPr>
              <w:spacing w:after="0"/>
              <w:rPr>
                <w:rFonts w:ascii="Arial" w:cs="Arial" w:eastAsia="Arial" w:hAnsi="Arial"/>
                <w:sz w:val="14"/>
                <w:szCs w:val="14"/>
                <w:color w:val="0000FF"/>
                <w:w w:val="94"/>
              </w:rPr>
            </w:pPr>
            <w:hyperlink r:id="rId226">
              <w:r>
                <w:rPr>
                  <w:rFonts w:ascii="Arial" w:cs="Arial" w:eastAsia="Arial" w:hAnsi="Arial"/>
                  <w:sz w:val="14"/>
                  <w:szCs w:val="14"/>
                  <w:color w:val="0000FF"/>
                  <w:w w:val="94"/>
                </w:rPr>
                <w:t>Employment Agreement dated November 5, 2019, by and between the Company and Carl Benjamin Brink. Incorporated by reference to Exhibit 10.5 to the Company’s</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74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226">
              <w:r>
                <w:rPr>
                  <w:rFonts w:ascii="Arial" w:cs="Arial" w:eastAsia="Arial" w:hAnsi="Arial"/>
                  <w:sz w:val="13"/>
                  <w:szCs w:val="13"/>
                  <w:color w:val="0000FF"/>
                </w:rPr>
                <w:t>Current Report on Form 8-K filed on November 8, 2019. †</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72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640" w:type="dxa"/>
            <w:vAlign w:val="bottom"/>
          </w:tcPr>
          <w:p>
            <w:pPr>
              <w:jc w:val="right"/>
              <w:ind w:right="829"/>
              <w:spacing w:after="0"/>
              <w:rPr>
                <w:sz w:val="20"/>
                <w:szCs w:val="20"/>
                <w:color w:val="auto"/>
              </w:rPr>
            </w:pPr>
            <w:r>
              <w:rPr>
                <w:rFonts w:ascii="Arial" w:cs="Arial" w:eastAsia="Arial" w:hAnsi="Arial"/>
                <w:sz w:val="14"/>
                <w:szCs w:val="14"/>
                <w:color w:val="auto"/>
              </w:rPr>
              <w:t>10.32</w:t>
            </w:r>
          </w:p>
        </w:tc>
        <w:tc>
          <w:tcPr>
            <w:tcW w:w="9800" w:type="dxa"/>
            <w:vAlign w:val="bottom"/>
            <w:gridSpan w:val="25"/>
          </w:tcPr>
          <w:p>
            <w:pPr>
              <w:spacing w:after="0"/>
              <w:rPr>
                <w:rFonts w:ascii="Arial" w:cs="Arial" w:eastAsia="Arial" w:hAnsi="Arial"/>
                <w:sz w:val="14"/>
                <w:szCs w:val="14"/>
                <w:color w:val="0000FF"/>
                <w:w w:val="97"/>
              </w:rPr>
            </w:pPr>
            <w:hyperlink r:id="rId227">
              <w:r>
                <w:rPr>
                  <w:rFonts w:ascii="Arial" w:cs="Arial" w:eastAsia="Arial" w:hAnsi="Arial"/>
                  <w:sz w:val="14"/>
                  <w:szCs w:val="14"/>
                  <w:color w:val="0000FF"/>
                  <w:w w:val="97"/>
                </w:rPr>
                <w:t>Employment Agreement dated December 1, 2019, by and between Carriage Services, Inc. and William W. Goetz. Incorporated by reference to Exhibit 10.1 to the</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227">
              <w:r>
                <w:rPr>
                  <w:rFonts w:ascii="Arial" w:cs="Arial" w:eastAsia="Arial" w:hAnsi="Arial"/>
                  <w:sz w:val="13"/>
                  <w:szCs w:val="13"/>
                  <w:color w:val="0000FF"/>
                  <w:w w:val="98"/>
                </w:rPr>
                <w:t>Company's Current Report on Form 8-K filed on December 2, 2019. †</w:t>
              </w:r>
            </w:hyperlink>
          </w:p>
        </w:tc>
        <w:tc>
          <w:tcPr>
            <w:tcW w:w="5720" w:type="dxa"/>
            <w:vAlign w:val="bottom"/>
            <w:tcBorders>
              <w:top w:val="single" w:sz="8" w:color="0000FF"/>
            </w:tcBorders>
            <w:gridSpan w:val="1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806"/>
        </w:trPr>
        <w:tc>
          <w:tcPr>
            <w:tcW w:w="1640" w:type="dxa"/>
            <w:vAlign w:val="bottom"/>
          </w:tcPr>
          <w:p>
            <w:pPr>
              <w:spacing w:after="0"/>
              <w:rPr>
                <w:sz w:val="24"/>
                <w:szCs w:val="24"/>
                <w:color w:val="auto"/>
              </w:rPr>
            </w:pPr>
          </w:p>
        </w:tc>
        <w:tc>
          <w:tcPr>
            <w:tcW w:w="4260" w:type="dxa"/>
            <w:vAlign w:val="bottom"/>
            <w:gridSpan w:val="7"/>
          </w:tcPr>
          <w:p>
            <w:pPr>
              <w:ind w:left="3900"/>
              <w:spacing w:after="0"/>
              <w:rPr>
                <w:sz w:val="20"/>
                <w:szCs w:val="20"/>
                <w:color w:val="auto"/>
              </w:rPr>
            </w:pPr>
            <w:r>
              <w:rPr>
                <w:rFonts w:ascii="Arial" w:cs="Arial" w:eastAsia="Arial" w:hAnsi="Arial"/>
                <w:sz w:val="14"/>
                <w:szCs w:val="14"/>
                <w:color w:val="auto"/>
              </w:rPr>
              <w:t>105</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64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0"/>
        </w:trPr>
        <w:tc>
          <w:tcPr>
            <w:tcW w:w="164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8"/>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10.33</w:t>
            </w:r>
          </w:p>
        </w:tc>
        <w:tc>
          <w:tcPr>
            <w:tcW w:w="9760" w:type="dxa"/>
            <w:vAlign w:val="bottom"/>
            <w:gridSpan w:val="20"/>
          </w:tcPr>
          <w:p>
            <w:pPr>
              <w:spacing w:after="0"/>
              <w:rPr>
                <w:rFonts w:ascii="Arial" w:cs="Arial" w:eastAsia="Arial" w:hAnsi="Arial"/>
                <w:sz w:val="14"/>
                <w:szCs w:val="14"/>
                <w:color w:val="0000FF"/>
                <w:w w:val="93"/>
              </w:rPr>
            </w:pPr>
            <w:hyperlink r:id="rId230">
              <w:r>
                <w:rPr>
                  <w:rFonts w:ascii="Arial" w:cs="Arial" w:eastAsia="Arial" w:hAnsi="Arial"/>
                  <w:sz w:val="14"/>
                  <w:szCs w:val="14"/>
                  <w:color w:val="0000FF"/>
                  <w:w w:val="93"/>
                </w:rPr>
                <w:t>Form of Performance Award Agreement under Carriage Services, Inc. 2017 Omnibus Incentive Plan. Incorporated by reference to Exhibit 10.1 to the Company's Current</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966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230">
              <w:r>
                <w:rPr>
                  <w:rFonts w:ascii="Arial" w:cs="Arial" w:eastAsia="Arial" w:hAnsi="Arial"/>
                  <w:sz w:val="13"/>
                  <w:szCs w:val="13"/>
                  <w:color w:val="0000FF"/>
                </w:rPr>
                <w:t xml:space="preserve">Report on Form 8-K filed on February 25, 2020. </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10.34</w:t>
            </w:r>
          </w:p>
        </w:tc>
        <w:tc>
          <w:tcPr>
            <w:tcW w:w="9760" w:type="dxa"/>
            <w:vAlign w:val="bottom"/>
            <w:gridSpan w:val="20"/>
          </w:tcPr>
          <w:p>
            <w:pPr>
              <w:spacing w:after="0"/>
              <w:rPr>
                <w:rFonts w:ascii="Arial" w:cs="Arial" w:eastAsia="Arial" w:hAnsi="Arial"/>
                <w:sz w:val="14"/>
                <w:szCs w:val="14"/>
                <w:color w:val="0000FF"/>
                <w:w w:val="95"/>
              </w:rPr>
            </w:pPr>
            <w:hyperlink r:id="rId231">
              <w:r>
                <w:rPr>
                  <w:rFonts w:ascii="Arial" w:cs="Arial" w:eastAsia="Arial" w:hAnsi="Arial"/>
                  <w:sz w:val="14"/>
                  <w:szCs w:val="14"/>
                  <w:color w:val="0000FF"/>
                  <w:w w:val="95"/>
                </w:rPr>
                <w:t>Transaction Agreement dated as of November 25, 2019 by and among Carriage Funeral Holdings, Inc., Carriage Holdings Virginia, Inc., Carriage Services of Virginia</w:t>
              </w:r>
            </w:hyperlink>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9700" w:type="dxa"/>
            <w:vAlign w:val="bottom"/>
            <w:tcBorders>
              <w:top w:val="single" w:sz="8" w:color="0000FF"/>
            </w:tcBorders>
            <w:gridSpan w:val="17"/>
          </w:tcPr>
          <w:p>
            <w:pPr>
              <w:spacing w:after="0" w:line="107" w:lineRule="exact"/>
              <w:rPr>
                <w:rFonts w:ascii="Arial" w:cs="Arial" w:eastAsia="Arial" w:hAnsi="Arial"/>
                <w:sz w:val="12"/>
                <w:szCs w:val="12"/>
                <w:u w:val="single" w:color="auto"/>
                <w:color w:val="0000FF"/>
              </w:rPr>
            </w:pPr>
            <w:hyperlink r:id="rId231">
              <w:r>
                <w:rPr>
                  <w:rFonts w:ascii="Arial" w:cs="Arial" w:eastAsia="Arial" w:hAnsi="Arial"/>
                  <w:sz w:val="12"/>
                  <w:szCs w:val="12"/>
                  <w:u w:val="single" w:color="auto"/>
                  <w:color w:val="0000FF"/>
                </w:rPr>
                <w:t>LLC, Calvary Memorial Park, Inc., Fairfax Memorial Funeral Home, L.L.C., Holder Representative and Carriage Services, Inc. Incorporated by reference to Exhibit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9760" w:type="dxa"/>
            <w:vAlign w:val="bottom"/>
            <w:gridSpan w:val="20"/>
          </w:tcPr>
          <w:p>
            <w:pPr>
              <w:spacing w:after="0" w:line="149" w:lineRule="exact"/>
              <w:rPr>
                <w:rFonts w:ascii="Arial" w:cs="Arial" w:eastAsia="Arial" w:hAnsi="Arial"/>
                <w:sz w:val="14"/>
                <w:szCs w:val="14"/>
                <w:color w:val="0000FF"/>
              </w:rPr>
            </w:pPr>
            <w:hyperlink r:id="rId231">
              <w:r>
                <w:rPr>
                  <w:rFonts w:ascii="Arial" w:cs="Arial" w:eastAsia="Arial" w:hAnsi="Arial"/>
                  <w:sz w:val="14"/>
                  <w:szCs w:val="14"/>
                  <w:color w:val="0000FF"/>
                </w:rPr>
                <w:t>10.</w:t>
              </w:r>
              <w:r>
                <w:rPr>
                  <w:rFonts w:ascii="Arial" w:cs="Arial" w:eastAsia="Arial" w:hAnsi="Arial"/>
                  <w:sz w:val="14"/>
                  <w:szCs w:val="14"/>
                  <w:u w:val="single" w:color="auto"/>
                  <w:color w:val="0000FF"/>
                </w:rPr>
                <w:t>38 to the Company's Annual Report on Form 10-K filed on February 28, 2020. ++</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10.35</w:t>
            </w:r>
          </w:p>
        </w:tc>
        <w:tc>
          <w:tcPr>
            <w:tcW w:w="9760" w:type="dxa"/>
            <w:vAlign w:val="bottom"/>
            <w:gridSpan w:val="20"/>
          </w:tcPr>
          <w:p>
            <w:pPr>
              <w:spacing w:after="0"/>
              <w:rPr>
                <w:rFonts w:ascii="Arial" w:cs="Arial" w:eastAsia="Arial" w:hAnsi="Arial"/>
                <w:sz w:val="14"/>
                <w:szCs w:val="14"/>
                <w:color w:val="0000FF"/>
                <w:w w:val="95"/>
              </w:rPr>
            </w:pPr>
            <w:hyperlink r:id="rId232">
              <w:r>
                <w:rPr>
                  <w:rFonts w:ascii="Arial" w:cs="Arial" w:eastAsia="Arial" w:hAnsi="Arial"/>
                  <w:sz w:val="14"/>
                  <w:szCs w:val="14"/>
                  <w:color w:val="0000FF"/>
                  <w:w w:val="95"/>
                </w:rPr>
                <w:t>Amendment to the Transaction Agreement dated as of December 30, 2019 by and among Carriage Funeral Holdings, Inc., Carriage Holdings Virginia, Inc., Carriage</w:t>
              </w:r>
            </w:hyperlink>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9720" w:type="dxa"/>
            <w:vAlign w:val="bottom"/>
            <w:tcBorders>
              <w:top w:val="single" w:sz="8" w:color="0000FF"/>
            </w:tcBorders>
            <w:gridSpan w:val="18"/>
          </w:tcPr>
          <w:p>
            <w:pPr>
              <w:spacing w:after="0" w:line="107" w:lineRule="exact"/>
              <w:rPr>
                <w:rFonts w:ascii="Arial" w:cs="Arial" w:eastAsia="Arial" w:hAnsi="Arial"/>
                <w:sz w:val="12"/>
                <w:szCs w:val="12"/>
                <w:u w:val="single" w:color="auto"/>
                <w:color w:val="0000FF"/>
              </w:rPr>
            </w:pPr>
            <w:hyperlink r:id="rId232">
              <w:r>
                <w:rPr>
                  <w:rFonts w:ascii="Arial" w:cs="Arial" w:eastAsia="Arial" w:hAnsi="Arial"/>
                  <w:sz w:val="12"/>
                  <w:szCs w:val="12"/>
                  <w:u w:val="single" w:color="auto"/>
                  <w:color w:val="0000FF"/>
                </w:rPr>
                <w:t>Services of Virginia LLC, Calvary Memorial Park, Inc., Fairfax Memorial Funeral Home, L.L.C., Holder Representative and Carriage Services, Inc. Incorporated by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9760" w:type="dxa"/>
            <w:vAlign w:val="bottom"/>
            <w:gridSpan w:val="20"/>
          </w:tcPr>
          <w:p>
            <w:pPr>
              <w:spacing w:after="0" w:line="149" w:lineRule="exact"/>
              <w:rPr>
                <w:rFonts w:ascii="Arial" w:cs="Arial" w:eastAsia="Arial" w:hAnsi="Arial"/>
                <w:sz w:val="14"/>
                <w:szCs w:val="14"/>
                <w:color w:val="0000FF"/>
              </w:rPr>
            </w:pPr>
            <w:hyperlink r:id="rId232">
              <w:r>
                <w:rPr>
                  <w:rFonts w:ascii="Arial" w:cs="Arial" w:eastAsia="Arial" w:hAnsi="Arial"/>
                  <w:sz w:val="14"/>
                  <w:szCs w:val="14"/>
                  <w:color w:val="0000FF"/>
                </w:rPr>
                <w:t xml:space="preserve">reference to Exhibit 10.39 </w:t>
              </w:r>
              <w:r>
                <w:rPr>
                  <w:rFonts w:ascii="Arial" w:cs="Arial" w:eastAsia="Arial" w:hAnsi="Arial"/>
                  <w:sz w:val="14"/>
                  <w:szCs w:val="14"/>
                  <w:u w:val="single" w:color="auto"/>
                  <w:color w:val="0000FF"/>
                </w:rPr>
                <w:t>to the Company's Annual Report on Form 10-K filed on February 28, 2020</w:t>
              </w:r>
              <w:r>
                <w:rPr>
                  <w:rFonts w:ascii="Arial" w:cs="Arial" w:eastAsia="Arial" w:hAnsi="Arial"/>
                  <w:sz w:val="14"/>
                  <w:szCs w:val="14"/>
                  <w:color w:val="0000FF"/>
                </w:rPr>
                <w:t>.</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10.36</w:t>
            </w:r>
          </w:p>
        </w:tc>
        <w:tc>
          <w:tcPr>
            <w:tcW w:w="9760" w:type="dxa"/>
            <w:vAlign w:val="bottom"/>
            <w:gridSpan w:val="20"/>
          </w:tcPr>
          <w:p>
            <w:pPr>
              <w:spacing w:after="0"/>
              <w:rPr>
                <w:rFonts w:ascii="Arial" w:cs="Arial" w:eastAsia="Arial" w:hAnsi="Arial"/>
                <w:sz w:val="14"/>
                <w:szCs w:val="14"/>
                <w:color w:val="0000FF"/>
                <w:w w:val="93"/>
              </w:rPr>
            </w:pPr>
            <w:hyperlink r:id="rId233">
              <w:r>
                <w:rPr>
                  <w:rFonts w:ascii="Arial" w:cs="Arial" w:eastAsia="Arial" w:hAnsi="Arial"/>
                  <w:sz w:val="14"/>
                  <w:szCs w:val="14"/>
                  <w:color w:val="0000FF"/>
                  <w:w w:val="93"/>
                </w:rPr>
                <w:t>Limited Waiver and Fourth Amendment to Credit Agreement, dated as of May 18, 2020, by and among Carriage Services, Inc., the financial institutions party thereto, as</w:t>
              </w:r>
            </w:hyperlink>
          </w:p>
        </w:tc>
        <w:tc>
          <w:tcPr>
            <w:tcW w:w="0" w:type="dxa"/>
            <w:vAlign w:val="bottom"/>
          </w:tcPr>
          <w:p>
            <w:pPr>
              <w:spacing w:after="0"/>
              <w:rPr>
                <w:sz w:val="1"/>
                <w:szCs w:val="1"/>
                <w:color w:val="auto"/>
              </w:rPr>
            </w:pPr>
          </w:p>
        </w:tc>
      </w:tr>
      <w:tr>
        <w:trPr>
          <w:trHeight w:val="107"/>
        </w:trPr>
        <w:tc>
          <w:tcPr>
            <w:tcW w:w="1640" w:type="dxa"/>
            <w:vAlign w:val="bottom"/>
          </w:tcPr>
          <w:p>
            <w:pPr>
              <w:spacing w:after="0"/>
              <w:rPr>
                <w:sz w:val="9"/>
                <w:szCs w:val="9"/>
                <w:color w:val="auto"/>
              </w:rPr>
            </w:pPr>
          </w:p>
        </w:tc>
        <w:tc>
          <w:tcPr>
            <w:tcW w:w="9680" w:type="dxa"/>
            <w:vAlign w:val="bottom"/>
            <w:tcBorders>
              <w:top w:val="single" w:sz="8" w:color="0000FF"/>
            </w:tcBorders>
            <w:gridSpan w:val="16"/>
          </w:tcPr>
          <w:p>
            <w:pPr>
              <w:spacing w:after="0" w:line="107" w:lineRule="exact"/>
              <w:rPr>
                <w:rFonts w:ascii="Arial" w:cs="Arial" w:eastAsia="Arial" w:hAnsi="Arial"/>
                <w:sz w:val="12"/>
                <w:szCs w:val="12"/>
                <w:u w:val="single" w:color="auto"/>
                <w:color w:val="0000FF"/>
              </w:rPr>
            </w:pPr>
            <w:hyperlink r:id="rId233">
              <w:r>
                <w:rPr>
                  <w:rFonts w:ascii="Arial" w:cs="Arial" w:eastAsia="Arial" w:hAnsi="Arial"/>
                  <w:sz w:val="12"/>
                  <w:szCs w:val="12"/>
                  <w:u w:val="single" w:color="auto"/>
                  <w:color w:val="0000FF"/>
                </w:rPr>
                <w:t>lenders, and Bank of America, as administrative agent, swing line lender and L/C issuer. Incorporated by reference to Exhibit 10.1 to the Company's Current Report on</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9760" w:type="dxa"/>
            <w:vAlign w:val="bottom"/>
            <w:gridSpan w:val="20"/>
          </w:tcPr>
          <w:p>
            <w:pPr>
              <w:spacing w:after="0" w:line="149" w:lineRule="exact"/>
              <w:rPr>
                <w:rFonts w:ascii="Arial" w:cs="Arial" w:eastAsia="Arial" w:hAnsi="Arial"/>
                <w:sz w:val="14"/>
                <w:szCs w:val="14"/>
                <w:color w:val="0000FF"/>
              </w:rPr>
            </w:pPr>
            <w:hyperlink r:id="rId233">
              <w:r>
                <w:rPr>
                  <w:rFonts w:ascii="Arial" w:cs="Arial" w:eastAsia="Arial" w:hAnsi="Arial"/>
                  <w:sz w:val="14"/>
                  <w:szCs w:val="14"/>
                  <w:color w:val="0000FF"/>
                </w:rPr>
                <w:t>Form 8-K filed on May 22, 2020.</w:t>
              </w:r>
            </w:hyperlink>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10.37</w:t>
            </w:r>
          </w:p>
        </w:tc>
        <w:tc>
          <w:tcPr>
            <w:tcW w:w="9760" w:type="dxa"/>
            <w:vAlign w:val="bottom"/>
            <w:gridSpan w:val="20"/>
          </w:tcPr>
          <w:p>
            <w:pPr>
              <w:spacing w:after="0"/>
              <w:rPr>
                <w:rFonts w:ascii="Arial" w:cs="Arial" w:eastAsia="Arial" w:hAnsi="Arial"/>
                <w:sz w:val="14"/>
                <w:szCs w:val="14"/>
                <w:color w:val="0000FF"/>
                <w:w w:val="93"/>
              </w:rPr>
            </w:pPr>
            <w:hyperlink r:id="rId234">
              <w:r>
                <w:rPr>
                  <w:rFonts w:ascii="Arial" w:cs="Arial" w:eastAsia="Arial" w:hAnsi="Arial"/>
                  <w:sz w:val="14"/>
                  <w:szCs w:val="14"/>
                  <w:u w:val="single" w:color="auto"/>
                  <w:color w:val="0000FF"/>
                  <w:w w:val="93"/>
                </w:rPr>
                <w:t>Form of Performance Award Agreement under Carriage Services, Inc. 2017 Omnibus Incentive Plan. Incorporated by reference to Exhibit</w:t>
              </w:r>
              <w:r>
                <w:rPr>
                  <w:rFonts w:ascii="Arial" w:cs="Arial" w:eastAsia="Arial" w:hAnsi="Arial"/>
                  <w:sz w:val="14"/>
                  <w:szCs w:val="14"/>
                  <w:color w:val="0000FF"/>
                  <w:w w:val="93"/>
                </w:rPr>
                <w:t xml:space="preserve"> 10.2 to the Company's Current</w:t>
              </w:r>
            </w:hyperlink>
          </w:p>
        </w:tc>
        <w:tc>
          <w:tcPr>
            <w:tcW w:w="0" w:type="dxa"/>
            <w:vAlign w:val="bottom"/>
          </w:tcPr>
          <w:p>
            <w:pPr>
              <w:spacing w:after="0"/>
              <w:rPr>
                <w:sz w:val="1"/>
                <w:szCs w:val="1"/>
                <w:color w:val="auto"/>
              </w:rPr>
            </w:pPr>
          </w:p>
        </w:tc>
      </w:tr>
      <w:tr>
        <w:trPr>
          <w:trHeight w:val="118"/>
        </w:trPr>
        <w:tc>
          <w:tcPr>
            <w:tcW w:w="1640" w:type="dxa"/>
            <w:vAlign w:val="bottom"/>
            <w:vMerge w:val="restart"/>
          </w:tcPr>
          <w:p>
            <w:pPr>
              <w:jc w:val="center"/>
              <w:ind w:right="409"/>
              <w:spacing w:after="0"/>
              <w:rPr>
                <w:sz w:val="20"/>
                <w:szCs w:val="20"/>
                <w:color w:val="auto"/>
              </w:rPr>
            </w:pPr>
            <w:r>
              <w:rPr>
                <w:rFonts w:ascii="Arial" w:cs="Arial" w:eastAsia="Arial" w:hAnsi="Arial"/>
                <w:sz w:val="14"/>
                <w:szCs w:val="14"/>
                <w:color w:val="auto"/>
                <w:w w:val="91"/>
              </w:rPr>
              <w:t>10.38</w:t>
            </w:r>
          </w:p>
        </w:tc>
        <w:tc>
          <w:tcPr>
            <w:tcW w:w="7520" w:type="dxa"/>
            <w:vAlign w:val="bottom"/>
            <w:gridSpan w:val="10"/>
          </w:tcPr>
          <w:p>
            <w:pPr>
              <w:spacing w:after="0" w:line="118" w:lineRule="exact"/>
              <w:rPr>
                <w:rFonts w:ascii="Arial" w:cs="Arial" w:eastAsia="Arial" w:hAnsi="Arial"/>
                <w:sz w:val="13"/>
                <w:szCs w:val="13"/>
                <w:color w:val="0000FF"/>
              </w:rPr>
            </w:pPr>
            <w:hyperlink r:id="rId234">
              <w:r>
                <w:rPr>
                  <w:rFonts w:ascii="Arial" w:cs="Arial" w:eastAsia="Arial" w:hAnsi="Arial"/>
                  <w:sz w:val="13"/>
                  <w:szCs w:val="13"/>
                  <w:color w:val="0000FF"/>
                </w:rPr>
                <w:t>Report on Form 8-K filed on May 22, 2020.</w:t>
              </w:r>
            </w:hyperlink>
          </w:p>
        </w:tc>
        <w:tc>
          <w:tcPr>
            <w:tcW w:w="12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vMerge w:val="continue"/>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640" w:type="dxa"/>
            <w:vAlign w:val="bottom"/>
            <w:vMerge w:val="continue"/>
          </w:tcPr>
          <w:p>
            <w:pPr>
              <w:spacing w:after="0"/>
              <w:rPr>
                <w:sz w:val="24"/>
                <w:szCs w:val="24"/>
                <w:color w:val="auto"/>
              </w:rPr>
            </w:pPr>
          </w:p>
        </w:tc>
        <w:tc>
          <w:tcPr>
            <w:tcW w:w="9760" w:type="dxa"/>
            <w:vAlign w:val="bottom"/>
            <w:gridSpan w:val="20"/>
          </w:tcPr>
          <w:p>
            <w:pPr>
              <w:spacing w:after="0"/>
              <w:rPr>
                <w:rFonts w:ascii="Arial" w:cs="Arial" w:eastAsia="Arial" w:hAnsi="Arial"/>
                <w:sz w:val="14"/>
                <w:szCs w:val="14"/>
                <w:color w:val="0000FF"/>
                <w:w w:val="93"/>
              </w:rPr>
            </w:pPr>
            <w:hyperlink r:id="rId235">
              <w:r>
                <w:rPr>
                  <w:rFonts w:ascii="Arial" w:cs="Arial" w:eastAsia="Arial" w:hAnsi="Arial"/>
                  <w:sz w:val="14"/>
                  <w:szCs w:val="14"/>
                  <w:color w:val="0000FF"/>
                  <w:w w:val="93"/>
                </w:rPr>
                <w:t>Limited Consent to Credit Agreement, dated as of August 7, 2020, by and among Carriage Services, Inc., the financial institutions party thereto, as lenders, and Bank of</w:t>
              </w:r>
            </w:hyperlink>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9620" w:type="dxa"/>
            <w:vAlign w:val="bottom"/>
            <w:tcBorders>
              <w:top w:val="single" w:sz="8" w:color="0000FF"/>
            </w:tcBorders>
            <w:gridSpan w:val="13"/>
          </w:tcPr>
          <w:p>
            <w:pPr>
              <w:spacing w:after="0" w:line="149" w:lineRule="exact"/>
              <w:rPr>
                <w:rFonts w:ascii="Arial" w:cs="Arial" w:eastAsia="Arial" w:hAnsi="Arial"/>
                <w:sz w:val="14"/>
                <w:szCs w:val="14"/>
                <w:u w:val="single" w:color="auto"/>
                <w:color w:val="0000FF"/>
                <w:w w:val="92"/>
              </w:rPr>
            </w:pPr>
            <w:hyperlink r:id="rId235">
              <w:r>
                <w:rPr>
                  <w:rFonts w:ascii="Arial" w:cs="Arial" w:eastAsia="Arial" w:hAnsi="Arial"/>
                  <w:sz w:val="14"/>
                  <w:szCs w:val="14"/>
                  <w:u w:val="single" w:color="auto"/>
                  <w:color w:val="0000FF"/>
                  <w:w w:val="92"/>
                </w:rPr>
                <w:t>America, N.A., as administrative agent, swing line lender and L/C issuer. Incorporated by reference to Exhibit 10.1 to the Company’s Quarterly Report on Form 10-Q for</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800" w:type="dxa"/>
            <w:vAlign w:val="bottom"/>
            <w:tcBorders>
              <w:bottom w:val="single" w:sz="8" w:color="0000FF"/>
            </w:tcBorders>
            <w:gridSpan w:val="7"/>
          </w:tcPr>
          <w:p>
            <w:pPr>
              <w:spacing w:after="0" w:line="149" w:lineRule="exact"/>
              <w:rPr>
                <w:rFonts w:ascii="Arial" w:cs="Arial" w:eastAsia="Arial" w:hAnsi="Arial"/>
                <w:sz w:val="14"/>
                <w:szCs w:val="14"/>
                <w:color w:val="0000FF"/>
                <w:w w:val="90"/>
              </w:rPr>
            </w:pPr>
            <w:hyperlink r:id="rId235">
              <w:r>
                <w:rPr>
                  <w:rFonts w:ascii="Arial" w:cs="Arial" w:eastAsia="Arial" w:hAnsi="Arial"/>
                  <w:sz w:val="14"/>
                  <w:szCs w:val="14"/>
                  <w:color w:val="0000FF"/>
                  <w:w w:val="90"/>
                </w:rPr>
                <w:t>the Quarterly Period Ending September 30, 2020.</w:t>
              </w:r>
            </w:hyperlink>
          </w:p>
        </w:tc>
        <w:tc>
          <w:tcPr>
            <w:tcW w:w="696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1"/>
              </w:rPr>
              <w:t>10.39</w:t>
            </w:r>
          </w:p>
        </w:tc>
        <w:tc>
          <w:tcPr>
            <w:tcW w:w="9760" w:type="dxa"/>
            <w:vAlign w:val="bottom"/>
            <w:gridSpan w:val="20"/>
          </w:tcPr>
          <w:p>
            <w:pPr>
              <w:spacing w:after="0"/>
              <w:rPr>
                <w:rFonts w:ascii="Arial" w:cs="Arial" w:eastAsia="Arial" w:hAnsi="Arial"/>
                <w:sz w:val="14"/>
                <w:szCs w:val="14"/>
                <w:color w:val="0000FF"/>
              </w:rPr>
            </w:pPr>
            <w:hyperlink r:id="rId236">
              <w:r>
                <w:rPr>
                  <w:rFonts w:ascii="Arial" w:cs="Arial" w:eastAsia="Arial" w:hAnsi="Arial"/>
                  <w:sz w:val="14"/>
                  <w:szCs w:val="14"/>
                  <w:u w:val="single" w:color="auto"/>
                  <w:color w:val="0000FF"/>
                </w:rPr>
                <w:t>Form of Notes Repurchase Agreement, Incorporated by reference to Exhibit 10.1 to the Company's Current Report on Form 8-K filed on September 4, 2020</w:t>
              </w:r>
              <w:r>
                <w:rPr>
                  <w:rFonts w:ascii="Arial" w:cs="Arial" w:eastAsia="Arial" w:hAnsi="Arial"/>
                  <w:sz w:val="14"/>
                  <w:szCs w:val="14"/>
                  <w:color w:val="0000FF"/>
                </w:rPr>
                <w:t>.</w:t>
              </w:r>
            </w:hyperlink>
          </w:p>
        </w:tc>
        <w:tc>
          <w:tcPr>
            <w:tcW w:w="0" w:type="dxa"/>
            <w:vAlign w:val="bottom"/>
          </w:tcPr>
          <w:p>
            <w:pPr>
              <w:spacing w:after="0"/>
              <w:rPr>
                <w:sz w:val="1"/>
                <w:szCs w:val="1"/>
                <w:color w:val="auto"/>
              </w:rPr>
            </w:pPr>
          </w:p>
        </w:tc>
      </w:tr>
      <w:tr>
        <w:trPr>
          <w:trHeight w:val="276"/>
        </w:trPr>
        <w:tc>
          <w:tcPr>
            <w:tcW w:w="1640" w:type="dxa"/>
            <w:vAlign w:val="bottom"/>
          </w:tcPr>
          <w:p>
            <w:pPr>
              <w:jc w:val="center"/>
              <w:ind w:right="389"/>
              <w:spacing w:after="0"/>
              <w:rPr>
                <w:sz w:val="20"/>
                <w:szCs w:val="20"/>
                <w:color w:val="auto"/>
              </w:rPr>
            </w:pPr>
            <w:r>
              <w:rPr>
                <w:rFonts w:ascii="Arial" w:cs="Arial" w:eastAsia="Arial" w:hAnsi="Arial"/>
                <w:sz w:val="14"/>
                <w:szCs w:val="14"/>
                <w:color w:val="auto"/>
                <w:w w:val="93"/>
              </w:rPr>
              <w:t>*10.40</w:t>
            </w:r>
          </w:p>
        </w:tc>
        <w:tc>
          <w:tcPr>
            <w:tcW w:w="9760" w:type="dxa"/>
            <w:vAlign w:val="bottom"/>
            <w:gridSpan w:val="20"/>
          </w:tcPr>
          <w:p>
            <w:pPr>
              <w:spacing w:after="0"/>
              <w:rPr>
                <w:rFonts w:ascii="Arial" w:cs="Arial" w:eastAsia="Arial" w:hAnsi="Arial"/>
                <w:sz w:val="14"/>
                <w:szCs w:val="14"/>
                <w:color w:val="0000FF"/>
              </w:rPr>
            </w:pPr>
            <w:hyperlink w:anchor="page111">
              <w:r>
                <w:rPr>
                  <w:rFonts w:ascii="Arial" w:cs="Arial" w:eastAsia="Arial" w:hAnsi="Arial"/>
                  <w:sz w:val="14"/>
                  <w:szCs w:val="14"/>
                  <w:u w:val="single" w:color="auto"/>
                  <w:color w:val="0000FF"/>
                </w:rPr>
                <w:t xml:space="preserve">Release and Separation Agreement by and between Carriage Services, Inc. and Viki K. Blinderman, dated </w:t>
              </w:r>
            </w:hyperlink>
            <w:r>
              <w:rPr>
                <w:rFonts w:ascii="Arial" w:cs="Arial" w:eastAsia="Arial" w:hAnsi="Arial"/>
                <w:sz w:val="14"/>
                <w:szCs w:val="14"/>
                <w:color w:val="0000FF"/>
              </w:rPr>
              <w:t xml:space="preserve">February </w:t>
            </w:r>
            <w:r>
              <w:rPr>
                <w:rFonts w:ascii="Arial" w:cs="Arial" w:eastAsia="Arial" w:hAnsi="Arial"/>
                <w:sz w:val="14"/>
                <w:szCs w:val="14"/>
                <w:u w:val="single" w:color="auto"/>
                <w:color w:val="0000FF"/>
              </w:rPr>
              <w:t>2,</w:t>
            </w:r>
            <w:r>
              <w:rPr>
                <w:rFonts w:ascii="Arial" w:cs="Arial" w:eastAsia="Arial" w:hAnsi="Arial"/>
                <w:sz w:val="14"/>
                <w:szCs w:val="14"/>
                <w:color w:val="0000FF"/>
              </w:rPr>
              <w:t xml:space="preserve"> </w:t>
            </w:r>
            <w:hyperlink w:anchor="page111">
              <w:r>
                <w:rPr>
                  <w:rFonts w:ascii="Arial" w:cs="Arial" w:eastAsia="Arial" w:hAnsi="Arial"/>
                  <w:sz w:val="14"/>
                  <w:szCs w:val="14"/>
                  <w:color w:val="0000FF"/>
                </w:rPr>
                <w:t xml:space="preserve">2021 and </w:t>
              </w:r>
              <w:r>
                <w:rPr>
                  <w:rFonts w:ascii="Arial" w:cs="Arial" w:eastAsia="Arial" w:hAnsi="Arial"/>
                  <w:sz w:val="14"/>
                  <w:szCs w:val="14"/>
                  <w:u w:val="single" w:color="auto"/>
                  <w:color w:val="0000FF"/>
                </w:rPr>
                <w:t>effective March 31, 2021.</w:t>
              </w:r>
              <w:r>
                <w:rPr>
                  <w:rFonts w:ascii="Arial" w:cs="Arial" w:eastAsia="Arial" w:hAnsi="Arial"/>
                  <w:sz w:val="14"/>
                  <w:szCs w:val="14"/>
                  <w:color w:val="0000FF"/>
                </w:rPr>
                <w:t xml:space="preserve"> †</w:t>
              </w:r>
            </w:hyperlink>
          </w:p>
        </w:tc>
        <w:tc>
          <w:tcPr>
            <w:tcW w:w="0" w:type="dxa"/>
            <w:vAlign w:val="bottom"/>
          </w:tcPr>
          <w:p>
            <w:pPr>
              <w:spacing w:after="0"/>
              <w:rPr>
                <w:sz w:val="1"/>
                <w:szCs w:val="1"/>
                <w:color w:val="auto"/>
              </w:rPr>
            </w:pPr>
          </w:p>
        </w:tc>
      </w:tr>
      <w:tr>
        <w:trPr>
          <w:trHeight w:val="319"/>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7"/>
              </w:rPr>
              <w:t>*21.1</w:t>
            </w:r>
          </w:p>
        </w:tc>
        <w:tc>
          <w:tcPr>
            <w:tcW w:w="6840" w:type="dxa"/>
            <w:vAlign w:val="bottom"/>
            <w:gridSpan w:val="8"/>
          </w:tcPr>
          <w:p>
            <w:pPr>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Subsidiaries of the Company.</w:t>
              </w:r>
            </w:hyperlink>
          </w:p>
        </w:tc>
        <w:tc>
          <w:tcPr>
            <w:tcW w:w="420" w:type="dxa"/>
            <w:vAlign w:val="bottom"/>
            <w:tcBorders>
              <w:top w:val="single" w:sz="8" w:color="0000FF"/>
            </w:tcBorders>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7"/>
              </w:rPr>
              <w:t>*23.1</w:t>
            </w:r>
          </w:p>
        </w:tc>
        <w:tc>
          <w:tcPr>
            <w:tcW w:w="9760" w:type="dxa"/>
            <w:vAlign w:val="bottom"/>
            <w:gridSpan w:val="20"/>
          </w:tcPr>
          <w:p>
            <w:pPr>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Consent of Grant Thornton LLP.</w:t>
              </w:r>
            </w:hyperlink>
          </w:p>
        </w:tc>
        <w:tc>
          <w:tcPr>
            <w:tcW w:w="0" w:type="dxa"/>
            <w:vAlign w:val="bottom"/>
          </w:tcPr>
          <w:p>
            <w:pPr>
              <w:spacing w:after="0"/>
              <w:rPr>
                <w:sz w:val="1"/>
                <w:szCs w:val="1"/>
                <w:color w:val="auto"/>
              </w:rPr>
            </w:pPr>
          </w:p>
        </w:tc>
      </w:tr>
      <w:tr>
        <w:trPr>
          <w:trHeight w:val="30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7"/>
              </w:rPr>
              <w:t>*31.1</w:t>
            </w:r>
          </w:p>
        </w:tc>
        <w:tc>
          <w:tcPr>
            <w:tcW w:w="9760" w:type="dxa"/>
            <w:vAlign w:val="bottom"/>
            <w:gridSpan w:val="20"/>
          </w:tcPr>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Certification of Periodic Financial Reports by Melvin C. Payne in satisfaction of Section 302 of the Sarbanes-Oxley Act of 2002.</w:t>
              </w:r>
            </w:hyperlink>
          </w:p>
        </w:tc>
        <w:tc>
          <w:tcPr>
            <w:tcW w:w="0" w:type="dxa"/>
            <w:vAlign w:val="bottom"/>
          </w:tcPr>
          <w:p>
            <w:pPr>
              <w:spacing w:after="0"/>
              <w:rPr>
                <w:sz w:val="1"/>
                <w:szCs w:val="1"/>
                <w:color w:val="auto"/>
              </w:rPr>
            </w:pPr>
          </w:p>
        </w:tc>
      </w:tr>
      <w:tr>
        <w:trPr>
          <w:trHeight w:val="307"/>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7"/>
              </w:rPr>
              <w:t>*31.2</w:t>
            </w:r>
          </w:p>
        </w:tc>
        <w:tc>
          <w:tcPr>
            <w:tcW w:w="9760" w:type="dxa"/>
            <w:vAlign w:val="bottom"/>
            <w:gridSpan w:val="20"/>
          </w:tcPr>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Certification of Periodic Financial Reports by Viki K. Blinderman in satisfaction of Section 302 of the Sarbanes-Oxley Act of 2002.</w:t>
              </w:r>
            </w:hyperlink>
          </w:p>
        </w:tc>
        <w:tc>
          <w:tcPr>
            <w:tcW w:w="0" w:type="dxa"/>
            <w:vAlign w:val="bottom"/>
          </w:tcPr>
          <w:p>
            <w:pPr>
              <w:spacing w:after="0"/>
              <w:rPr>
                <w:sz w:val="1"/>
                <w:szCs w:val="1"/>
                <w:color w:val="auto"/>
              </w:rPr>
            </w:pPr>
          </w:p>
        </w:tc>
      </w:tr>
      <w:tr>
        <w:trPr>
          <w:trHeight w:val="276"/>
        </w:trPr>
        <w:tc>
          <w:tcPr>
            <w:tcW w:w="1640" w:type="dxa"/>
            <w:vAlign w:val="bottom"/>
          </w:tcPr>
          <w:p>
            <w:pPr>
              <w:jc w:val="center"/>
              <w:ind w:right="409"/>
              <w:spacing w:after="0"/>
              <w:rPr>
                <w:sz w:val="20"/>
                <w:szCs w:val="20"/>
                <w:color w:val="auto"/>
              </w:rPr>
            </w:pPr>
            <w:r>
              <w:rPr>
                <w:rFonts w:ascii="Arial" w:cs="Arial" w:eastAsia="Arial" w:hAnsi="Arial"/>
                <w:sz w:val="14"/>
                <w:szCs w:val="14"/>
                <w:color w:val="auto"/>
              </w:rPr>
              <w:t>**32</w:t>
            </w:r>
          </w:p>
        </w:tc>
        <w:tc>
          <w:tcPr>
            <w:tcW w:w="9760" w:type="dxa"/>
            <w:vAlign w:val="bottom"/>
            <w:gridSpan w:val="20"/>
          </w:tcPr>
          <w:p>
            <w:pPr>
              <w:spacing w:after="0"/>
              <w:rPr>
                <w:rFonts w:ascii="Arial" w:cs="Arial" w:eastAsia="Arial" w:hAnsi="Arial"/>
                <w:sz w:val="14"/>
                <w:szCs w:val="14"/>
                <w:color w:val="0000FF"/>
                <w:w w:val="95"/>
              </w:rPr>
            </w:pPr>
            <w:hyperlink w:anchor="page122">
              <w:r>
                <w:rPr>
                  <w:rFonts w:ascii="Arial" w:cs="Arial" w:eastAsia="Arial" w:hAnsi="Arial"/>
                  <w:sz w:val="14"/>
                  <w:szCs w:val="14"/>
                  <w:color w:val="0000FF"/>
                  <w:w w:val="95"/>
                </w:rPr>
                <w:t>Certification of Periodic Financial Reports by Melvin C. Payne and Viki K. Blinderman in satisfaction of Section 906 of the Sarbanes-Oxley Act of 2002 and 18 U.S.C.</w:t>
              </w:r>
            </w:hyperlink>
          </w:p>
        </w:tc>
        <w:tc>
          <w:tcPr>
            <w:tcW w:w="0" w:type="dxa"/>
            <w:vAlign w:val="bottom"/>
          </w:tcPr>
          <w:p>
            <w:pPr>
              <w:spacing w:after="0"/>
              <w:rPr>
                <w:sz w:val="1"/>
                <w:szCs w:val="1"/>
                <w:color w:val="auto"/>
              </w:rPr>
            </w:pPr>
          </w:p>
        </w:tc>
      </w:tr>
      <w:tr>
        <w:trPr>
          <w:trHeight w:val="118"/>
        </w:trPr>
        <w:tc>
          <w:tcPr>
            <w:tcW w:w="1640" w:type="dxa"/>
            <w:vAlign w:val="bottom"/>
          </w:tcPr>
          <w:p>
            <w:pPr>
              <w:spacing w:after="0"/>
              <w:rPr>
                <w:sz w:val="10"/>
                <w:szCs w:val="10"/>
                <w:color w:val="auto"/>
              </w:rPr>
            </w:pPr>
          </w:p>
        </w:tc>
        <w:tc>
          <w:tcPr>
            <w:tcW w:w="7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5"/>
              </w:rPr>
            </w:pPr>
            <w:hyperlink w:anchor="page122">
              <w:r>
                <w:rPr>
                  <w:rFonts w:ascii="Arial" w:cs="Arial" w:eastAsia="Arial" w:hAnsi="Arial"/>
                  <w:sz w:val="13"/>
                  <w:szCs w:val="13"/>
                  <w:color w:val="0000FF"/>
                  <w:w w:val="95"/>
                </w:rPr>
                <w:t>Section 1350.</w:t>
              </w:r>
            </w:hyperlink>
          </w:p>
        </w:tc>
        <w:tc>
          <w:tcPr>
            <w:tcW w:w="896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1640" w:type="dxa"/>
            <w:vAlign w:val="bottom"/>
          </w:tcPr>
          <w:p>
            <w:pPr>
              <w:jc w:val="center"/>
              <w:ind w:right="409"/>
              <w:spacing w:after="0"/>
              <w:rPr>
                <w:sz w:val="20"/>
                <w:szCs w:val="20"/>
                <w:color w:val="auto"/>
              </w:rPr>
            </w:pPr>
            <w:r>
              <w:rPr>
                <w:rFonts w:ascii="Arial" w:cs="Arial" w:eastAsia="Arial" w:hAnsi="Arial"/>
                <w:sz w:val="14"/>
                <w:szCs w:val="14"/>
                <w:color w:val="auto"/>
                <w:w w:val="97"/>
              </w:rPr>
              <w:t>*101</w:t>
            </w:r>
          </w:p>
        </w:tc>
        <w:tc>
          <w:tcPr>
            <w:tcW w:w="9760" w:type="dxa"/>
            <w:vAlign w:val="bottom"/>
            <w:gridSpan w:val="20"/>
          </w:tcPr>
          <w:p>
            <w:pPr>
              <w:spacing w:after="0"/>
              <w:rPr>
                <w:sz w:val="20"/>
                <w:szCs w:val="20"/>
                <w:color w:val="auto"/>
              </w:rPr>
            </w:pPr>
            <w:r>
              <w:rPr>
                <w:rFonts w:ascii="Arial" w:cs="Arial" w:eastAsia="Arial" w:hAnsi="Arial"/>
                <w:sz w:val="14"/>
                <w:szCs w:val="14"/>
                <w:color w:val="auto"/>
              </w:rPr>
              <w:t>Interactive Data Files.</w:t>
            </w:r>
          </w:p>
        </w:tc>
        <w:tc>
          <w:tcPr>
            <w:tcW w:w="0" w:type="dxa"/>
            <w:vAlign w:val="bottom"/>
          </w:tcPr>
          <w:p>
            <w:pPr>
              <w:spacing w:after="0"/>
              <w:rPr>
                <w:sz w:val="1"/>
                <w:szCs w:val="1"/>
                <w:color w:val="auto"/>
              </w:rPr>
            </w:pPr>
          </w:p>
        </w:tc>
      </w:tr>
      <w:tr>
        <w:trPr>
          <w:trHeight w:val="487"/>
        </w:trPr>
        <w:tc>
          <w:tcPr>
            <w:tcW w:w="1640" w:type="dxa"/>
            <w:vAlign w:val="bottom"/>
          </w:tcPr>
          <w:p>
            <w:pPr>
              <w:spacing w:after="0"/>
              <w:rPr>
                <w:sz w:val="20"/>
                <w:szCs w:val="20"/>
                <w:color w:val="auto"/>
              </w:rPr>
            </w:pPr>
            <w:r>
              <w:rPr>
                <w:rFonts w:ascii="Arial" w:cs="Arial" w:eastAsia="Arial" w:hAnsi="Arial"/>
                <w:sz w:val="14"/>
                <w:szCs w:val="14"/>
                <w:color w:val="auto"/>
              </w:rPr>
              <w:t>__________________</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80" w:hanging="661"/>
        <w:spacing w:after="0"/>
        <w:tabs>
          <w:tab w:leader="none" w:pos="6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14" w:lineRule="exact"/>
        <w:rPr>
          <w:sz w:val="20"/>
          <w:szCs w:val="20"/>
          <w:color w:val="auto"/>
        </w:rPr>
      </w:pPr>
    </w:p>
    <w:p>
      <w:pPr>
        <w:ind w:left="680" w:hanging="661"/>
        <w:spacing w:after="0"/>
        <w:tabs>
          <w:tab w:leader="none" w:pos="6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78" w:lineRule="exact"/>
        <w:rPr>
          <w:sz w:val="20"/>
          <w:szCs w:val="20"/>
          <w:color w:val="auto"/>
        </w:rPr>
      </w:pPr>
    </w:p>
    <w:p>
      <w:pPr>
        <w:ind w:left="680" w:hanging="661"/>
        <w:spacing w:after="0"/>
        <w:tabs>
          <w:tab w:leader="none" w:pos="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14" w:lineRule="exact"/>
        <w:rPr>
          <w:sz w:val="20"/>
          <w:szCs w:val="20"/>
          <w:color w:val="auto"/>
        </w:rPr>
      </w:pPr>
    </w:p>
    <w:p>
      <w:pPr>
        <w:ind w:left="680" w:hanging="661"/>
        <w:spacing w:after="0"/>
        <w:tabs>
          <w:tab w:leader="none" w:pos="6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Portions of this exhibit have been redacted in accordance with Item 601(b)(10) of Regulation S-K.</w:t>
      </w:r>
    </w:p>
    <w:p>
      <w:pPr>
        <w:spacing w:after="0" w:line="200" w:lineRule="exact"/>
        <w:rPr>
          <w:rFonts w:ascii="Arial" w:cs="Arial" w:eastAsia="Arial" w:hAnsi="Arial"/>
          <w:sz w:val="14"/>
          <w:szCs w:val="14"/>
          <w:color w:val="auto"/>
        </w:rPr>
      </w:pPr>
    </w:p>
    <w:p>
      <w:pPr>
        <w:spacing w:after="0" w:line="316"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16.</w:t>
        <w:tab/>
        <w:t>FORM 10-K SUMMARY.</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3"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2165"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7162165" cy="133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March 2, 2021.</w:t>
      </w:r>
    </w:p>
    <w:p>
      <w:pPr>
        <w:spacing w:after="0" w:line="213"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CARRIAGE SERVICES, INC.</w:t>
      </w:r>
    </w:p>
    <w:p>
      <w:pPr>
        <w:spacing w:after="0" w:line="231" w:lineRule="exact"/>
        <w:rPr>
          <w:sz w:val="20"/>
          <w:szCs w:val="20"/>
          <w:color w:val="auto"/>
        </w:rPr>
      </w:pPr>
    </w:p>
    <w:p>
      <w:pPr>
        <w:ind w:left="4240"/>
        <w:spacing w:after="0"/>
        <w:tabs>
          <w:tab w:leader="none" w:pos="7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b w:val="1"/>
          <w:bCs w:val="1"/>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14605</wp:posOffset>
            </wp:positionV>
            <wp:extent cx="418973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4189730" cy="6985"/>
                    </a:xfrm>
                    <a:prstGeom prst="rect">
                      <a:avLst/>
                    </a:prstGeom>
                    <a:noFill/>
                  </pic:spPr>
                </pic:pic>
              </a:graphicData>
            </a:graphic>
          </wp:anchor>
        </w:drawing>
      </w:r>
    </w:p>
    <w:p>
      <w:pPr>
        <w:spacing w:after="0" w:line="2" w:lineRule="exact"/>
        <w:rPr>
          <w:sz w:val="20"/>
          <w:szCs w:val="20"/>
          <w:color w:val="auto"/>
        </w:rPr>
      </w:pPr>
    </w:p>
    <w:p>
      <w:pPr>
        <w:jc w:val="center"/>
        <w:ind w:left="5080"/>
        <w:spacing w:after="0"/>
        <w:rPr>
          <w:sz w:val="20"/>
          <w:szCs w:val="20"/>
          <w:color w:val="auto"/>
        </w:rPr>
      </w:pPr>
      <w:r>
        <w:rPr>
          <w:rFonts w:ascii="Arial" w:cs="Arial" w:eastAsia="Arial" w:hAnsi="Arial"/>
          <w:sz w:val="14"/>
          <w:szCs w:val="14"/>
          <w:b w:val="1"/>
          <w:bCs w:val="1"/>
          <w:color w:val="auto"/>
        </w:rPr>
        <w:t>Melvin C. Payne</w:t>
      </w:r>
    </w:p>
    <w:p>
      <w:pPr>
        <w:jc w:val="center"/>
        <w:ind w:left="5080"/>
        <w:spacing w:after="0"/>
        <w:rPr>
          <w:sz w:val="20"/>
          <w:szCs w:val="20"/>
          <w:color w:val="auto"/>
        </w:rPr>
      </w:pPr>
      <w:r>
        <w:rPr>
          <w:rFonts w:ascii="Arial" w:cs="Arial" w:eastAsia="Arial" w:hAnsi="Arial"/>
          <w:sz w:val="14"/>
          <w:szCs w:val="14"/>
          <w:b w:val="1"/>
          <w:bCs w:val="1"/>
          <w:color w:val="auto"/>
        </w:rPr>
        <w:t>Chief Executive Officer and Chairman of the Board</w:t>
      </w:r>
    </w:p>
    <w:p>
      <w:pPr>
        <w:spacing w:after="0" w:line="18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17" w:lineRule="exact"/>
        <w:rPr>
          <w:sz w:val="20"/>
          <w:szCs w:val="20"/>
          <w:color w:val="auto"/>
        </w:rPr>
      </w:pPr>
    </w:p>
    <w:p>
      <w:pPr>
        <w:ind w:left="1180"/>
        <w:spacing w:after="0"/>
        <w:tabs>
          <w:tab w:leader="none" w:pos="5960" w:val="left"/>
          <w:tab w:leader="none" w:pos="1004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280"/>
          </w:cols>
          <w:pgMar w:left="300" w:top="129" w:right="319" w:bottom="1440" w:gutter="0" w:footer="0" w:header="0"/>
        </w:sect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83578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1835785" cy="69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Melvin C. Payne</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83578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1835785" cy="69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Viki K. Blinderman</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Adeola Olaniyan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183578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1835785" cy="69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Adeola Olaniyan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Donald D. Patteson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183578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1835785" cy="698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Donald D. Patteson Jr.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20"/>
                <w:szCs w:val="20"/>
                <w:color w:val="auto"/>
              </w:rPr>
            </w:pPr>
            <w:r>
              <w:rPr>
                <w:rFonts w:ascii="Arial" w:cs="Arial" w:eastAsia="Arial" w:hAnsi="Arial"/>
                <w:sz w:val="14"/>
                <w:szCs w:val="14"/>
                <w:color w:val="auto"/>
              </w:rPr>
              <w:t>Chief Executive Officer and Chairman of the Board</w:t>
            </w: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rPr>
                <w:sz w:val="20"/>
                <w:szCs w:val="20"/>
                <w:color w:val="auto"/>
              </w:rPr>
            </w:pPr>
            <w:r>
              <w:rPr>
                <w:rFonts w:ascii="Arial" w:cs="Arial" w:eastAsia="Arial" w:hAnsi="Arial"/>
                <w:sz w:val="14"/>
                <w:szCs w:val="14"/>
                <w:color w:val="auto"/>
              </w:rPr>
              <w:t>(Principal Executive Officer)</w:t>
            </w:r>
          </w:p>
        </w:tc>
        <w:tc>
          <w:tcPr>
            <w:tcW w:w="2540" w:type="dxa"/>
            <w:vAlign w:val="bottom"/>
          </w:tcPr>
          <w:p>
            <w:pPr>
              <w:ind w:left="1700"/>
              <w:spacing w:after="0"/>
              <w:rPr>
                <w:sz w:val="20"/>
                <w:szCs w:val="20"/>
                <w:color w:val="auto"/>
              </w:rPr>
            </w:pPr>
            <w:r>
              <w:rPr>
                <w:rFonts w:ascii="Arial" w:cs="Arial" w:eastAsia="Arial" w:hAnsi="Arial"/>
                <w:sz w:val="14"/>
                <w:szCs w:val="14"/>
                <w:color w:val="auto"/>
                <w:w w:val="91"/>
              </w:rPr>
              <w:t>March 2, 2021</w:t>
            </w:r>
          </w:p>
        </w:tc>
        <w:tc>
          <w:tcPr>
            <w:tcW w:w="0" w:type="dxa"/>
            <w:vAlign w:val="bottom"/>
          </w:tcPr>
          <w:p>
            <w:pPr>
              <w:spacing w:after="0"/>
              <w:rPr>
                <w:sz w:val="1"/>
                <w:szCs w:val="1"/>
                <w:color w:val="auto"/>
              </w:rPr>
            </w:pPr>
          </w:p>
        </w:tc>
      </w:tr>
      <w:tr>
        <w:trPr>
          <w:trHeight w:val="402"/>
        </w:trPr>
        <w:tc>
          <w:tcPr>
            <w:tcW w:w="4820" w:type="dxa"/>
            <w:vAlign w:val="bottom"/>
          </w:tcPr>
          <w:p>
            <w:pPr>
              <w:spacing w:after="0"/>
              <w:rPr>
                <w:sz w:val="20"/>
                <w:szCs w:val="20"/>
                <w:color w:val="auto"/>
              </w:rPr>
            </w:pPr>
            <w:r>
              <w:rPr>
                <w:rFonts w:ascii="Arial" w:cs="Arial" w:eastAsia="Arial" w:hAnsi="Arial"/>
                <w:sz w:val="14"/>
                <w:szCs w:val="14"/>
                <w:color w:val="auto"/>
              </w:rPr>
              <w:t>Senior Vice President and Chief Accounting Officer</w:t>
            </w:r>
          </w:p>
        </w:tc>
        <w:tc>
          <w:tcPr>
            <w:tcW w:w="2540" w:type="dxa"/>
            <w:vAlign w:val="bottom"/>
          </w:tcPr>
          <w:p>
            <w:pPr>
              <w:ind w:left="1700"/>
              <w:spacing w:after="0"/>
              <w:rPr>
                <w:sz w:val="20"/>
                <w:szCs w:val="20"/>
                <w:color w:val="auto"/>
              </w:rPr>
            </w:pPr>
            <w:r>
              <w:rPr>
                <w:rFonts w:ascii="Arial" w:cs="Arial" w:eastAsia="Arial" w:hAnsi="Arial"/>
                <w:sz w:val="14"/>
                <w:szCs w:val="14"/>
                <w:color w:val="auto"/>
                <w:w w:val="91"/>
              </w:rPr>
              <w:t>March 2, 2021</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20"/>
                <w:szCs w:val="20"/>
                <w:color w:val="auto"/>
              </w:rPr>
            </w:pPr>
            <w:r>
              <w:rPr>
                <w:rFonts w:ascii="Arial" w:cs="Arial" w:eastAsia="Arial" w:hAnsi="Arial"/>
                <w:sz w:val="14"/>
                <w:szCs w:val="14"/>
                <w:color w:val="auto"/>
              </w:rPr>
              <w:t>(Principal Financial Officer)</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4820" w:type="dxa"/>
            <w:vAlign w:val="bottom"/>
          </w:tcPr>
          <w:p>
            <w:pPr>
              <w:spacing w:after="0"/>
              <w:rPr>
                <w:sz w:val="20"/>
                <w:szCs w:val="20"/>
                <w:color w:val="auto"/>
              </w:rPr>
            </w:pPr>
            <w:r>
              <w:rPr>
                <w:rFonts w:ascii="Arial" w:cs="Arial" w:eastAsia="Arial" w:hAnsi="Arial"/>
                <w:sz w:val="14"/>
                <w:szCs w:val="14"/>
                <w:color w:val="auto"/>
              </w:rPr>
              <w:t>Corporate Controller and Principal Accounting Officer</w:t>
            </w:r>
          </w:p>
        </w:tc>
        <w:tc>
          <w:tcPr>
            <w:tcW w:w="2540" w:type="dxa"/>
            <w:vAlign w:val="bottom"/>
            <w:vMerge w:val="restart"/>
          </w:tcPr>
          <w:p>
            <w:pPr>
              <w:ind w:left="1700"/>
              <w:spacing w:after="0"/>
              <w:rPr>
                <w:sz w:val="20"/>
                <w:szCs w:val="20"/>
                <w:color w:val="auto"/>
              </w:rPr>
            </w:pPr>
            <w:r>
              <w:rPr>
                <w:rFonts w:ascii="Arial" w:cs="Arial" w:eastAsia="Arial" w:hAnsi="Arial"/>
                <w:sz w:val="14"/>
                <w:szCs w:val="14"/>
                <w:color w:val="auto"/>
                <w:w w:val="91"/>
              </w:rPr>
              <w:t>March 2, 2021</w:t>
            </w:r>
          </w:p>
        </w:tc>
        <w:tc>
          <w:tcPr>
            <w:tcW w:w="0" w:type="dxa"/>
            <w:vAlign w:val="bottom"/>
          </w:tcPr>
          <w:p>
            <w:pPr>
              <w:spacing w:after="0"/>
              <w:rPr>
                <w:sz w:val="1"/>
                <w:szCs w:val="1"/>
                <w:color w:val="auto"/>
              </w:rPr>
            </w:pPr>
          </w:p>
        </w:tc>
      </w:tr>
      <w:tr>
        <w:trPr>
          <w:trHeight w:val="64"/>
        </w:trPr>
        <w:tc>
          <w:tcPr>
            <w:tcW w:w="482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2"/>
        </w:trPr>
        <w:tc>
          <w:tcPr>
            <w:tcW w:w="4820" w:type="dxa"/>
            <w:vAlign w:val="bottom"/>
          </w:tcPr>
          <w:p>
            <w:pPr>
              <w:spacing w:after="0"/>
              <w:rPr>
                <w:sz w:val="20"/>
                <w:szCs w:val="20"/>
                <w:color w:val="auto"/>
              </w:rPr>
            </w:pPr>
            <w:r>
              <w:rPr>
                <w:rFonts w:ascii="Arial" w:cs="Arial" w:eastAsia="Arial" w:hAnsi="Arial"/>
                <w:sz w:val="14"/>
                <w:szCs w:val="14"/>
                <w:color w:val="auto"/>
              </w:rPr>
              <w:t>Director</w:t>
            </w:r>
          </w:p>
        </w:tc>
        <w:tc>
          <w:tcPr>
            <w:tcW w:w="2540" w:type="dxa"/>
            <w:vAlign w:val="bottom"/>
          </w:tcPr>
          <w:p>
            <w:pPr>
              <w:ind w:left="1700"/>
              <w:spacing w:after="0"/>
              <w:rPr>
                <w:sz w:val="20"/>
                <w:szCs w:val="20"/>
                <w:color w:val="auto"/>
              </w:rPr>
            </w:pPr>
            <w:r>
              <w:rPr>
                <w:rFonts w:ascii="Arial" w:cs="Arial" w:eastAsia="Arial" w:hAnsi="Arial"/>
                <w:sz w:val="14"/>
                <w:szCs w:val="14"/>
                <w:color w:val="auto"/>
                <w:w w:val="91"/>
              </w:rPr>
              <w:t>March 2, 2021</w:t>
            </w:r>
          </w:p>
        </w:tc>
        <w:tc>
          <w:tcPr>
            <w:tcW w:w="0" w:type="dxa"/>
            <w:vAlign w:val="bottom"/>
          </w:tcPr>
          <w:p>
            <w:pPr>
              <w:spacing w:after="0"/>
              <w:rPr>
                <w:sz w:val="1"/>
                <w:szCs w:val="1"/>
                <w:color w:val="auto"/>
              </w:rPr>
            </w:pPr>
          </w:p>
        </w:tc>
      </w:tr>
    </w:tbl>
    <w:p>
      <w:pPr>
        <w:spacing w:after="0" w:line="356" w:lineRule="exact"/>
        <w:rPr>
          <w:sz w:val="20"/>
          <w:szCs w:val="20"/>
          <w:color w:val="auto"/>
        </w:rPr>
      </w:pPr>
    </w:p>
    <w:p>
      <w:pPr>
        <w:sectPr>
          <w:pgSz w:w="11900" w:h="16838" w:orient="portrait"/>
          <w:cols w:equalWidth="0" w:num="2">
            <w:col w:w="2520" w:space="720"/>
            <w:col w:w="8040"/>
          </w:cols>
          <w:pgMar w:left="300" w:top="129" w:right="31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R. Schenck</w:t>
            </w:r>
          </w:p>
        </w:tc>
        <w:tc>
          <w:tcPr>
            <w:tcW w:w="1720" w:type="dxa"/>
            <w:vAlign w:val="bottom"/>
          </w:tcPr>
          <w:p>
            <w:pPr>
              <w:ind w:left="340"/>
              <w:spacing w:after="0"/>
              <w:rPr>
                <w:sz w:val="20"/>
                <w:szCs w:val="20"/>
                <w:color w:val="auto"/>
              </w:rPr>
            </w:pPr>
            <w:r>
              <w:rPr>
                <w:rFonts w:ascii="Arial" w:cs="Arial" w:eastAsia="Arial" w:hAnsi="Arial"/>
                <w:sz w:val="14"/>
                <w:szCs w:val="14"/>
                <w:color w:val="auto"/>
              </w:rPr>
              <w:t>Director</w:t>
            </w:r>
          </w:p>
        </w:tc>
        <w:tc>
          <w:tcPr>
            <w:tcW w:w="5980" w:type="dxa"/>
            <w:vAlign w:val="bottom"/>
          </w:tcPr>
          <w:p>
            <w:pPr>
              <w:ind w:left="5140"/>
              <w:spacing w:after="0"/>
              <w:rPr>
                <w:sz w:val="20"/>
                <w:szCs w:val="20"/>
                <w:color w:val="auto"/>
              </w:rPr>
            </w:pPr>
            <w:r>
              <w:rPr>
                <w:rFonts w:ascii="Arial" w:cs="Arial" w:eastAsia="Arial" w:hAnsi="Arial"/>
                <w:sz w:val="14"/>
                <w:szCs w:val="14"/>
                <w:color w:val="auto"/>
                <w:w w:val="91"/>
              </w:rPr>
              <w:t>March 2, 2021</w:t>
            </w: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James R. Schenck</w:t>
            </w:r>
          </w:p>
        </w:tc>
        <w:tc>
          <w:tcPr>
            <w:tcW w:w="1720" w:type="dxa"/>
            <w:vAlign w:val="bottom"/>
          </w:tcPr>
          <w:p>
            <w:pPr>
              <w:spacing w:after="0"/>
              <w:rPr>
                <w:sz w:val="15"/>
                <w:szCs w:val="15"/>
                <w:color w:val="auto"/>
              </w:rPr>
            </w:pPr>
          </w:p>
        </w:tc>
        <w:tc>
          <w:tcPr>
            <w:tcW w:w="5980" w:type="dxa"/>
            <w:vAlign w:val="bottom"/>
          </w:tcPr>
          <w:p>
            <w:pPr>
              <w:spacing w:after="0"/>
              <w:rPr>
                <w:sz w:val="15"/>
                <w:szCs w:val="15"/>
                <w:color w:val="auto"/>
              </w:rPr>
            </w:pPr>
          </w:p>
        </w:tc>
      </w:tr>
      <w:tr>
        <w:trPr>
          <w:trHeight w:val="38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Barry K. Fingerhut</w:t>
            </w:r>
          </w:p>
        </w:tc>
        <w:tc>
          <w:tcPr>
            <w:tcW w:w="1720" w:type="dxa"/>
            <w:vAlign w:val="bottom"/>
          </w:tcPr>
          <w:p>
            <w:pPr>
              <w:ind w:left="340"/>
              <w:spacing w:after="0"/>
              <w:rPr>
                <w:sz w:val="20"/>
                <w:szCs w:val="20"/>
                <w:color w:val="auto"/>
              </w:rPr>
            </w:pPr>
            <w:r>
              <w:rPr>
                <w:rFonts w:ascii="Arial" w:cs="Arial" w:eastAsia="Arial" w:hAnsi="Arial"/>
                <w:sz w:val="14"/>
                <w:szCs w:val="14"/>
                <w:color w:val="auto"/>
              </w:rPr>
              <w:t>Director</w:t>
            </w:r>
          </w:p>
        </w:tc>
        <w:tc>
          <w:tcPr>
            <w:tcW w:w="5980" w:type="dxa"/>
            <w:vAlign w:val="bottom"/>
          </w:tcPr>
          <w:p>
            <w:pPr>
              <w:ind w:left="5140"/>
              <w:spacing w:after="0"/>
              <w:rPr>
                <w:sz w:val="20"/>
                <w:szCs w:val="20"/>
                <w:color w:val="auto"/>
              </w:rPr>
            </w:pPr>
            <w:r>
              <w:rPr>
                <w:rFonts w:ascii="Arial" w:cs="Arial" w:eastAsia="Arial" w:hAnsi="Arial"/>
                <w:sz w:val="14"/>
                <w:szCs w:val="14"/>
                <w:color w:val="auto"/>
                <w:w w:val="91"/>
              </w:rPr>
              <w:t>March 2, 2021</w:t>
            </w: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Barry K. Fingerhut</w:t>
            </w:r>
          </w:p>
        </w:tc>
        <w:tc>
          <w:tcPr>
            <w:tcW w:w="1720" w:type="dxa"/>
            <w:vAlign w:val="bottom"/>
          </w:tcPr>
          <w:p>
            <w:pPr>
              <w:spacing w:after="0"/>
              <w:rPr>
                <w:sz w:val="15"/>
                <w:szCs w:val="15"/>
                <w:color w:val="auto"/>
              </w:rPr>
            </w:pPr>
          </w:p>
        </w:tc>
        <w:tc>
          <w:tcPr>
            <w:tcW w:w="5980" w:type="dxa"/>
            <w:vAlign w:val="bottom"/>
          </w:tcPr>
          <w:p>
            <w:pPr>
              <w:spacing w:after="0"/>
              <w:rPr>
                <w:sz w:val="15"/>
                <w:szCs w:val="15"/>
                <w:color w:val="auto"/>
              </w:rPr>
            </w:pPr>
          </w:p>
        </w:tc>
      </w:tr>
      <w:tr>
        <w:trPr>
          <w:trHeight w:val="38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Bryan D. Leibman</w:t>
            </w:r>
          </w:p>
        </w:tc>
        <w:tc>
          <w:tcPr>
            <w:tcW w:w="1720" w:type="dxa"/>
            <w:vAlign w:val="bottom"/>
          </w:tcPr>
          <w:p>
            <w:pPr>
              <w:ind w:left="340"/>
              <w:spacing w:after="0"/>
              <w:rPr>
                <w:sz w:val="20"/>
                <w:szCs w:val="20"/>
                <w:color w:val="auto"/>
              </w:rPr>
            </w:pPr>
            <w:r>
              <w:rPr>
                <w:rFonts w:ascii="Arial" w:cs="Arial" w:eastAsia="Arial" w:hAnsi="Arial"/>
                <w:sz w:val="14"/>
                <w:szCs w:val="14"/>
                <w:color w:val="auto"/>
              </w:rPr>
              <w:t>Director</w:t>
            </w:r>
          </w:p>
        </w:tc>
        <w:tc>
          <w:tcPr>
            <w:tcW w:w="5980" w:type="dxa"/>
            <w:vAlign w:val="bottom"/>
          </w:tcPr>
          <w:p>
            <w:pPr>
              <w:ind w:left="5140"/>
              <w:spacing w:after="0"/>
              <w:rPr>
                <w:sz w:val="20"/>
                <w:szCs w:val="20"/>
                <w:color w:val="auto"/>
              </w:rPr>
            </w:pPr>
            <w:r>
              <w:rPr>
                <w:rFonts w:ascii="Arial" w:cs="Arial" w:eastAsia="Arial" w:hAnsi="Arial"/>
                <w:sz w:val="14"/>
                <w:szCs w:val="14"/>
                <w:color w:val="auto"/>
                <w:w w:val="91"/>
              </w:rPr>
              <w:t>March 2, 2021</w:t>
            </w: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Bryan D. Leibman</w:t>
            </w:r>
          </w:p>
        </w:tc>
        <w:tc>
          <w:tcPr>
            <w:tcW w:w="1720" w:type="dxa"/>
            <w:vAlign w:val="bottom"/>
          </w:tcPr>
          <w:p>
            <w:pPr>
              <w:spacing w:after="0"/>
              <w:rPr>
                <w:sz w:val="15"/>
                <w:szCs w:val="15"/>
                <w:color w:val="auto"/>
              </w:rPr>
            </w:pPr>
          </w:p>
        </w:tc>
        <w:tc>
          <w:tcPr>
            <w:tcW w:w="5980" w:type="dxa"/>
            <w:vAlign w:val="bottom"/>
          </w:tcPr>
          <w:p>
            <w:pPr>
              <w:spacing w:after="0"/>
              <w:rPr>
                <w:sz w:val="15"/>
                <w:szCs w:val="15"/>
                <w:color w:val="auto"/>
              </w:rPr>
            </w:pPr>
          </w:p>
        </w:tc>
      </w:tr>
      <w:tr>
        <w:trPr>
          <w:trHeight w:val="38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Douglas Meehan</w:t>
            </w:r>
          </w:p>
        </w:tc>
        <w:tc>
          <w:tcPr>
            <w:tcW w:w="1720" w:type="dxa"/>
            <w:vAlign w:val="bottom"/>
          </w:tcPr>
          <w:p>
            <w:pPr>
              <w:ind w:left="340"/>
              <w:spacing w:after="0"/>
              <w:rPr>
                <w:sz w:val="20"/>
                <w:szCs w:val="20"/>
                <w:color w:val="auto"/>
              </w:rPr>
            </w:pPr>
            <w:r>
              <w:rPr>
                <w:rFonts w:ascii="Arial" w:cs="Arial" w:eastAsia="Arial" w:hAnsi="Arial"/>
                <w:sz w:val="14"/>
                <w:szCs w:val="14"/>
                <w:color w:val="auto"/>
              </w:rPr>
              <w:t>Director</w:t>
            </w:r>
          </w:p>
        </w:tc>
        <w:tc>
          <w:tcPr>
            <w:tcW w:w="5980" w:type="dxa"/>
            <w:vAlign w:val="bottom"/>
          </w:tcPr>
          <w:p>
            <w:pPr>
              <w:ind w:left="5140"/>
              <w:spacing w:after="0"/>
              <w:rPr>
                <w:sz w:val="20"/>
                <w:szCs w:val="20"/>
                <w:color w:val="auto"/>
              </w:rPr>
            </w:pPr>
            <w:r>
              <w:rPr>
                <w:rFonts w:ascii="Arial" w:cs="Arial" w:eastAsia="Arial" w:hAnsi="Arial"/>
                <w:sz w:val="14"/>
                <w:szCs w:val="14"/>
                <w:color w:val="auto"/>
                <w:w w:val="91"/>
              </w:rPr>
              <w:t>March 2, 2021</w:t>
            </w: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Douglas Meehan</w:t>
            </w:r>
          </w:p>
        </w:tc>
        <w:tc>
          <w:tcPr>
            <w:tcW w:w="1720" w:type="dxa"/>
            <w:vAlign w:val="bottom"/>
          </w:tcPr>
          <w:p>
            <w:pPr>
              <w:spacing w:after="0"/>
              <w:rPr>
                <w:sz w:val="15"/>
                <w:szCs w:val="15"/>
                <w:color w:val="auto"/>
              </w:rPr>
            </w:pPr>
          </w:p>
        </w:tc>
        <w:tc>
          <w:tcPr>
            <w:tcW w:w="5980" w:type="dxa"/>
            <w:vAlign w:val="bottom"/>
          </w:tcPr>
          <w:p>
            <w:pPr>
              <w:spacing w:after="0"/>
              <w:rPr>
                <w:sz w:val="15"/>
                <w:szCs w:val="15"/>
                <w:color w:val="auto"/>
              </w:rPr>
            </w:pPr>
          </w:p>
        </w:tc>
      </w:tr>
      <w:tr>
        <w:trPr>
          <w:trHeight w:val="388"/>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Achille Messac</w:t>
            </w:r>
          </w:p>
        </w:tc>
        <w:tc>
          <w:tcPr>
            <w:tcW w:w="1720" w:type="dxa"/>
            <w:vAlign w:val="bottom"/>
          </w:tcPr>
          <w:p>
            <w:pPr>
              <w:ind w:left="340"/>
              <w:spacing w:after="0"/>
              <w:rPr>
                <w:sz w:val="20"/>
                <w:szCs w:val="20"/>
                <w:color w:val="auto"/>
              </w:rPr>
            </w:pPr>
            <w:r>
              <w:rPr>
                <w:rFonts w:ascii="Arial" w:cs="Arial" w:eastAsia="Arial" w:hAnsi="Arial"/>
                <w:sz w:val="14"/>
                <w:szCs w:val="14"/>
                <w:color w:val="auto"/>
              </w:rPr>
              <w:t>Director</w:t>
            </w:r>
          </w:p>
        </w:tc>
        <w:tc>
          <w:tcPr>
            <w:tcW w:w="5980" w:type="dxa"/>
            <w:vAlign w:val="bottom"/>
          </w:tcPr>
          <w:p>
            <w:pPr>
              <w:ind w:left="5140"/>
              <w:spacing w:after="0"/>
              <w:rPr>
                <w:sz w:val="20"/>
                <w:szCs w:val="20"/>
                <w:color w:val="auto"/>
              </w:rPr>
            </w:pPr>
            <w:r>
              <w:rPr>
                <w:rFonts w:ascii="Arial" w:cs="Arial" w:eastAsia="Arial" w:hAnsi="Arial"/>
                <w:sz w:val="14"/>
                <w:szCs w:val="14"/>
                <w:color w:val="auto"/>
                <w:w w:val="91"/>
              </w:rPr>
              <w:t>March 2, 2021</w:t>
            </w:r>
          </w:p>
        </w:tc>
      </w:tr>
      <w:tr>
        <w:trPr>
          <w:trHeight w:val="17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Achille Messac</w:t>
            </w:r>
          </w:p>
        </w:tc>
        <w:tc>
          <w:tcPr>
            <w:tcW w:w="1720" w:type="dxa"/>
            <w:vAlign w:val="bottom"/>
          </w:tcPr>
          <w:p>
            <w:pPr>
              <w:spacing w:after="0"/>
              <w:rPr>
                <w:sz w:val="15"/>
                <w:szCs w:val="15"/>
                <w:color w:val="auto"/>
              </w:rPr>
            </w:pPr>
          </w:p>
        </w:tc>
        <w:tc>
          <w:tcPr>
            <w:tcW w:w="5980" w:type="dxa"/>
            <w:vAlign w:val="bottom"/>
          </w:tcPr>
          <w:p>
            <w:pPr>
              <w:spacing w:after="0"/>
              <w:rPr>
                <w:sz w:val="15"/>
                <w:szCs w:val="15"/>
                <w:color w:val="auto"/>
              </w:rPr>
            </w:pPr>
          </w:p>
        </w:tc>
      </w:tr>
      <w:tr>
        <w:trPr>
          <w:trHeight w:val="864"/>
        </w:trPr>
        <w:tc>
          <w:tcPr>
            <w:tcW w:w="2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920"/>
              <w:spacing w:after="0"/>
              <w:rPr>
                <w:sz w:val="20"/>
                <w:szCs w:val="20"/>
                <w:color w:val="auto"/>
              </w:rPr>
            </w:pPr>
            <w:r>
              <w:rPr>
                <w:rFonts w:ascii="Arial" w:cs="Arial" w:eastAsia="Arial" w:hAnsi="Arial"/>
                <w:sz w:val="14"/>
                <w:szCs w:val="14"/>
                <w:color w:val="auto"/>
              </w:rPr>
              <w:t>108</w:t>
            </w:r>
          </w:p>
        </w:tc>
      </w:tr>
    </w:tbl>
    <w:p>
      <w:pPr>
        <w:sectPr>
          <w:pgSz w:w="11900" w:h="16838" w:orient="portrait"/>
          <w:cols w:equalWidth="0" w:num="1">
            <w:col w:w="11280"/>
          </w:cols>
          <w:pgMar w:left="300" w:top="129" w:right="319" w:bottom="1440" w:gutter="0" w:footer="0" w:header="0"/>
          <w:type w:val="continuous"/>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304165</wp:posOffset>
            </wp:positionV>
            <wp:extent cx="7106285" cy="93167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7106285"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16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5">
                      <a:extLst>
                        <a:ext uri="{28A0092B-C50C-407E-A947-70E740481C1C}"/>
                      </a:extLst>
                    </a:blip>
                    <a:srcRect/>
                    <a:stretch>
                      <a:fillRect/>
                    </a:stretch>
                  </pic:blipFill>
                  <pic:spPr bwMode="auto">
                    <a:xfrm>
                      <a:off x="0" y="0"/>
                      <a:ext cx="7106285"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16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6">
                      <a:extLst>
                        <a:ext uri="{28A0092B-C50C-407E-A947-70E740481C1C}"/>
                      </a:extLst>
                    </a:blip>
                    <a:srcRect/>
                    <a:stretch>
                      <a:fillRect/>
                    </a:stretch>
                  </pic:blipFill>
                  <pic:spPr bwMode="auto">
                    <a:xfrm>
                      <a:off x="0" y="0"/>
                      <a:ext cx="7106285"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23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7">
                      <a:extLst>
                        <a:ext uri="{28A0092B-C50C-407E-A947-70E740481C1C}"/>
                      </a:extLst>
                    </a:blip>
                    <a:srcRect/>
                    <a:stretch>
                      <a:fillRect/>
                    </a:stretch>
                  </pic:blipFill>
                  <pic:spPr bwMode="auto">
                    <a:xfrm>
                      <a:off x="0" y="0"/>
                      <a:ext cx="7106285" cy="932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6285" cy="9323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8">
                      <a:extLst>
                        <a:ext uri="{28A0092B-C50C-407E-A947-70E740481C1C}"/>
                      </a:extLst>
                    </a:blip>
                    <a:srcRect/>
                    <a:stretch>
                      <a:fillRect/>
                    </a:stretch>
                  </pic:blipFill>
                  <pic:spPr bwMode="auto">
                    <a:xfrm>
                      <a:off x="0" y="0"/>
                      <a:ext cx="7106285" cy="9323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6285" cy="93167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9">
                      <a:extLst>
                        <a:ext uri="{28A0092B-C50C-407E-A947-70E740481C1C}"/>
                      </a:extLst>
                    </a:blip>
                    <a:srcRect/>
                    <a:stretch>
                      <a:fillRect/>
                    </a:stretch>
                  </pic:blipFill>
                  <pic:spPr bwMode="auto">
                    <a:xfrm>
                      <a:off x="0" y="0"/>
                      <a:ext cx="7106285"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21.1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5"/>
                <w:szCs w:val="15"/>
                <w:color w:val="auto"/>
              </w:rPr>
            </w:pPr>
          </w:p>
        </w:tc>
        <w:tc>
          <w:tcPr>
            <w:tcW w:w="6280" w:type="dxa"/>
            <w:vAlign w:val="bottom"/>
          </w:tcPr>
          <w:p>
            <w:pPr>
              <w:jc w:val="center"/>
              <w:ind w:right="2456"/>
              <w:spacing w:after="0"/>
              <w:rPr>
                <w:sz w:val="20"/>
                <w:szCs w:val="20"/>
                <w:color w:val="auto"/>
              </w:rPr>
            </w:pPr>
            <w:r>
              <w:rPr>
                <w:rFonts w:ascii="Arial" w:cs="Arial" w:eastAsia="Arial" w:hAnsi="Arial"/>
                <w:sz w:val="14"/>
                <w:szCs w:val="14"/>
                <w:b w:val="1"/>
                <w:bCs w:val="1"/>
                <w:color w:val="auto"/>
              </w:rPr>
              <w:t>CARRIAGE SERVICES, INC.</w:t>
            </w:r>
          </w:p>
        </w:tc>
      </w:tr>
      <w:tr>
        <w:trPr>
          <w:trHeight w:val="297"/>
        </w:trPr>
        <w:tc>
          <w:tcPr>
            <w:tcW w:w="3740" w:type="dxa"/>
            <w:vAlign w:val="bottom"/>
          </w:tcPr>
          <w:p>
            <w:pPr>
              <w:spacing w:after="0"/>
              <w:rPr>
                <w:sz w:val="24"/>
                <w:szCs w:val="24"/>
                <w:color w:val="auto"/>
              </w:rPr>
            </w:pPr>
          </w:p>
        </w:tc>
        <w:tc>
          <w:tcPr>
            <w:tcW w:w="6280" w:type="dxa"/>
            <w:vAlign w:val="bottom"/>
          </w:tcPr>
          <w:p>
            <w:pPr>
              <w:jc w:val="center"/>
              <w:ind w:right="2436"/>
              <w:spacing w:after="0"/>
              <w:rPr>
                <w:sz w:val="20"/>
                <w:szCs w:val="20"/>
                <w:color w:val="auto"/>
              </w:rPr>
            </w:pPr>
            <w:r>
              <w:rPr>
                <w:rFonts w:ascii="Arial" w:cs="Arial" w:eastAsia="Arial" w:hAnsi="Arial"/>
                <w:sz w:val="14"/>
                <w:szCs w:val="14"/>
                <w:b w:val="1"/>
                <w:bCs w:val="1"/>
                <w:color w:val="auto"/>
                <w:w w:val="97"/>
              </w:rPr>
              <w:t>SUBSIDIARIES AS OF DECEMBER 31, 2020</w:t>
            </w:r>
          </w:p>
        </w:tc>
      </w:tr>
      <w:tr>
        <w:trPr>
          <w:trHeight w:val="229"/>
        </w:trPr>
        <w:tc>
          <w:tcPr>
            <w:tcW w:w="3740" w:type="dxa"/>
            <w:vAlign w:val="bottom"/>
          </w:tcPr>
          <w:p>
            <w:pPr>
              <w:ind w:left="2860"/>
              <w:spacing w:after="0"/>
              <w:rPr>
                <w:sz w:val="20"/>
                <w:szCs w:val="20"/>
                <w:color w:val="auto"/>
              </w:rPr>
            </w:pPr>
            <w:r>
              <w:rPr>
                <w:rFonts w:ascii="Arial" w:cs="Arial" w:eastAsia="Arial" w:hAnsi="Arial"/>
                <w:sz w:val="13"/>
                <w:szCs w:val="13"/>
                <w:b w:val="1"/>
                <w:bCs w:val="1"/>
                <w:color w:val="auto"/>
              </w:rPr>
              <w:t>NAME</w:t>
            </w:r>
          </w:p>
        </w:tc>
        <w:tc>
          <w:tcPr>
            <w:tcW w:w="6280" w:type="dxa"/>
            <w:vAlign w:val="bottom"/>
          </w:tcPr>
          <w:p>
            <w:pPr>
              <w:jc w:val="center"/>
              <w:ind w:left="3956"/>
              <w:spacing w:after="0"/>
              <w:rPr>
                <w:sz w:val="20"/>
                <w:szCs w:val="20"/>
                <w:color w:val="auto"/>
              </w:rPr>
            </w:pPr>
            <w:r>
              <w:rPr>
                <w:rFonts w:ascii="Arial" w:cs="Arial" w:eastAsia="Arial" w:hAnsi="Arial"/>
                <w:sz w:val="13"/>
                <w:szCs w:val="13"/>
                <w:b w:val="1"/>
                <w:bCs w:val="1"/>
                <w:color w:val="auto"/>
                <w:w w:val="99"/>
              </w:rPr>
              <w:t>JURISDICTION OF INCORPORATION</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Funeral Holdings,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CFS Funeral Services,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Holding Company,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Funeral Services of Michigan,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6"/>
              </w:rPr>
              <w:t>Michigan</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Funeral Services of Kentucky,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3"/>
              </w:rPr>
              <w:t>Kentucky</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Funeral Services of California,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California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Cemetery Services of Idaho,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2"/>
              </w:rPr>
              <w:t>Idaho</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Wilson &amp; Kratzer Mortuaries</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California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Rolling Hills Memorial Park</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California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Connecticut,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Connecticut</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CSI Funeral Services of Massachusetts,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5"/>
              </w:rPr>
              <w:t>Massachusetts</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CHC Insurance Agency of Ohio,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4"/>
              </w:rPr>
              <w:t>Ohio</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New Mexico,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3"/>
              </w:rPr>
              <w:t>New Mexico</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Forastiere Family Funeral Service,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5"/>
              </w:rPr>
              <w:t>Massachusetts</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Cemetery Services,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4"/>
              </w:rPr>
              <w:t>Texas</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Oklahoma,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1"/>
              </w:rPr>
              <w:t>Oklahoma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Nevada,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4"/>
              </w:rPr>
              <w:t>Nevada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Hubbard Funeral Home,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3"/>
              </w:rPr>
              <w:t>Maryland</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Team California (Cemetery),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Team California (Funeral),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Team Florida (Cemetery),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Team Florida (Funeral),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Ohio,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Team Kansas,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Municipal Cemetery Services of Nevada,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4"/>
              </w:rPr>
              <w:t>Nevada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Cemetery Services of California,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California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Insurance Agency of Massachusetts,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5"/>
              </w:rPr>
              <w:t>Massachusetts</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Internet Strategies,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Management,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Cochrane’s Chapel of the Roses,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California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Horizon Cremation Society,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California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Life Events,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Pennsylvania Holdings,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Funeral Management,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Florida Holdings,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Cloverdale Park,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2"/>
              </w:rPr>
              <w:t>Idaho</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Cataudella Funeral Home,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5"/>
              </w:rPr>
              <w:t>Massachusetts</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Investment Advisors,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Merger VI,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CSRE Holdings,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PNCA,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Operations,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Tennessee,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0"/>
              </w:rPr>
              <w:t>Delaware</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Carriage Services of Louisiana,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89"/>
              </w:rPr>
              <w:t>Louisiana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Calvary Memorial Park, Inc.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6"/>
              </w:rPr>
              <w:t>Virginia</w:t>
            </w:r>
          </w:p>
        </w:tc>
      </w:tr>
      <w:tr>
        <w:trPr>
          <w:trHeight w:val="169"/>
        </w:trPr>
        <w:tc>
          <w:tcPr>
            <w:tcW w:w="3740" w:type="dxa"/>
            <w:vAlign w:val="bottom"/>
          </w:tcPr>
          <w:p>
            <w:pPr>
              <w:spacing w:after="0"/>
              <w:rPr>
                <w:sz w:val="20"/>
                <w:szCs w:val="20"/>
                <w:color w:val="auto"/>
              </w:rPr>
            </w:pPr>
            <w:r>
              <w:rPr>
                <w:rFonts w:ascii="Arial" w:cs="Arial" w:eastAsia="Arial" w:hAnsi="Arial"/>
                <w:sz w:val="13"/>
                <w:szCs w:val="13"/>
                <w:color w:val="auto"/>
              </w:rPr>
              <w:t>Fairfax Memorial Funeral Home, LLC</w:t>
            </w:r>
          </w:p>
        </w:tc>
        <w:tc>
          <w:tcPr>
            <w:tcW w:w="6280" w:type="dxa"/>
            <w:vAlign w:val="bottom"/>
          </w:tcPr>
          <w:p>
            <w:pPr>
              <w:jc w:val="center"/>
              <w:ind w:left="3956"/>
              <w:spacing w:after="0"/>
              <w:rPr>
                <w:sz w:val="20"/>
                <w:szCs w:val="20"/>
                <w:color w:val="auto"/>
              </w:rPr>
            </w:pPr>
            <w:r>
              <w:rPr>
                <w:rFonts w:ascii="Arial" w:cs="Arial" w:eastAsia="Arial" w:hAnsi="Arial"/>
                <w:sz w:val="13"/>
                <w:szCs w:val="13"/>
                <w:color w:val="auto"/>
                <w:w w:val="96"/>
              </w:rPr>
              <w:t>Virginia</w:t>
            </w:r>
          </w:p>
        </w:tc>
      </w:tr>
    </w:tbl>
    <w:p>
      <w:pPr>
        <w:sectPr>
          <w:pgSz w:w="11900" w:h="16838" w:orient="portrait"/>
          <w:cols w:equalWidth="0" w:num="1">
            <w:col w:w="11260"/>
          </w:cols>
          <w:pgMar w:left="320" w:top="728"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EXHIBIT 23.1</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have issued our reports dated March 2, 2021, with respect to the consolidated financial statements and internal control over financial reporting included in the Annual Report of Carriage Services, Inc. on Form10-K for the year ended December 31, 2020. We consent to the incorporation by reference of said reports in the Registration Statements of Carriage Services, Inc. on Form S-3 (File No. 333-238862) and on Forms S-8 (File No. 333-136313, File No. 333-162408, File No. 333-166912, File No. 333-181724, File No. 333-218115 and File No. 333-225142).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/s/GRANT THORNTON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March 2, 2021</w:t>
      </w:r>
    </w:p>
    <w:p>
      <w:pPr>
        <w:sectPr>
          <w:pgSz w:w="11900" w:h="16838" w:orient="portrait"/>
          <w:cols w:equalWidth="0" w:num="1">
            <w:col w:w="11280"/>
          </w:cols>
          <w:pgMar w:left="300" w:top="728" w:right="3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auto"/>
        </w:rPr>
        <w:t>EXHIBIT 31.1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I, Melvin C. Payne, certify that:</w:t>
      </w:r>
    </w:p>
    <w:p>
      <w:pPr>
        <w:spacing w:after="0" w:line="72" w:lineRule="exact"/>
        <w:rPr>
          <w:sz w:val="20"/>
          <w:szCs w:val="20"/>
          <w:color w:val="auto"/>
        </w:rPr>
      </w:pPr>
    </w:p>
    <w:p>
      <w:pPr>
        <w:ind w:left="960" w:hanging="510"/>
        <w:spacing w:after="0"/>
        <w:tabs>
          <w:tab w:leader="none" w:pos="9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Carriage Services, Inc. (the “registrant”);</w:t>
      </w:r>
    </w:p>
    <w:p>
      <w:pPr>
        <w:spacing w:after="0" w:line="71" w:lineRule="exact"/>
        <w:rPr>
          <w:rFonts w:ascii="Arial" w:cs="Arial" w:eastAsia="Arial" w:hAnsi="Arial"/>
          <w:sz w:val="14"/>
          <w:szCs w:val="14"/>
          <w:color w:val="auto"/>
        </w:rPr>
      </w:pPr>
    </w:p>
    <w:p>
      <w:pPr>
        <w:ind w:left="960" w:hanging="510"/>
        <w:spacing w:after="0" w:line="280" w:lineRule="auto"/>
        <w:tabs>
          <w:tab w:leader="none" w:pos="9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Arial" w:cs="Arial" w:eastAsia="Arial" w:hAnsi="Arial"/>
          <w:sz w:val="14"/>
          <w:szCs w:val="14"/>
          <w:color w:val="auto"/>
        </w:rPr>
      </w:pPr>
    </w:p>
    <w:p>
      <w:pPr>
        <w:ind w:left="960" w:hanging="510"/>
        <w:spacing w:after="0" w:line="280" w:lineRule="auto"/>
        <w:tabs>
          <w:tab w:leader="none" w:pos="9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4"/>
          <w:szCs w:val="14"/>
          <w:color w:val="auto"/>
        </w:rPr>
      </w:pPr>
    </w:p>
    <w:p>
      <w:pPr>
        <w:ind w:left="960" w:hanging="510"/>
        <w:spacing w:after="0"/>
        <w:tabs>
          <w:tab w:leader="none" w:pos="9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w:t>
      </w:r>
    </w:p>
    <w:p>
      <w:pPr>
        <w:spacing w:after="0" w:line="41"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61" w:lineRule="exact"/>
        <w:rPr>
          <w:rFonts w:ascii="Arial" w:cs="Arial" w:eastAsia="Arial" w:hAnsi="Arial"/>
          <w:sz w:val="12"/>
          <w:szCs w:val="12"/>
          <w:color w:val="auto"/>
        </w:rPr>
      </w:pPr>
    </w:p>
    <w:p>
      <w:pPr>
        <w:jc w:val="both"/>
        <w:ind w:left="1980" w:hanging="387"/>
        <w:spacing w:after="0" w:line="266" w:lineRule="auto"/>
        <w:tabs>
          <w:tab w:leader="none" w:pos="1972" w:val="left"/>
        </w:tabs>
        <w:numPr>
          <w:ilvl w:val="1"/>
          <w:numId w:val="4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4"/>
          <w:szCs w:val="14"/>
          <w:color w:val="auto"/>
        </w:rPr>
      </w:pPr>
    </w:p>
    <w:p>
      <w:pPr>
        <w:jc w:val="both"/>
        <w:ind w:left="1980" w:hanging="387"/>
        <w:spacing w:after="0" w:line="266" w:lineRule="auto"/>
        <w:tabs>
          <w:tab w:leader="none" w:pos="19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4"/>
          <w:szCs w:val="14"/>
          <w:color w:val="auto"/>
        </w:rPr>
      </w:pPr>
    </w:p>
    <w:p>
      <w:pPr>
        <w:ind w:left="1980" w:hanging="387"/>
        <w:spacing w:after="0" w:line="280" w:lineRule="auto"/>
        <w:tabs>
          <w:tab w:leader="none" w:pos="1972" w:val="left"/>
        </w:tabs>
        <w:numPr>
          <w:ilvl w:val="1"/>
          <w:numId w:val="4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4"/>
          <w:szCs w:val="14"/>
          <w:color w:val="auto"/>
        </w:rPr>
      </w:pPr>
    </w:p>
    <w:p>
      <w:pPr>
        <w:jc w:val="both"/>
        <w:ind w:left="1980" w:hanging="387"/>
        <w:spacing w:after="0" w:line="266" w:lineRule="auto"/>
        <w:tabs>
          <w:tab w:leader="none" w:pos="19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4"/>
          <w:szCs w:val="14"/>
          <w:color w:val="auto"/>
        </w:rPr>
      </w:pPr>
    </w:p>
    <w:p>
      <w:pPr>
        <w:ind w:left="960" w:hanging="510"/>
        <w:spacing w:after="0" w:line="280" w:lineRule="auto"/>
        <w:tabs>
          <w:tab w:leader="none" w:pos="9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4"/>
          <w:szCs w:val="14"/>
          <w:color w:val="auto"/>
        </w:rPr>
      </w:pPr>
    </w:p>
    <w:p>
      <w:pPr>
        <w:ind w:left="1980" w:hanging="387"/>
        <w:spacing w:after="0" w:line="280" w:lineRule="auto"/>
        <w:tabs>
          <w:tab w:leader="none" w:pos="1972" w:val="left"/>
        </w:tabs>
        <w:numPr>
          <w:ilvl w:val="1"/>
          <w:numId w:val="4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4"/>
          <w:szCs w:val="14"/>
          <w:color w:val="auto"/>
        </w:rPr>
      </w:pPr>
    </w:p>
    <w:p>
      <w:pPr>
        <w:ind w:left="1980" w:hanging="387"/>
        <w:spacing w:after="0" w:line="280" w:lineRule="auto"/>
        <w:tabs>
          <w:tab w:leader="none" w:pos="19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560" w:type="dxa"/>
            <w:vAlign w:val="bottom"/>
          </w:tcPr>
          <w:p>
            <w:pPr>
              <w:spacing w:after="0"/>
              <w:rPr>
                <w:sz w:val="20"/>
                <w:szCs w:val="20"/>
                <w:color w:val="auto"/>
              </w:rPr>
            </w:pPr>
            <w:r>
              <w:rPr>
                <w:rFonts w:ascii="Arial" w:cs="Arial" w:eastAsia="Arial" w:hAnsi="Arial"/>
                <w:sz w:val="14"/>
                <w:szCs w:val="14"/>
                <w:color w:val="auto"/>
              </w:rPr>
              <w:t>Dated:</w:t>
            </w:r>
          </w:p>
        </w:tc>
        <w:tc>
          <w:tcPr>
            <w:tcW w:w="5100" w:type="dxa"/>
            <w:vAlign w:val="bottom"/>
          </w:tcPr>
          <w:p>
            <w:pPr>
              <w:ind w:left="160"/>
              <w:spacing w:after="0"/>
              <w:rPr>
                <w:sz w:val="20"/>
                <w:szCs w:val="20"/>
                <w:color w:val="auto"/>
              </w:rPr>
            </w:pPr>
            <w:r>
              <w:rPr>
                <w:rFonts w:ascii="Arial" w:cs="Arial" w:eastAsia="Arial" w:hAnsi="Arial"/>
                <w:sz w:val="14"/>
                <w:szCs w:val="14"/>
                <w:color w:val="auto"/>
              </w:rPr>
              <w:t>March 2,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Melvin C. Payne</w:t>
            </w:r>
          </w:p>
        </w:tc>
      </w:tr>
      <w:tr>
        <w:trPr>
          <w:trHeight w:val="171"/>
        </w:trPr>
        <w:tc>
          <w:tcPr>
            <w:tcW w:w="5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000" w:type="dxa"/>
            <w:vAlign w:val="bottom"/>
          </w:tcPr>
          <w:p>
            <w:pPr>
              <w:ind w:left="20"/>
              <w:spacing w:after="0"/>
              <w:rPr>
                <w:sz w:val="20"/>
                <w:szCs w:val="20"/>
                <w:color w:val="auto"/>
              </w:rPr>
            </w:pPr>
            <w:r>
              <w:rPr>
                <w:rFonts w:ascii="Arial" w:cs="Arial" w:eastAsia="Arial" w:hAnsi="Arial"/>
                <w:sz w:val="14"/>
                <w:szCs w:val="14"/>
                <w:color w:val="auto"/>
              </w:rPr>
              <w:t>Melvin C. Payne</w:t>
            </w:r>
          </w:p>
        </w:tc>
      </w:tr>
      <w:tr>
        <w:trPr>
          <w:trHeight w:val="180"/>
        </w:trPr>
        <w:tc>
          <w:tcPr>
            <w:tcW w:w="5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000" w:type="dxa"/>
            <w:vAlign w:val="bottom"/>
          </w:tcPr>
          <w:p>
            <w:pPr>
              <w:ind w:left="20"/>
              <w:spacing w:after="0"/>
              <w:rPr>
                <w:sz w:val="20"/>
                <w:szCs w:val="20"/>
                <w:color w:val="auto"/>
              </w:rPr>
            </w:pPr>
            <w:r>
              <w:rPr>
                <w:rFonts w:ascii="Arial" w:cs="Arial" w:eastAsia="Arial" w:hAnsi="Arial"/>
                <w:sz w:val="14"/>
                <w:szCs w:val="14"/>
                <w:color w:val="auto"/>
              </w:rPr>
              <w:t>Chief Executive Officer and Chairman of the Board</w:t>
            </w:r>
          </w:p>
        </w:tc>
      </w:tr>
      <w:tr>
        <w:trPr>
          <w:trHeight w:val="180"/>
        </w:trPr>
        <w:tc>
          <w:tcPr>
            <w:tcW w:w="5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00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28" w:right="3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EXHIBIT 31.2</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I, Viki K. Blinderman, certify that:</w:t>
      </w:r>
    </w:p>
    <w:p>
      <w:pPr>
        <w:spacing w:after="0" w:line="72" w:lineRule="exact"/>
        <w:rPr>
          <w:sz w:val="20"/>
          <w:szCs w:val="20"/>
          <w:color w:val="auto"/>
        </w:rPr>
      </w:pPr>
    </w:p>
    <w:p>
      <w:pPr>
        <w:ind w:left="960" w:hanging="510"/>
        <w:spacing w:after="0"/>
        <w:tabs>
          <w:tab w:leader="none" w:pos="9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Carriage Services, Inc. (the “registrant”);</w:t>
      </w:r>
    </w:p>
    <w:p>
      <w:pPr>
        <w:spacing w:after="0" w:line="71" w:lineRule="exact"/>
        <w:rPr>
          <w:rFonts w:ascii="Arial" w:cs="Arial" w:eastAsia="Arial" w:hAnsi="Arial"/>
          <w:sz w:val="14"/>
          <w:szCs w:val="14"/>
          <w:color w:val="auto"/>
        </w:rPr>
      </w:pPr>
    </w:p>
    <w:p>
      <w:pPr>
        <w:ind w:left="960" w:hanging="510"/>
        <w:spacing w:after="0" w:line="280" w:lineRule="auto"/>
        <w:tabs>
          <w:tab w:leader="none" w:pos="9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Arial" w:cs="Arial" w:eastAsia="Arial" w:hAnsi="Arial"/>
          <w:sz w:val="14"/>
          <w:szCs w:val="14"/>
          <w:color w:val="auto"/>
        </w:rPr>
      </w:pPr>
    </w:p>
    <w:p>
      <w:pPr>
        <w:ind w:left="960" w:hanging="510"/>
        <w:spacing w:after="0" w:line="280" w:lineRule="auto"/>
        <w:tabs>
          <w:tab w:leader="none" w:pos="9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4"/>
          <w:szCs w:val="14"/>
          <w:color w:val="auto"/>
        </w:rPr>
      </w:pPr>
    </w:p>
    <w:p>
      <w:pPr>
        <w:ind w:left="960" w:hanging="510"/>
        <w:spacing w:after="0"/>
        <w:tabs>
          <w:tab w:leader="none" w:pos="9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w:t>
      </w:r>
    </w:p>
    <w:p>
      <w:pPr>
        <w:spacing w:after="0" w:line="41"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61" w:lineRule="exact"/>
        <w:rPr>
          <w:rFonts w:ascii="Arial" w:cs="Arial" w:eastAsia="Arial" w:hAnsi="Arial"/>
          <w:sz w:val="12"/>
          <w:szCs w:val="12"/>
          <w:color w:val="auto"/>
        </w:rPr>
      </w:pPr>
    </w:p>
    <w:p>
      <w:pPr>
        <w:jc w:val="both"/>
        <w:ind w:left="1980" w:hanging="387"/>
        <w:spacing w:after="0" w:line="266" w:lineRule="auto"/>
        <w:tabs>
          <w:tab w:leader="none" w:pos="1972" w:val="left"/>
        </w:tabs>
        <w:numPr>
          <w:ilvl w:val="1"/>
          <w:numId w:val="4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4"/>
          <w:szCs w:val="14"/>
          <w:color w:val="auto"/>
        </w:rPr>
      </w:pPr>
    </w:p>
    <w:p>
      <w:pPr>
        <w:jc w:val="both"/>
        <w:ind w:left="1980" w:hanging="387"/>
        <w:spacing w:after="0" w:line="266" w:lineRule="auto"/>
        <w:tabs>
          <w:tab w:leader="none" w:pos="19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4"/>
          <w:szCs w:val="14"/>
          <w:color w:val="auto"/>
        </w:rPr>
      </w:pPr>
    </w:p>
    <w:p>
      <w:pPr>
        <w:ind w:left="1980" w:hanging="387"/>
        <w:spacing w:after="0" w:line="280" w:lineRule="auto"/>
        <w:tabs>
          <w:tab w:leader="none" w:pos="1972" w:val="left"/>
        </w:tabs>
        <w:numPr>
          <w:ilvl w:val="1"/>
          <w:numId w:val="4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4"/>
          <w:szCs w:val="14"/>
          <w:color w:val="auto"/>
        </w:rPr>
      </w:pPr>
    </w:p>
    <w:p>
      <w:pPr>
        <w:jc w:val="both"/>
        <w:ind w:left="1980" w:hanging="387"/>
        <w:spacing w:after="0" w:line="266" w:lineRule="auto"/>
        <w:tabs>
          <w:tab w:leader="none" w:pos="19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4"/>
          <w:szCs w:val="14"/>
          <w:color w:val="auto"/>
        </w:rPr>
      </w:pPr>
    </w:p>
    <w:p>
      <w:pPr>
        <w:ind w:left="960" w:hanging="510"/>
        <w:spacing w:after="0" w:line="280" w:lineRule="auto"/>
        <w:tabs>
          <w:tab w:leader="none" w:pos="9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4"/>
          <w:szCs w:val="14"/>
          <w:color w:val="auto"/>
        </w:rPr>
      </w:pPr>
    </w:p>
    <w:p>
      <w:pPr>
        <w:ind w:left="1980" w:hanging="387"/>
        <w:spacing w:after="0" w:line="280" w:lineRule="auto"/>
        <w:tabs>
          <w:tab w:leader="none" w:pos="1972" w:val="left"/>
        </w:tabs>
        <w:numPr>
          <w:ilvl w:val="1"/>
          <w:numId w:val="4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4"/>
          <w:szCs w:val="14"/>
          <w:color w:val="auto"/>
        </w:rPr>
      </w:pPr>
    </w:p>
    <w:p>
      <w:pPr>
        <w:ind w:left="1980" w:hanging="387"/>
        <w:spacing w:after="0" w:line="280" w:lineRule="auto"/>
        <w:tabs>
          <w:tab w:leader="none" w:pos="19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00" w:type="dxa"/>
            <w:vAlign w:val="bottom"/>
          </w:tcPr>
          <w:p>
            <w:pPr>
              <w:spacing w:after="0"/>
              <w:rPr>
                <w:sz w:val="20"/>
                <w:szCs w:val="20"/>
                <w:color w:val="auto"/>
              </w:rPr>
            </w:pPr>
            <w:r>
              <w:rPr>
                <w:rFonts w:ascii="Arial" w:cs="Arial" w:eastAsia="Arial" w:hAnsi="Arial"/>
                <w:sz w:val="14"/>
                <w:szCs w:val="14"/>
                <w:color w:val="auto"/>
              </w:rPr>
              <w:t>Dated:</w:t>
            </w:r>
          </w:p>
        </w:tc>
        <w:tc>
          <w:tcPr>
            <w:tcW w:w="4600" w:type="dxa"/>
            <w:vAlign w:val="bottom"/>
          </w:tcPr>
          <w:p>
            <w:pPr>
              <w:ind w:left="220"/>
              <w:spacing w:after="0"/>
              <w:rPr>
                <w:sz w:val="20"/>
                <w:szCs w:val="20"/>
                <w:color w:val="auto"/>
              </w:rPr>
            </w:pPr>
            <w:r>
              <w:rPr>
                <w:rFonts w:ascii="Arial" w:cs="Arial" w:eastAsia="Arial" w:hAnsi="Arial"/>
                <w:sz w:val="14"/>
                <w:szCs w:val="14"/>
                <w:color w:val="auto"/>
              </w:rPr>
              <w:t>March 2, 2021</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Viki K. Blinderman</w:t>
            </w:r>
          </w:p>
        </w:tc>
      </w:tr>
      <w:tr>
        <w:trPr>
          <w:trHeight w:val="171"/>
        </w:trPr>
        <w:tc>
          <w:tcPr>
            <w:tcW w:w="6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Viki K. Blinderman</w:t>
            </w:r>
          </w:p>
        </w:tc>
      </w:tr>
      <w:tr>
        <w:trPr>
          <w:trHeight w:val="180"/>
        </w:trPr>
        <w:tc>
          <w:tcPr>
            <w:tcW w:w="6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Senior Vice President and Chief Accounting Officer</w:t>
            </w:r>
          </w:p>
        </w:tc>
      </w:tr>
      <w:tr>
        <w:trPr>
          <w:trHeight w:val="180"/>
        </w:trPr>
        <w:tc>
          <w:tcPr>
            <w:tcW w:w="6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02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r>
    </w:tbl>
    <w:p>
      <w:pPr>
        <w:sectPr>
          <w:pgSz w:w="11900" w:h="16838" w:orient="portrait"/>
          <w:cols w:equalWidth="0" w:num="1">
            <w:col w:w="11280"/>
          </w:cols>
          <w:pgMar w:left="300" w:top="728"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EXHIBIT 32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Executive Officer and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Section 906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Sarbanes Oxley Act of 2002, 18 U.S.C. § 1350</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connection with the Annual Report of Carriage Services, Inc. (the “Company”), as filed with the Securities and Exchange Commission on the date hereof (the “Report”), Melvin C. Payne, Chief Executive Officer of the Company, and Viki K. Blinderman, Senior Vice President and Chief Accounting Officer of the Company, each certify, pursuant to 18 U.S.C. Section 1350, as adopted pursuant to Section 906 of the Sarbanes-Oxley Act of 2002, that, to his knowledge:</w:t>
      </w:r>
    </w:p>
    <w:p>
      <w:pPr>
        <w:spacing w:after="0" w:line="142" w:lineRule="exact"/>
        <w:rPr>
          <w:sz w:val="20"/>
          <w:szCs w:val="20"/>
          <w:color w:val="auto"/>
        </w:rPr>
      </w:pPr>
    </w:p>
    <w:p>
      <w:pPr>
        <w:ind w:left="800" w:hanging="350"/>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7" w:lineRule="exact"/>
        <w:rPr>
          <w:rFonts w:ascii="Arial" w:cs="Arial" w:eastAsia="Arial" w:hAnsi="Arial"/>
          <w:sz w:val="14"/>
          <w:szCs w:val="14"/>
          <w:color w:val="auto"/>
        </w:rPr>
      </w:pPr>
    </w:p>
    <w:p>
      <w:pPr>
        <w:ind w:left="800" w:hanging="350"/>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Dated:</w:t>
            </w:r>
          </w:p>
        </w:tc>
        <w:tc>
          <w:tcPr>
            <w:tcW w:w="4540" w:type="dxa"/>
            <w:vAlign w:val="bottom"/>
          </w:tcPr>
          <w:p>
            <w:pPr>
              <w:ind w:left="220"/>
              <w:spacing w:after="0"/>
              <w:rPr>
                <w:sz w:val="20"/>
                <w:szCs w:val="20"/>
                <w:color w:val="auto"/>
              </w:rPr>
            </w:pPr>
            <w:r>
              <w:rPr>
                <w:rFonts w:ascii="Arial" w:cs="Arial" w:eastAsia="Arial" w:hAnsi="Arial"/>
                <w:sz w:val="14"/>
                <w:szCs w:val="14"/>
                <w:color w:val="auto"/>
              </w:rPr>
              <w:t>March 2, 2021</w:t>
            </w:r>
          </w:p>
        </w:tc>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Melvin C. Payne</w:t>
            </w:r>
          </w:p>
        </w:tc>
      </w:tr>
      <w:tr>
        <w:trPr>
          <w:trHeight w:val="171"/>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Melvin C. Payne</w:t>
            </w:r>
          </w:p>
        </w:tc>
      </w:tr>
      <w:tr>
        <w:trPr>
          <w:trHeight w:val="180"/>
        </w:trPr>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Chief Executive Officer and Chairman of the Board</w:t>
            </w:r>
          </w:p>
        </w:tc>
      </w:tr>
      <w:tr>
        <w:trPr>
          <w:trHeight w:val="180"/>
        </w:trPr>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(Principal Executive Officer)</w:t>
            </w:r>
          </w:p>
        </w:tc>
      </w:tr>
      <w:tr>
        <w:trPr>
          <w:trHeight w:val="519"/>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Viki K. Blinderman</w:t>
            </w:r>
          </w:p>
        </w:tc>
      </w:tr>
      <w:tr>
        <w:trPr>
          <w:trHeight w:val="171"/>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Viki K. Blinderman</w:t>
            </w:r>
          </w:p>
        </w:tc>
      </w:tr>
      <w:tr>
        <w:trPr>
          <w:trHeight w:val="180"/>
        </w:trPr>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Senior Vice President and Chief Accounting Officer</w:t>
            </w:r>
          </w:p>
        </w:tc>
      </w:tr>
      <w:tr>
        <w:trPr>
          <w:trHeight w:val="180"/>
        </w:trPr>
        <w:tc>
          <w:tcPr>
            <w:tcW w:w="5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lowerRoman"/>
      <w:start w:val="2"/>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lvl w:ilvl="1">
      <w:lvlJc w:val="left"/>
      <w:lvlText w:val="◦"/>
      <w:numFmt w:val="bullet"/>
      <w:start w:val="1"/>
    </w:lvl>
  </w:abstractNum>
  <w:abstractNum w:abstractNumId="23">
    <w:nsid w:val="4516DDE9"/>
    <w:multiLevelType w:val="hybridMultilevel"/>
    <w:lvl w:ilvl="0">
      <w:lvlJc w:val="left"/>
      <w:lvlText w:val="•"/>
      <w:numFmt w:val="bullet"/>
      <w:start w:val="1"/>
    </w:lvl>
    <w:lvl w:ilvl="1">
      <w:lvlJc w:val="left"/>
      <w:lvlText w:val="•"/>
      <w:numFmt w:val="bullet"/>
      <w:start w:val="1"/>
    </w:lvl>
  </w:abstractNum>
  <w:abstractNum w:abstractNumId="24">
    <w:nsid w:val="3006C83E"/>
    <w:multiLevelType w:val="hybridMultilevel"/>
    <w:lvl w:ilvl="0">
      <w:lvlJc w:val="left"/>
      <w:lvlText w:val="(%1)"/>
      <w:numFmt w:val="lowerRoman"/>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lvl w:ilvl="1">
      <w:lvlJc w:val="left"/>
      <w:lvlText w:val="(%2)"/>
      <w:numFmt w:val="decimal"/>
      <w:start w:val="1"/>
    </w:lvl>
  </w:abstractNum>
  <w:abstractNum w:abstractNumId="27">
    <w:nsid w:val="5577F8E1"/>
    <w:multiLevelType w:val="hybridMultilevel"/>
    <w:lvl w:ilvl="0">
      <w:lvlJc w:val="left"/>
      <w:lvlText w:val="%1."/>
      <w:numFmt w:val="decimal"/>
      <w:start w:val="6"/>
    </w:lvl>
    <w:lvl w:ilvl="1">
      <w:lvlJc w:val="left"/>
      <w:lvlText w:val="%2"/>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319"/>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45" Type="http://schemas.openxmlformats.org/officeDocument/2006/relationships/image" Target="media/image184.png"/><Relationship Id="rId246" Type="http://schemas.openxmlformats.org/officeDocument/2006/relationships/image" Target="media/image185.png"/><Relationship Id="rId247" Type="http://schemas.openxmlformats.org/officeDocument/2006/relationships/image" Target="media/image186.png"/><Relationship Id="rId248" Type="http://schemas.openxmlformats.org/officeDocument/2006/relationships/image" Target="media/image187.png"/><Relationship Id="rId249" Type="http://schemas.openxmlformats.org/officeDocument/2006/relationships/image" Target="media/image188.png"/><Relationship Id="rId175" Type="http://schemas.openxmlformats.org/officeDocument/2006/relationships/hyperlink" Target="http://www.sec.gov/Archives/edgar/data/1016281/0000890566-97-000478.txt" TargetMode="External"/><Relationship Id="rId176" Type="http://schemas.openxmlformats.org/officeDocument/2006/relationships/hyperlink" Target="http://www.sec.gov/Archives/edgar/data/1016281/0000890566-97-002454.txt" TargetMode="External"/><Relationship Id="rId177" Type="http://schemas.openxmlformats.org/officeDocument/2006/relationships/hyperlink" Target="http://www.sec.gov/Archives/edgar/data/1016281/000091205702031617/a2085940zex-1.htm" TargetMode="External"/><Relationship Id="rId180" Type="http://schemas.openxmlformats.org/officeDocument/2006/relationships/hyperlink" Target="http://www.sec.gov/Archives/edgar/data/1016281/0000890566-96-000905.txt" TargetMode="External"/><Relationship Id="rId181" Type="http://schemas.openxmlformats.org/officeDocument/2006/relationships/hyperlink" Target="http://www.sec.gov/Archives/edgar/data/1016281/000091205701506194/a2043597zex-3_8.txt" TargetMode="External"/><Relationship Id="rId182" Type="http://schemas.openxmlformats.org/officeDocument/2006/relationships/hyperlink" Target="http://www.sec.gov/Archives/edgar/data/1016281/000095013408010337/h57239exv3w1.htm" TargetMode="External"/><Relationship Id="rId183" Type="http://schemas.openxmlformats.org/officeDocument/2006/relationships/hyperlink" Target="http://www.sec.gov/Archives/edgar/data/1016281/000101628119000046/a31secondamendmenttothebyl.htm" TargetMode="External"/><Relationship Id="rId184" Type="http://schemas.openxmlformats.org/officeDocument/2006/relationships/hyperlink" Target="http://www.sec.gov/Archives/edgar/data/1016281/000101628114000073/a41indenturedatedasofmarch.htm" TargetMode="External"/><Relationship Id="rId185" Type="http://schemas.openxmlformats.org/officeDocument/2006/relationships/hyperlink" Target="http://www.sec.gov/Archives/edgar/data/1016281/000119312518180502/d598109dex41.htm" TargetMode="External"/><Relationship Id="rId186" Type="http://schemas.openxmlformats.org/officeDocument/2006/relationships/hyperlink" Target="http://www.sec.gov/Archives/edgar/data/1016281/000119312512341003/d377326dex101.htm" TargetMode="External"/><Relationship Id="rId187" Type="http://schemas.openxmlformats.org/officeDocument/2006/relationships/hyperlink" Target="http://www.sec.gov/Archives/edgar/data/1016281/000101628114000055/a1028firstamendmenttosecon.htm" TargetMode="External"/><Relationship Id="rId188" Type="http://schemas.openxmlformats.org/officeDocument/2006/relationships/hyperlink" Target="http://www.sec.gov/Archives/edgar/data/1016281/000101628113000112/a101amendedandrestatedcarr.htm" TargetMode="External"/><Relationship Id="rId189" Type="http://schemas.openxmlformats.org/officeDocument/2006/relationships/hyperlink" Target="http://www.sec.gov/Archives/edgar/data/1016281/000101628118000045/csv12312017proxy.htm" TargetMode="External"/><Relationship Id="rId190" Type="http://schemas.openxmlformats.org/officeDocument/2006/relationships/hyperlink" Target="http://www.sec.gov/Archives/edgar/data/1016281/000101628117000047/csv12312016proxy.htm" TargetMode="External"/><Relationship Id="rId191" Type="http://schemas.openxmlformats.org/officeDocument/2006/relationships/hyperlink" Target="https://www.sec.gov/Archives/edgar/data/1016281/000101628120000035/csv-ex410x20191231x10k.htm" TargetMode="External"/><Relationship Id="rId192" Type="http://schemas.openxmlformats.org/officeDocument/2006/relationships/hyperlink" Target="http://www.sec.gov/Archives/edgar/data/1016281/000119312512379362/d406454dex101.htm" TargetMode="External"/><Relationship Id="rId193" Type="http://schemas.openxmlformats.org/officeDocument/2006/relationships/hyperlink" Target="http://www.sec.gov/Archives/edgar/data/1016281/000144530513000649/csv-exfirstamendmenttocred.htm" TargetMode="External"/><Relationship Id="rId196" Type="http://schemas.openxmlformats.org/officeDocument/2006/relationships/hyperlink" Target="http://www.sec.gov/Archives/edgar/data/1016281/000144530513000649/csv-ex02x14x13secondamendm.htm" TargetMode="External"/><Relationship Id="rId197" Type="http://schemas.openxmlformats.org/officeDocument/2006/relationships/hyperlink" Target="http://www.sec.gov/Archives/edgar/data/1016281/000101628113000037/thirdamendmenttocreditagre.htm" TargetMode="External"/><Relationship Id="rId198" Type="http://schemas.openxmlformats.org/officeDocument/2006/relationships/hyperlink" Target="http://www.sec.gov/Archives/edgar/data/1016281/000101628114000044/a101fourthamendmenttocredi.htm" TargetMode="External"/><Relationship Id="rId199" Type="http://schemas.openxmlformats.org/officeDocument/2006/relationships/hyperlink" Target="http://www.sec.gov/Archives/edgar/data/1016281/000101628114000081/a101fifthamendmentandcommi.htm" TargetMode="External"/><Relationship Id="rId200" Type="http://schemas.openxmlformats.org/officeDocument/2006/relationships/hyperlink" Target="http://www.sec.gov/Archives/edgar/data/1016281/000101628115000085/sixthamendementtocreditagr.htm" TargetMode="External"/><Relationship Id="rId201" Type="http://schemas.openxmlformats.org/officeDocument/2006/relationships/hyperlink" Target="http://www.sec.gov/Archives/edgar/data/1016281/000101628116000153/a101carriageseventhamendme.htm" TargetMode="External"/><Relationship Id="rId202" Type="http://schemas.openxmlformats.org/officeDocument/2006/relationships/hyperlink" Target="http://www.sec.gov/Archives/edgar/data/1016281/000101628118000059/eighthamendment.htm" TargetMode="External"/><Relationship Id="rId203" Type="http://schemas.openxmlformats.org/officeDocument/2006/relationships/hyperlink" Target="http://www.sec.gov/Archives/edgar/data/1016281/000119312518180502/d598109dex101.htm" TargetMode="External"/><Relationship Id="rId204" Type="http://schemas.openxmlformats.org/officeDocument/2006/relationships/hyperlink" Target="http://www.sec.gov/Archives/edgar/data/1016281/000119312518323160/d649671dex101.htm" TargetMode="External"/><Relationship Id="rId205" Type="http://schemas.openxmlformats.org/officeDocument/2006/relationships/hyperlink" Target="http://www.sec.gov/Archives/edgar/data/1016281/000101628119000084/secondamendmenttocreditagr.htm" TargetMode="External"/><Relationship Id="rId206" Type="http://schemas.openxmlformats.org/officeDocument/2006/relationships/hyperlink" Target="http://www.sec.gov/Archives/edgar/data/1016281/000119312519319269/d852935dex101.htm" TargetMode="External"/><Relationship Id="rId207" Type="http://schemas.openxmlformats.org/officeDocument/2006/relationships/hyperlink" Target="http://www.sec.gov/Archives/edgar/data/1016281/000091205701506194/a2043597zex-10_20.txt" TargetMode="External"/><Relationship Id="rId208" Type="http://schemas.openxmlformats.org/officeDocument/2006/relationships/hyperlink" Target="http://www.sec.gov/Archives/edgar/data/1016281/000101628113000045/a101employmentagreementwit.htm" TargetMode="External"/><Relationship Id="rId209" Type="http://schemas.openxmlformats.org/officeDocument/2006/relationships/hyperlink" Target="http://www.sec.gov/Archives/edgar/data/1016281/000101628113000045/a102employmentletterwithma.htm" TargetMode="External"/><Relationship Id="rId210" Type="http://schemas.openxmlformats.org/officeDocument/2006/relationships/hyperlink" Target="http://www.sec.gov/Archives/edgar/data/1016281/000119312512105896/d290680dex1024.htm" TargetMode="External"/><Relationship Id="rId213" Type="http://schemas.openxmlformats.org/officeDocument/2006/relationships/hyperlink" Target="http://www.sec.gov/Archives/edgar/data/1016281/000101628113000089/a101incentivestockoptionag.htm" TargetMode="External"/><Relationship Id="rId214" Type="http://schemas.openxmlformats.org/officeDocument/2006/relationships/hyperlink" Target="http://www.sec.gov/Archives/edgar/data/1016281/000101628113000089/a102restrictedstockagreeme.htm" TargetMode="External"/><Relationship Id="rId215" Type="http://schemas.openxmlformats.org/officeDocument/2006/relationships/hyperlink" Target="http://www.sec.gov/Archives/edgar/data/1016281/000101628118000024/csv-ex1030x20171231x10k.htm" TargetMode="External"/><Relationship Id="rId216" Type="http://schemas.openxmlformats.org/officeDocument/2006/relationships/hyperlink" Target="http://www.sec.gov/Archives/edgar/data/1016281/000101628118000024/csv-ex1031x20171231x10k.htm" TargetMode="External"/><Relationship Id="rId217" Type="http://schemas.openxmlformats.org/officeDocument/2006/relationships/hyperlink" Target="http://www.sec.gov/Archives/edgar/data/1016281/000101628118000024/csv-ex1032x20171231x10k.htm" TargetMode="External"/><Relationship Id="rId218" Type="http://schemas.openxmlformats.org/officeDocument/2006/relationships/hyperlink" Target="http://www.sec.gov/Archives/edgar/data/1016281/000101628118000024/csv-ex1033x20171231x10k.htm" TargetMode="External"/><Relationship Id="rId219" Type="http://schemas.openxmlformats.org/officeDocument/2006/relationships/hyperlink" Target="http://www.sec.gov/Archives/edgar/data/1016281/000101628119000042/csv-ex1036x20181231x10k.htm" TargetMode="External"/><Relationship Id="rId220" Type="http://schemas.openxmlformats.org/officeDocument/2006/relationships/hyperlink" Target="http://www.sec.gov/Archives/edgar/data/1016281/000101628119000039/bionawardagreement.htm" TargetMode="External"/><Relationship Id="rId221" Type="http://schemas.openxmlformats.org/officeDocument/2006/relationships/hyperlink" Target="http://www.sec.gov/Archives/edgar/data/1016281/000101628119000115/employmentagreementformpay.htm" TargetMode="External"/><Relationship Id="rId222" Type="http://schemas.openxmlformats.org/officeDocument/2006/relationships/hyperlink" Target="https://www.sec.gov/Archives/edgar/data/1016281/000101628121000042/a101melpaynefirstamendment.htm" TargetMode="External"/><Relationship Id="rId223" Type="http://schemas.openxmlformats.org/officeDocument/2006/relationships/hyperlink" Target="http://www.sec.gov/Archives/edgar/data/1016281/000101628119000115/employmentagreementforshaw.htm" TargetMode="External"/><Relationship Id="rId224" Type="http://schemas.openxmlformats.org/officeDocument/2006/relationships/hyperlink" Target="http://www.sec.gov/Archives/edgar/data/1016281/000101628119000115/employmentagreementforpaul.htm" TargetMode="External"/><Relationship Id="rId225" Type="http://schemas.openxmlformats.org/officeDocument/2006/relationships/hyperlink" Target="http://www.sec.gov/Archives/edgar/data/1016281/000101628119000115/employmentagreementforviki.htm" TargetMode="External"/><Relationship Id="rId226" Type="http://schemas.openxmlformats.org/officeDocument/2006/relationships/hyperlink" Target="http://www.sec.gov/Archives/edgar/data/1016281/000101628119000115/employmentagreementforcarl.htm" TargetMode="External"/><Relationship Id="rId227" Type="http://schemas.openxmlformats.org/officeDocument/2006/relationships/hyperlink" Target="http://www.sec.gov/Archives/edgar/data/1016281/000119312519304417/d827136dex101.htm" TargetMode="External"/><Relationship Id="rId230" Type="http://schemas.openxmlformats.org/officeDocument/2006/relationships/hyperlink" Target="http://www.sec.gov/Archives/edgar/data/1016281/000101628120000030/csv-ex101bioeaward.htm" TargetMode="External"/><Relationship Id="rId231" Type="http://schemas.openxmlformats.org/officeDocument/2006/relationships/hyperlink" Target="https://www.sec.gov/Archives/edgar/data/1016281/000101628120000035/csv-ex1038x20191231x10xk.htm" TargetMode="External"/><Relationship Id="rId232" Type="http://schemas.openxmlformats.org/officeDocument/2006/relationships/hyperlink" Target="https://www.sec.gov/Archives/edgar/data/1016281/000101628120000035/csv-ex1039x20191231x10xk.htm" TargetMode="External"/><Relationship Id="rId233" Type="http://schemas.openxmlformats.org/officeDocument/2006/relationships/hyperlink" Target="https://www.sec.gov/Archives/edgar/data/1016281/000101628120000103/ex101-creditfacilitywaiver.htm" TargetMode="External"/><Relationship Id="rId234" Type="http://schemas.openxmlformats.org/officeDocument/2006/relationships/hyperlink" Target="https://www.sec.gov/Archives/edgar/data/1016281/000101628120000103/ex102-formofperformanceagr.htm" TargetMode="External"/><Relationship Id="rId235" Type="http://schemas.openxmlformats.org/officeDocument/2006/relationships/hyperlink" Target="https://www.sec.gov/Archives/edgar/data/1016281/000101628120000184/a101limitedconsenttocr.htm" TargetMode="External"/><Relationship Id="rId236" Type="http://schemas.openxmlformats.org/officeDocument/2006/relationships/hyperlink" Target="https://www.sec.gov/Archives/edgar/data/1016281/000119312520240126/d355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2021-03-02T16:24:46Z</dcterms:created>
  <dcterms:modified xsi:type="dcterms:W3CDTF">2021-03-02T16:24:46Z</dcterms:modified>
</cp:coreProperties>
</file>