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97.xml.htm"/>
      <w:bookmarkStart w:id="1" w:name="kswkform4_17909730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Fargason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CARRIAGE SERVICES,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CARRIAGE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pursuant to Carriage's Director Compensation Policy. Represents unrestricted shares of Carriage's Common Stock granted on September 30, 2026, for Director Compensation earned during the third quarter.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Shanley, Attorney-in-fact for Charles Fargason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709" TargetMode="External"/><Relationship Id="rId5" Type="http://schemas.openxmlformats.org/officeDocument/2006/relationships/hyperlink" Target="http://www.sec.gov/cgi-bin/browse-edgar?action=getcompany&amp;CIK=000101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3285</Characters>
  <CharactersWithSpaces>3812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