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EE2724"/>
        </w:rPr>
      </w:pPr>
      <w:r>
        <w:rPr>
          <w:color w:val="EE2724"/>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770" w:type="dxa"/>
        <w:jc w:val="center"/>
        <w:tblInd w:w="0" w:type="dxa"/>
        <w:tblLayout w:type="fixed"/>
        <w:tblCellMar>
          <w:top w:w="28" w:type="dxa"/>
          <w:left w:w="28" w:type="dxa"/>
          <w:bottom w:w="28" w:type="dxa"/>
          <w:right w:w="28" w:type="dxa"/>
        </w:tblCellMar>
      </w:tblPr>
      <w:tblGrid>
        <w:gridCol w:w="364"/>
        <w:gridCol w:w="320"/>
        <w:gridCol w:w="322"/>
        <w:gridCol w:w="223"/>
        <w:gridCol w:w="223"/>
        <w:gridCol w:w="31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8"/>
              </w:rPr>
            </w:pPr>
            <w:r>
              <w:rPr>
                <w:rFonts w:ascii="Times New Roman;sans-serif" w:hAnsi="Times New Roman;sans-serif"/>
                <w:b/>
                <w:color w:val="000000"/>
                <w:sz w:val="28"/>
              </w:rPr>
              <w:t>FORM</w:t>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8"/>
              </w:rPr>
            </w:pPr>
            <w:r>
              <w:rPr>
                <w:rFonts w:ascii="Times New Roman;sans-serif" w:hAnsi="Times New Roman;sans-serif"/>
                <w:b/>
                <w:color w:val="000000"/>
                <w:sz w:val="28"/>
              </w:rPr>
              <w:t>10-Q</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QUARTERLY REPORT PURSUANT TO SECTION 13 OR 15(d) OF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0" w:after="0"/>
        <w:ind w:left="0" w:right="0" w:hanging="720"/>
        <w:jc w:val="left"/>
        <w:rPr/>
      </w:pPr>
      <w:r>
        <w:rPr>
          <w:color w:val="000000"/>
        </w:rPr>
        <w:t>    </w:t>
      </w:r>
      <w:r>
        <w:rPr>
          <w:rFonts w:ascii="Times New Roman;sans-serif" w:hAnsi="Times New Roman;sans-serif"/>
          <w:b/>
          <w:color w:val="000000"/>
          <w:sz w:val="20"/>
        </w:rPr>
        <w:t>For the transition period from ___________  to   ____________        </w:t>
      </w:r>
    </w:p>
    <w:tbl>
      <w:tblPr>
        <w:tblW w:w="4243" w:type="dxa"/>
        <w:jc w:val="center"/>
        <w:tblInd w:w="0" w:type="dxa"/>
        <w:tblLayout w:type="fixed"/>
        <w:tblCellMar>
          <w:top w:w="28" w:type="dxa"/>
          <w:left w:w="28" w:type="dxa"/>
          <w:bottom w:w="28" w:type="dxa"/>
          <w:right w:w="28" w:type="dxa"/>
        </w:tblCellMar>
      </w:tblPr>
      <w:tblGrid>
        <w:gridCol w:w="1267"/>
        <w:gridCol w:w="1112"/>
        <w:gridCol w:w="1115"/>
        <w:gridCol w:w="219"/>
        <w:gridCol w:w="219"/>
        <w:gridCol w:w="311"/>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Commission File Number:</w:t>
            </w:r>
          </w:p>
        </w:tc>
        <w:tc>
          <w:tcPr>
            <w:tcW w:w="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1-11961</w:t>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CARRIAGE SERVICES,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54" w:type="dxa"/>
        <w:jc w:val="left"/>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76-0423828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3040 Post Oak Boulevard, Suite 300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Houston, Texas, 77056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(713) 332-8400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38" w:type="dxa"/>
        <w:jc w:val="left"/>
        <w:tblInd w:w="0" w:type="dxa"/>
        <w:tblLayout w:type="fixed"/>
        <w:tblCellMar>
          <w:top w:w="28" w:type="dxa"/>
          <w:left w:w="28" w:type="dxa"/>
          <w:bottom w:w="28" w:type="dxa"/>
          <w:right w:w="28" w:type="dxa"/>
        </w:tblCellMar>
      </w:tblPr>
      <w:tblGrid>
        <w:gridCol w:w="1076"/>
        <w:gridCol w:w="940"/>
        <w:gridCol w:w="953"/>
        <w:gridCol w:w="414"/>
        <w:gridCol w:w="414"/>
        <w:gridCol w:w="416"/>
        <w:gridCol w:w="945"/>
        <w:gridCol w:w="945"/>
        <w:gridCol w:w="1335"/>
      </w:tblGrid>
      <w:tr>
        <w:trPr/>
        <w:tc>
          <w:tcPr>
            <w:tcW w:w="107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$.01 per share</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CSV</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w:t>
      </w:r>
      <w:r>
        <w:rPr>
          <w:rFonts w:ascii="Times New Roman;sans-serif" w:hAnsi="Times New Roman;sans-serif"/>
          <w:b w:val="false"/>
          <w:color w:val="211D1E"/>
          <w:sz w:val="20"/>
        </w:rPr>
        <w:t xml:space="preserve">§ </w:t>
      </w:r>
      <w:r>
        <w:rPr>
          <w:rFonts w:ascii="Times New Roman;sans-serif" w:hAnsi="Times New Roman;sans-serif"/>
          <w:b w:val="false"/>
          <w:color w:val="000000"/>
          <w:sz w:val="16"/>
        </w:rPr>
        <w:t>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tbl>
      <w:tblPr>
        <w:tblW w:w="6351"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00" w:after="283"/>
        <w:jc w:val="left"/>
        <w:rPr/>
      </w:pPr>
      <w:r>
        <w:rPr/>
      </w:r>
    </w:p>
    <w:p>
      <w:pPr>
        <w:pStyle w:val="TextBody"/>
        <w:bidi w:val="0"/>
        <w:spacing w:lineRule="auto" w:line="288" w:before="8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60" w:after="120"/>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$.01 par value per share, outstanding as of July 26, 2024 was 15,208,587.</w:t>
      </w:r>
    </w:p>
    <w:p>
      <w:pPr>
        <w:pStyle w:val="TextBody"/>
        <w:bidi w:val="0"/>
        <w:spacing w:before="60" w:after="120"/>
        <w:jc w:val="left"/>
        <w:rPr/>
      </w:pPr>
      <w:r>
        <w:rPr/>
      </w:r>
    </w:p>
    <w:p>
      <w:pPr>
        <w:pStyle w:val="TextBody"/>
        <w:bidi w:val="0"/>
        <w:spacing w:before="60" w:after="120"/>
        <w:jc w:val="left"/>
        <w:rPr/>
      </w:pPr>
      <w:r>
        <w:rPr/>
      </w:r>
    </w:p>
    <w:p>
      <w:pPr>
        <w:pStyle w:val="TextBody"/>
        <w:bidi w:val="0"/>
        <w:spacing w:before="6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11"/>
        <w:gridCol w:w="3084"/>
        <w:gridCol w:w="3097"/>
        <w:gridCol w:w="149"/>
        <w:gridCol w:w="149"/>
        <w:gridCol w:w="215"/>
      </w:tblGrid>
      <w:tr>
        <w:trPr/>
        <w:tc>
          <w:tcPr>
            <w:tcW w:w="3511"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0">
              <w:r>
                <w:rPr>
                  <w:rStyle w:val="InternetLink"/>
                  <w:rFonts w:ascii="Times New Roman;sans-serif" w:hAnsi="Times New Roman;sans-serif"/>
                  <w:b/>
                  <w:color w:val="0000FF"/>
                  <w:sz w:val="20"/>
                  <w:u w:val="single"/>
                </w:rPr>
                <w:t>PART I – FINANCIAL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05"/>
              <w:jc w:val="left"/>
              <w:rPr/>
            </w:pPr>
            <w:hyperlink w:anchor="if5e9c9935e274997bd5e59bd9f1a9ebc_13">
              <w:r>
                <w:rPr>
                  <w:rStyle w:val="InternetLink"/>
                  <w:rFonts w:ascii="Times New Roman;sans-serif" w:hAnsi="Times New Roman;sans-serif"/>
                  <w:b/>
                  <w:color w:val="0000FF"/>
                  <w:sz w:val="20"/>
                  <w:u w:val="single"/>
                </w:rPr>
                <w:t>Item 1.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3">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6">
              <w:r>
                <w:rPr>
                  <w:rStyle w:val="InternetLink"/>
                  <w:rFonts w:ascii="Times New Roman;sans-serif" w:hAnsi="Times New Roman;sans-serif"/>
                  <w:b w:val="false"/>
                  <w:color w:val="0000FF"/>
                  <w:sz w:val="20"/>
                  <w:u w:val="single"/>
                </w:rPr>
                <w:t>Unaudited Consolidated Balance Sheet as of June 30, 2024 and December 31,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6">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9">
              <w:r>
                <w:rPr>
                  <w:rStyle w:val="InternetLink"/>
                  <w:rFonts w:ascii="Times New Roman;sans-serif" w:hAnsi="Times New Roman;sans-serif"/>
                  <w:b w:val="false"/>
                  <w:color w:val="0000FF"/>
                  <w:sz w:val="20"/>
                  <w:u w:val="single"/>
                </w:rPr>
                <w:t>Unaudited Consolidated Statements of Operations for the Three and Six Months ended June 30,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9">
              <w:r>
                <w:rPr>
                  <w:rStyle w:val="InternetLink"/>
                  <w:rFonts w:ascii="Times New Roman;sans-serif" w:hAnsi="Times New Roman;sans-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22">
              <w:r>
                <w:rPr>
                  <w:rStyle w:val="InternetLink"/>
                  <w:rFonts w:ascii="Times New Roman;sans-serif" w:hAnsi="Times New Roman;sans-serif"/>
                  <w:b w:val="false"/>
                  <w:color w:val="0000FF"/>
                  <w:sz w:val="20"/>
                  <w:u w:val="single"/>
                </w:rPr>
                <w:t>Unaudited Consolidated Statements of Cash Flows for the Six Months ended June 30,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22">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25">
              <w:r>
                <w:rPr>
                  <w:rStyle w:val="InternetLink"/>
                  <w:rFonts w:ascii="Times New Roman;sans-serif" w:hAnsi="Times New Roman;sans-serif"/>
                  <w:b w:val="false"/>
                  <w:color w:val="0000FF"/>
                  <w:sz w:val="20"/>
                  <w:u w:val="single"/>
                </w:rPr>
                <w:t>Unaudited Consolidated Statements of Changes in Stockholders' Equity for the Three and Six Months ended June 30,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25">
              <w:r>
                <w:rPr>
                  <w:rStyle w:val="InternetLink"/>
                  <w:rFonts w:ascii="Times New Roman;sans-serif" w:hAnsi="Times New Roman;sans-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28">
              <w:r>
                <w:rPr>
                  <w:rStyle w:val="InternetLink"/>
                  <w:rFonts w:ascii="Times New Roman;sans-serif" w:hAnsi="Times New Roman;sans-serif"/>
                  <w:b w:val="false"/>
                  <w:color w:val="0000FF"/>
                  <w:sz w:val="20"/>
                  <w:u w:val="single"/>
                </w:rPr>
                <w:t>Condensed 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28">
              <w:r>
                <w:rPr>
                  <w:rStyle w:val="InternetLink"/>
                  <w:rFonts w:ascii="Times New Roman;sans-serif" w:hAnsi="Times New Roman;sans-serif"/>
                  <w:b w:val="false"/>
                  <w:color w:val="0000FF"/>
                  <w:sz w:val="20"/>
                  <w:u w:val="single"/>
                </w:rPr>
                <w:t>8</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85">
              <w:r>
                <w:rPr>
                  <w:rStyle w:val="InternetLink"/>
                  <w:rFonts w:ascii="Times New Roman;sans-serif" w:hAnsi="Times New Roman;sans-serif"/>
                  <w:b w:val="false"/>
                  <w:color w:val="0000FF"/>
                  <w:sz w:val="20"/>
                  <w:u w:val="single"/>
                </w:rPr>
                <w:t>Cautionary Statement on Forward–Looking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85">
              <w:r>
                <w:rPr>
                  <w:rStyle w:val="InternetLink"/>
                  <w:rFonts w:ascii="Times New Roman;sans-serif" w:hAnsi="Times New Roman;sans-serif"/>
                  <w:b w:val="false"/>
                  <w:color w:val="0000FF"/>
                  <w:sz w:val="20"/>
                  <w:u w:val="single"/>
                </w:rPr>
                <w:t>35</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88">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88">
              <w:r>
                <w:rPr>
                  <w:rStyle w:val="InternetLink"/>
                  <w:rFonts w:ascii="Times New Roman;sans-serif" w:hAnsi="Times New Roman;sans-serif"/>
                  <w:b w:val="false"/>
                  <w:color w:val="0000FF"/>
                  <w:sz w:val="20"/>
                  <w:u w:val="single"/>
                </w:rPr>
                <w:t>37</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12">
              <w:r>
                <w:rPr>
                  <w:rStyle w:val="InternetLink"/>
                  <w:rFonts w:ascii="Times New Roman;sans-serif" w:hAnsi="Times New Roman;sans-serif"/>
                  <w:b/>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12">
              <w:r>
                <w:rPr>
                  <w:rStyle w:val="InternetLink"/>
                  <w:rFonts w:ascii="Times New Roman;sans-serif" w:hAnsi="Times New Roman;sans-serif"/>
                  <w:b w:val="false"/>
                  <w:color w:val="0000FF"/>
                  <w:sz w:val="20"/>
                  <w:u w:val="single"/>
                </w:rPr>
                <w:t>50</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15">
              <w:r>
                <w:rPr>
                  <w:rStyle w:val="InternetLink"/>
                  <w:rFonts w:ascii="Times New Roman;sans-serif" w:hAnsi="Times New Roman;sans-serif"/>
                  <w:b/>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15">
              <w:r>
                <w:rPr>
                  <w:rStyle w:val="InternetLink"/>
                  <w:rFonts w:ascii="Times New Roman;sans-serif" w:hAnsi="Times New Roman;sans-serif"/>
                  <w:b w:val="false"/>
                  <w:color w:val="0000FF"/>
                  <w:sz w:val="20"/>
                  <w:u w:val="single"/>
                </w:rPr>
                <w:t>51</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18">
              <w:r>
                <w:rPr>
                  <w:rStyle w:val="InternetLink"/>
                  <w:rFonts w:ascii="Times New Roman;sans-serif" w:hAnsi="Times New Roman;sans-serif"/>
                  <w:b/>
                  <w:color w:val="0000FF"/>
                  <w:sz w:val="20"/>
                  <w:u w:val="single"/>
                </w:rPr>
                <w:t>PART II –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21">
              <w:r>
                <w:rPr>
                  <w:rStyle w:val="InternetLink"/>
                  <w:rFonts w:ascii="Times New Roman;sans-serif" w:hAnsi="Times New Roman;sans-serif"/>
                  <w:b/>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21">
              <w:r>
                <w:rPr>
                  <w:rStyle w:val="InternetLink"/>
                  <w:rFonts w:ascii="Times New Roman;sans-serif" w:hAnsi="Times New Roman;sans-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24">
              <w:r>
                <w:rPr>
                  <w:rStyle w:val="InternetLink"/>
                  <w:rFonts w:ascii="Times New Roman;sans-serif" w:hAnsi="Times New Roman;sans-serif"/>
                  <w:b/>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24">
              <w:r>
                <w:rPr>
                  <w:rStyle w:val="InternetLink"/>
                  <w:rFonts w:ascii="Times New Roman;sans-serif" w:hAnsi="Times New Roman;sans-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2. Unregistered Sales of Equity Securities and Use of Proceeds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27">
              <w:r>
                <w:rPr>
                  <w:rStyle w:val="InternetLink"/>
                  <w:rFonts w:ascii="Times New Roman;sans-serif" w:hAnsi="Times New Roman;sans-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3. Defaults Upon Senior Securities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30">
              <w:r>
                <w:rPr>
                  <w:rStyle w:val="InternetLink"/>
                  <w:rFonts w:ascii="Times New Roman;sans-serif" w:hAnsi="Times New Roman;sans-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4. Mine Safety Disclosures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33">
              <w:r>
                <w:rPr>
                  <w:rStyle w:val="InternetLink"/>
                  <w:rFonts w:ascii="Times New Roman;sans-serif" w:hAnsi="Times New Roman;sans-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FF"/>
                <w:sz w:val="20"/>
                <w:u w:val="single"/>
              </w:rPr>
            </w:pPr>
            <w:r>
              <w:rPr>
                <w:rFonts w:ascii="Times New Roman;sans-serif" w:hAnsi="Times New Roman;sans-serif"/>
                <w:b/>
                <w:color w:val="0000FF"/>
                <w:sz w:val="20"/>
                <w:u w:val="single"/>
              </w:rPr>
              <w:t>Item 5. Other Information</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36">
              <w:r>
                <w:rPr>
                  <w:rStyle w:val="InternetLink"/>
                  <w:rFonts w:ascii="Times New Roman;sans-serif" w:hAnsi="Times New Roman;sans-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39">
              <w:r>
                <w:rPr>
                  <w:rStyle w:val="InternetLink"/>
                  <w:rFonts w:ascii="Times New Roman;sans-serif" w:hAnsi="Times New Roman;sans-serif"/>
                  <w:b/>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36">
              <w:r>
                <w:rPr>
                  <w:rStyle w:val="InternetLink"/>
                  <w:rFonts w:ascii="Times New Roman;sans-serif" w:hAnsi="Times New Roman;sans-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42">
              <w:r>
                <w:rPr>
                  <w:rStyle w:val="InternetLink"/>
                  <w:rFonts w:ascii="Times New Roman;sans-serif" w:hAnsi="Times New Roman;sans-serif"/>
                  <w:b/>
                  <w:color w:val="0000FF"/>
                  <w:sz w:val="20"/>
                  <w:u w:val="single"/>
                </w:rPr>
                <w:t>SIGNATURE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42">
              <w:r>
                <w:rPr>
                  <w:rStyle w:val="InternetLink"/>
                  <w:rFonts w:ascii="Times New Roman;sans-serif" w:hAnsi="Times New Roman;sans-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5e9c9935e274997bd5e59bd9f1a9ebc_142">
              <w:r>
                <w:rPr>
                  <w:rStyle w:val="InternetLink"/>
                  <w:rFonts w:ascii="Times New Roman;sans-serif" w:hAnsi="Times New Roman;sans-serif"/>
                  <w:b/>
                  <w:color w:val="0000FF"/>
                  <w:sz w:val="20"/>
                  <w:u w:val="single"/>
                </w:rPr>
                <w:t>INDEX OF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5e9c9935e274997bd5e59bd9f1a9ebc_145">
              <w:r>
                <w:rPr>
                  <w:rStyle w:val="InternetLink"/>
                  <w:rFonts w:ascii="Times New Roman;sans-serif" w:hAnsi="Times New Roman;sans-serif"/>
                  <w:b w:val="false"/>
                  <w:color w:val="0000FF"/>
                  <w:sz w:val="20"/>
                  <w:u w:val="singl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 and in thousands, except share data)</w:t>
      </w:r>
    </w:p>
    <w:tbl>
      <w:tblPr>
        <w:tblW w:w="10205" w:type="dxa"/>
        <w:jc w:val="center"/>
        <w:tblInd w:w="0" w:type="dxa"/>
        <w:tblLayout w:type="fixed"/>
        <w:tblCellMar>
          <w:top w:w="28" w:type="dxa"/>
          <w:left w:w="28" w:type="dxa"/>
          <w:bottom w:w="28" w:type="dxa"/>
          <w:right w:w="28" w:type="dxa"/>
        </w:tblCellMar>
      </w:tblPr>
      <w:tblGrid>
        <w:gridCol w:w="2870"/>
        <w:gridCol w:w="2077"/>
        <w:gridCol w:w="2045"/>
        <w:gridCol w:w="211"/>
        <w:gridCol w:w="976"/>
        <w:gridCol w:w="109"/>
        <w:gridCol w:w="109"/>
        <w:gridCol w:w="109"/>
        <w:gridCol w:w="109"/>
        <w:gridCol w:w="211"/>
        <w:gridCol w:w="976"/>
        <w:gridCol w:w="403"/>
      </w:tblGrid>
      <w:tr>
        <w:trPr/>
        <w:tc>
          <w:tcPr>
            <w:tcW w:w="2870"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41,721 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35,575 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287,484 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net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114,580 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16,295 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85,331 </w:t>
            </w:r>
          </w:p>
        </w:tc>
        <w:tc>
          <w:tcPr>
            <w:tcW w:w="403"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1,268,052 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51,070 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177,794 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395,905 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finance leases,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under operating leases,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52,127 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cemetery receipts held in trust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receipts held in trust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84,351 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1,094,992 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80,000,000 shares authorized and 26,864,187 and 26,627,319 shares issued, respectively and 15,236,369 and 14,999,501 shares outstanding,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241,291 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210,256 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11,627,818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173,060 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1,268,052 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 except per share data)</w:t>
      </w:r>
    </w:p>
    <w:tbl>
      <w:tblPr>
        <w:tblW w:w="10205" w:type="dxa"/>
        <w:jc w:val="left"/>
        <w:tblInd w:w="0" w:type="dxa"/>
        <w:tblLayout w:type="fixed"/>
        <w:tblCellMar>
          <w:top w:w="28" w:type="dxa"/>
          <w:left w:w="28" w:type="dxa"/>
          <w:bottom w:w="28" w:type="dxa"/>
          <w:right w:w="28" w:type="dxa"/>
        </w:tblCellMar>
      </w:tblPr>
      <w:tblGrid>
        <w:gridCol w:w="1846"/>
        <w:gridCol w:w="1596"/>
        <w:gridCol w:w="157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4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merchandise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merchandise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divestitures, disposals and impairments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property damage, net of insurance claims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related to discrete income tax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 for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and common equivalent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043" w:type="dxa"/>
        <w:jc w:val="center"/>
        <w:tblInd w:w="0" w:type="dxa"/>
        <w:tblLayout w:type="fixed"/>
        <w:tblCellMar>
          <w:top w:w="28" w:type="dxa"/>
          <w:left w:w="28" w:type="dxa"/>
          <w:bottom w:w="28" w:type="dxa"/>
          <w:right w:w="28" w:type="dxa"/>
        </w:tblCellMar>
      </w:tblPr>
      <w:tblGrid>
        <w:gridCol w:w="2746"/>
        <w:gridCol w:w="2418"/>
        <w:gridCol w:w="2425"/>
        <w:gridCol w:w="211"/>
        <w:gridCol w:w="721"/>
        <w:gridCol w:w="109"/>
        <w:gridCol w:w="109"/>
        <w:gridCol w:w="109"/>
        <w:gridCol w:w="109"/>
        <w:gridCol w:w="211"/>
        <w:gridCol w:w="721"/>
        <w:gridCol w:w="154"/>
      </w:tblGrid>
      <w:tr>
        <w:trPr/>
        <w:tc>
          <w:tcPr>
            <w:tcW w:w="2746"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(benefit) expense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and accretion of debt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divestitures, disposals and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property damage, net of insurance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excess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that provided (used) cash:</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preneed receivables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prepaid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and cemetery trust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payment from vendor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preneed funeral and cemetery receipts held in trust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from the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against the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acquisition debt and obligations under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exercise of stock options and employee stock purchase plan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on restricted stock vestings and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80"/>
        <w:jc w:val="center"/>
        <w:rPr>
          <w:rFonts w:ascii="Times New Roman;sans-serif" w:hAnsi="Times New Roman;sans-serif"/>
          <w:b/>
          <w:color w:val="000000"/>
          <w:sz w:val="20"/>
        </w:rPr>
      </w:pPr>
      <w:r>
        <w:rPr>
          <w:rFonts w:ascii="Times New Roman;sans-serif" w:hAnsi="Times New Roman;sans-serif"/>
          <w:b/>
          <w:color w:val="000000"/>
          <w:sz w:val="20"/>
        </w:rPr>
        <w:t>(unaudited and in thousands)</w:t>
      </w:r>
    </w:p>
    <w:tbl>
      <w:tblPr>
        <w:tblW w:w="10205" w:type="dxa"/>
        <w:jc w:val="center"/>
        <w:tblInd w:w="0" w:type="dxa"/>
        <w:tblLayout w:type="fixed"/>
        <w:tblCellMar>
          <w:top w:w="28" w:type="dxa"/>
          <w:left w:w="28" w:type="dxa"/>
          <w:bottom w:w="28" w:type="dxa"/>
          <w:right w:w="28" w:type="dxa"/>
        </w:tblCellMar>
      </w:tblPr>
      <w:tblGrid>
        <w:gridCol w:w="966"/>
        <w:gridCol w:w="560"/>
        <w:gridCol w:w="562"/>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7"/>
      </w:tblGrid>
      <w:tr>
        <w:trPr/>
        <w:tc>
          <w:tcPr>
            <w:tcW w:w="9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179,555 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187,887 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66"/>
        <w:gridCol w:w="560"/>
        <w:gridCol w:w="562"/>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7"/>
      </w:tblGrid>
      <w:tr>
        <w:trPr/>
        <w:tc>
          <w:tcPr>
            <w:tcW w:w="96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March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147,162 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2023</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088"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lineRule="auto" w:line="288" w:before="0" w:after="0"/>
        <w:jc w:val="left"/>
        <w:rPr>
          <w:color w:val="EE2724"/>
        </w:rPr>
      </w:pPr>
      <w:r>
        <w:rPr>
          <w:color w:val="EE2724"/>
        </w:rPr>
        <w:t>                                            </w:t>
      </w:r>
    </w:p>
    <w:tbl>
      <w:tblPr>
        <w:tblW w:w="10205" w:type="dxa"/>
        <w:jc w:val="center"/>
        <w:tblInd w:w="0" w:type="dxa"/>
        <w:tblLayout w:type="fixed"/>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former executive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2024</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15,236 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187,887 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25"/>
        <w:gridCol w:w="630"/>
        <w:gridCol w:w="634"/>
        <w:gridCol w:w="360"/>
        <w:gridCol w:w="361"/>
        <w:gridCol w:w="316"/>
        <w:gridCol w:w="109"/>
        <w:gridCol w:w="109"/>
        <w:gridCol w:w="109"/>
        <w:gridCol w:w="211"/>
        <w:gridCol w:w="466"/>
        <w:gridCol w:w="109"/>
        <w:gridCol w:w="109"/>
        <w:gridCol w:w="109"/>
        <w:gridCol w:w="109"/>
        <w:gridCol w:w="211"/>
        <w:gridCol w:w="826"/>
        <w:gridCol w:w="109"/>
        <w:gridCol w:w="109"/>
        <w:gridCol w:w="109"/>
        <w:gridCol w:w="109"/>
        <w:gridCol w:w="211"/>
        <w:gridCol w:w="826"/>
        <w:gridCol w:w="109"/>
        <w:gridCol w:w="109"/>
        <w:gridCol w:w="109"/>
        <w:gridCol w:w="109"/>
        <w:gridCol w:w="211"/>
        <w:gridCol w:w="853"/>
        <w:gridCol w:w="109"/>
        <w:gridCol w:w="109"/>
        <w:gridCol w:w="109"/>
        <w:gridCol w:w="109"/>
        <w:gridCol w:w="211"/>
        <w:gridCol w:w="826"/>
        <w:gridCol w:w="156"/>
      </w:tblGrid>
      <w:tr>
        <w:trPr/>
        <w:tc>
          <w:tcPr>
            <w:tcW w:w="8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6" w:type="dxa"/>
            <w:gridSpan w:val="3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from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directors and board advisor</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to former executive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 and surrender of restricted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 June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notes are an integral part of these Consolidated Financial Statements.</w:t>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1.BASIS OF PRESENTATION AND SUMMARY OF SIGNIFICANT ACCOUNTING POLICIES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Company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Carriage Services, Inc. (“Carriage,” the “Company,” “we,” “us,” or “our”) is a leading provider of funeral and cemetery services and merchandise in the United States. Our operations are reported in two business segments: Funeral Home Operations, which currently accounts for approximately 65% of our total revenue, and Cemetery Operations, which currently accounts for approximately 35% of our total revenue. At June 30, 2024, we operated 164 funeral homes in 26 states and 31 cemeteries in 11 states.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 and Interim Condensed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accounting policies previously disclosed in Part II, Item 8 “Financial Statements and Supplementary Data” in Note 1 in our Annual Report on Form 10-K for the year ended December 31, 2023. In addition, our unaudited Consolidated Financial Statements have been prepared in a manner consistent with the accounting principles described in our Annual Report on Form 10-K for the year ended December 31, 2023 unless otherwise disclosed herein, and should be read in conjunction therewith.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Estimates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our Consolidated Financial Statements requires us to make estimates and judgments that affect the reported amounts of assets, liabilities, revenue and expenses. On an ongoing basis, we evaluate our critical estimates and judgments, which include those related to the impairment of goodwill and the fair value measurements used in business combinations.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and Cash Equivalents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consider all highly liquid investments purchased with an original maturity of three months or less to be cash equivalents.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caskets, outer burial containers and cemetery monuments and markers and is recorded at the lower of its cost basis or net realizable value. Inventory is relieved using specific identification in fulfillment of performance obligations on our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Contingent Liability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 contingent liability when both i) it is probable that a loss has been incurred and ii) the amount of the loss is reasonably estimable. In evaluating these two conditions, we consider all relevant information that is available as of the date the financial statements are issued. During the three and six months ended June 30, 2024, we recorded a $5.0 million contingent liability to reflect our agreement to pay our financial advisor in connection with the review of strategic alternatives.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2023, we withdrew $8.6 million of realized capital gains and earnings from our preneed funeral and cemetery trust investments. We did not withdraw any realized capital gains and earnings from our preneed trust investments during the six months ended June 30, 2024. In certain states, we are allowed to make these withdrawals prior to the delivery of preneed merchandise and service contracts. The realized capital gains and earnings withdrawn increase our cash flow from operations, but are not recognized as revenue in our Consolidated Statements of Operations, however, they reduce our </w:t>
      </w:r>
      <w:r>
        <w:rPr>
          <w:rFonts w:ascii="Times New Roman;sans-serif" w:hAnsi="Times New Roman;sans-serif"/>
          <w:b w:val="false"/>
          <w:i/>
          <w:color w:val="000000"/>
          <w:sz w:val="20"/>
        </w:rPr>
        <w:t xml:space="preserve">Preneed funeral trust investments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 xml:space="preserve">Preneed cemetery trust investments </w:t>
      </w:r>
      <w:r>
        <w:rPr>
          <w:rFonts w:ascii="Times New Roman;sans-serif" w:hAnsi="Times New Roman;sans-serif"/>
          <w:b w:val="false"/>
          <w:color w:val="000000"/>
          <w:sz w:val="20"/>
        </w:rPr>
        <w:t xml:space="preserve">and increase our </w:t>
      </w:r>
      <w:r>
        <w:rPr>
          <w:rFonts w:ascii="Times New Roman;sans-serif" w:hAnsi="Times New Roman;sans-serif"/>
          <w:b w:val="false"/>
          <w:i/>
          <w:color w:val="000000"/>
          <w:sz w:val="20"/>
        </w:rPr>
        <w:t xml:space="preserve">Deferred preneed funeral revenue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Deferred preneed cemetery revenue.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Additionally, during the three and six months ended June 30, 2023, we received a $6.0 million incentive payment from a vendor for entering into a strategic partnership agreement to market and sell prearranged funeral services in the future, which increased our cash flow from operations and </w:t>
      </w:r>
      <w:r>
        <w:rPr>
          <w:rFonts w:ascii="Times New Roman;sans-serif" w:hAnsi="Times New Roman;sans-serif"/>
          <w:b w:val="false"/>
          <w:i/>
          <w:color w:val="000000"/>
          <w:sz w:val="20"/>
        </w:rPr>
        <w:t xml:space="preserve">Deferred preneed funeral revenue. </w:t>
      </w:r>
      <w:r>
        <w:rPr>
          <w:rFonts w:ascii="Times New Roman;sans-serif" w:hAnsi="Times New Roman;sans-serif"/>
          <w:b w:val="false"/>
          <w:color w:val="000000"/>
          <w:sz w:val="20"/>
        </w:rPr>
        <w:t xml:space="preserve">The incentive payment is subject to partial claw-back if certain preneed funeral sales volumes are not met within the ten-year term of the agreement. As such, we will recognize the incentive payment in proportion to our achieved preneed funeral sales volume per the agreement at each reporting period.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is comprised of the following (in thousands): </w:t>
      </w:r>
    </w:p>
    <w:tbl>
      <w:tblPr>
        <w:tblW w:w="6264" w:type="dxa"/>
        <w:jc w:val="left"/>
        <w:tblInd w:w="0" w:type="dxa"/>
        <w:tblLayout w:type="fixed"/>
        <w:tblCellMar>
          <w:top w:w="28" w:type="dxa"/>
          <w:left w:w="28" w:type="dxa"/>
          <w:bottom w:w="28" w:type="dxa"/>
          <w:right w:w="28" w:type="dxa"/>
        </w:tblCellMar>
      </w:tblPr>
      <w:tblGrid>
        <w:gridCol w:w="1157"/>
        <w:gridCol w:w="1013"/>
        <w:gridCol w:w="1024"/>
        <w:gridCol w:w="212"/>
        <w:gridCol w:w="833"/>
        <w:gridCol w:w="109"/>
        <w:gridCol w:w="109"/>
        <w:gridCol w:w="109"/>
        <w:gridCol w:w="109"/>
        <w:gridCol w:w="281"/>
        <w:gridCol w:w="1103"/>
        <w:gridCol w:w="205"/>
      </w:tblGrid>
      <w:tr>
        <w:trPr/>
        <w:tc>
          <w:tcPr>
            <w:tcW w:w="115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263,522 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equipment and vehicles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0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425,529 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280,355 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287,484 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2024, we sold six funeral homes and one cemetery that had a carrying value of property, plant and equipment of $3.1 million, which was included in the loss on sale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on our Consolidated Statements of Operations. Additionally, we sold real property for $0.3 million, with a carrying value of $0.3 million.</w:t>
      </w:r>
      <w:r>
        <w:rPr>
          <w:color w:val="000000"/>
        </w:rPr>
        <w:t xml:space="preserve"> </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At June 30, 2024, we had $0.5 million of assets classified as held for sale in </w:t>
      </w:r>
      <w:r>
        <w:rPr>
          <w:rFonts w:ascii="Times New Roman;sans-serif" w:hAnsi="Times New Roman;sans-serif"/>
          <w:b w:val="false"/>
          <w:i/>
          <w:color w:val="000000"/>
          <w:sz w:val="20"/>
        </w:rPr>
        <w:t>Property, plant and equipment, net</w:t>
      </w:r>
      <w:r>
        <w:rPr>
          <w:color w:val="000000"/>
        </w:rPr>
        <w:t xml:space="preserve"> </w:t>
      </w:r>
      <w:r>
        <w:rPr>
          <w:rFonts w:ascii="Times New Roman;sans-serif" w:hAnsi="Times New Roman;sans-serif"/>
          <w:b w:val="false"/>
          <w:color w:val="000000"/>
          <w:sz w:val="20"/>
        </w:rPr>
        <w:t>on our Consolidated Balance Sheet related to one funeral home that we intend to divest within the next six months.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2023, we acquired $12.8 million of property, plant and equipment related to our acquisition of a business located in Bakersfield, CA, as more fully described in Note 3 to the Consolidated Financial Statements. Additionally, we sold real property for $1.2 million, with a carrying value of $0.6 million, resulting in a gain on the sale of $0.6 million, which was recorded in </w:t>
      </w:r>
      <w:r>
        <w:rPr>
          <w:rFonts w:ascii="Times New Roman;sans-serif" w:hAnsi="Times New Roman;sans-serif"/>
          <w:b w:val="false"/>
          <w:i/>
          <w:color w:val="000000"/>
          <w:sz w:val="20"/>
        </w:rPr>
        <w:t>Net loss on divestitures, disposals and impairment charges</w:t>
      </w:r>
      <w:r>
        <w:rPr>
          <w:color w:val="000000"/>
        </w:rPr>
        <w:t xml:space="preserve"> </w:t>
      </w:r>
      <w:r>
        <w:rPr>
          <w:rFonts w:ascii="Times New Roman;sans-serif" w:hAnsi="Times New Roman;sans-serif"/>
          <w:b w:val="false"/>
          <w:color w:val="000000"/>
          <w:sz w:val="20"/>
        </w:rPr>
        <w:t>on our Consolidated Statements of Operations.</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growth and maintenance capital expenditures totaled $1.9 million and $2.6 million for the three months ended June 30, 2024 and 2023, respectively, and $3.5 million and $5.5 million for the six months ended June 30, 2024 and 2023, respectively. In addition, we recorded depreciation expense of $3.5 million and $3.7 million for the three months ended June 30, 2024 and 2023, respectively, and $7.2 million for both the six months ended June 30, 2024 and 2023.</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Cemetery Property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property was $113.3 million and $114.6 million, net of accumulated amortization of $68.7 million and $64.6 million at June 30, 2024 and December 31, 2023, respectively. When cemetery property is sold, the value of the cemetery property (interment right costs) is expensed as amortization using the specific identification method in the period in which the sale of the interment right is recognized as revenue. Our growth capital expenditures for cemetery property development totaled $1.6 million and $1.4 million for the three months ended June 30, 2024 and 2023, respectively, and $3.6 million and $3.5 million for the six months ended June 30, 2024 and 2023, respectively. We recorded amortization expense for cemetery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interment rights of $2.6 million and $1.9 million for the three months ended June 30, 2024 and 2023, respectively, and $4.3 million and $3.1 million for the six months ended June 30, 2024 and 2023, respectively.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2024, we sold one cemetery that had a carrying value of cemetery property of $0.8 million, which was included in the loss on sale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2023, we acquired cemetery property for $9.0 million related to our acquisition of a business located in Bakersfield, CA, as more fully described in Note 3 to the Consolidated Financial Statements. We also sold two cemeteries that had a carrying value of cemetery property of $0.8 million, which was included in the loss on sale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 xml:space="preserve">on our Consolidated Statements of Operations.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$4.2 million and $3.4 million for the three months ended June 30, 2024 and 2023, respectively, and $7.9 million and $6.9 million for the six months ended June 30, 2024 and 2023, respectively. Our operating tax rate before discrete items was 33.6% and 28.0% for the three months ended June 30, 2024 and 2023, respectively, and 33.2% and 28.5% for the six months ended June 30, 2024 and 2023, respectively.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Subsequent Events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events and transactions during the period subsequent to June 30, 2024 through the date the financial statements were issued for potential recognition or disclosure in the accompanying financial statements covered by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2.RECENTLY ISSUED ACCOUNTING STANDARDS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November 2023, the FASB issued ASU, </w:t>
      </w:r>
      <w:r>
        <w:rPr>
          <w:rFonts w:ascii="Times New Roman;sans-serif" w:hAnsi="Times New Roman;sans-serif"/>
          <w:b w:val="false"/>
          <w:i/>
          <w:color w:val="000000"/>
          <w:sz w:val="20"/>
        </w:rPr>
        <w:t xml:space="preserve">Segment Reporting - Improvements to Reportable Segment Disclosures </w:t>
      </w:r>
      <w:r>
        <w:rPr>
          <w:rFonts w:ascii="Times New Roman;sans-serif" w:hAnsi="Times New Roman;sans-serif"/>
          <w:b w:val="false"/>
          <w:color w:val="000000"/>
          <w:sz w:val="20"/>
        </w:rPr>
        <w:t>(“Topic 280”) to improve reportable segment disclosure requirements, primarily through enhanced disclosures about significant segment expenses. The amendments in this update require that a public entity disclose, on an annual and interim basis (1) significant segment expenses that are regularly provided to the chief operating decision maker (“CODM”) and included within each reported measure of segment profit or loss; and (2) an amount for other segment items, as described in the amendments, by reportable segment and a description of its composition. Additionally, the amendments require that a public entity disclose the title and position of the CODM and an explanation of how the CODM uses the reported measure(s) of segment profit or loss in assessing segment performance and deciding how to allocate resources. The amendments are effective for fiscal years beginning after December 15, 2023, and interim periods within fiscal years beginning after December 15, 2024, and therefore were effective for us for our fiscal year beginning January 1, 2024 and for interim periods within our fiscal year beginning January 1, 2025. We expect the adoption will have no impact on our Consolidated Financial Statements.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Accounting Pronouncements Not Yet Adopted</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December 2023, the FASB issued ASU, </w:t>
      </w:r>
      <w:r>
        <w:rPr>
          <w:rFonts w:ascii="Times New Roman;sans-serif" w:hAnsi="Times New Roman;sans-serif"/>
          <w:b w:val="false"/>
          <w:i/>
          <w:color w:val="000000"/>
          <w:sz w:val="20"/>
        </w:rPr>
        <w:t>Income Taxes - Improvements to Income Tax Disclosures</w:t>
      </w:r>
      <w:r>
        <w:rPr>
          <w:color w:val="000000"/>
        </w:rPr>
        <w:t xml:space="preserve"> </w:t>
      </w:r>
      <w:r>
        <w:rPr>
          <w:rFonts w:ascii="Times New Roman;sans-serif" w:hAnsi="Times New Roman;sans-serif"/>
          <w:b w:val="false"/>
          <w:color w:val="000000"/>
          <w:sz w:val="20"/>
        </w:rPr>
        <w:t>(“Topic 740”) to enhance the transparency about income tax information through improvements to income tax disclosures primarily related to rate reconciliation and income taxes paid information.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(loss) by the applicable statutory income tax rate). The amendments in this update also require that all entities disclose on an annual basis (1) the amount of net income taxes paid disaggregated by federal and state taxes; and (2) the amount of net income taxes paid disaggregated by individual jurisdictions in which net income taxes paid is equal to or greater than five percent of total net income taxes paid. The amendments are effective for annual periods beginning after December 15, 2024. Early adoption is permitted. We plan to adopt the amendments of Topic 740 for our fiscal year beginning January 1, 2025. We expect the adoption will have no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BUSINESS COMBINATIONS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measurement period, we may adjust goodwill, intangible assets, assets or liabilities associated with the acquisition.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acquire any businesses during the three and six months ended June 30, 2024. On March 22, 2023, we acquired a business consisting of three funeral homes, two cemeteries and one cremation focused business in the Bakersfield, CA area for $44.0 million in cash. We acquired substantially all of the assets and assumed certain operating liabilities of this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 forma impact of this acquisition on prior periods is not presented, as the impact is not significant to our reported results. The results of the acquired business are reflected in our Consolidated Statements of Operations from the date of acquisition.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breakdown of the purchase price allocation for our Bakersfield, CA business acquisition (in thousands):</w:t>
      </w:r>
    </w:p>
    <w:tbl>
      <w:tblPr>
        <w:tblW w:w="10205" w:type="dxa"/>
        <w:jc w:val="center"/>
        <w:tblInd w:w="0" w:type="dxa"/>
        <w:tblLayout w:type="fixed"/>
        <w:tblCellMar>
          <w:top w:w="28" w:type="dxa"/>
          <w:left w:w="28" w:type="dxa"/>
          <w:bottom w:w="28" w:type="dxa"/>
          <w:right w:w="28" w:type="dxa"/>
        </w:tblCellMar>
      </w:tblPr>
      <w:tblGrid>
        <w:gridCol w:w="1154"/>
        <w:gridCol w:w="1008"/>
        <w:gridCol w:w="1007"/>
        <w:gridCol w:w="505"/>
        <w:gridCol w:w="1725"/>
        <w:gridCol w:w="260"/>
        <w:gridCol w:w="109"/>
        <w:gridCol w:w="109"/>
        <w:gridCol w:w="109"/>
        <w:gridCol w:w="298"/>
        <w:gridCol w:w="658"/>
        <w:gridCol w:w="155"/>
        <w:gridCol w:w="109"/>
        <w:gridCol w:w="109"/>
        <w:gridCol w:w="109"/>
        <w:gridCol w:w="539"/>
        <w:gridCol w:w="1844"/>
        <w:gridCol w:w="398"/>
      </w:tblGrid>
      <w:tr>
        <w:trPr/>
        <w:tc>
          <w:tcPr>
            <w:tcW w:w="115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Purchase Price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Adjusted Purchase Price Allocation</w:t>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assets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&amp; equipment</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liabilities</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81" w:type="dxa"/>
            <w:gridSpan w:val="3"/>
            <w:tcBorders/>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trust liabilities</w:t>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44,000 </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assets relate to accounts receivable and inventory. The intangible and other non-current assets relate to the fair value of tradenames and right-of-use operating lease assets. The assumed liabilities relate to operating lease obligations and commissions payable. As of December 31, 2023, our accounting for this acquisition was complete.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of the assets acquired and liabilities assumed for this business (in thousands): </w:t>
      </w:r>
    </w:p>
    <w:tbl>
      <w:tblPr>
        <w:tblW w:w="10205" w:type="dxa"/>
        <w:jc w:val="center"/>
        <w:tblInd w:w="0" w:type="dxa"/>
        <w:tblLayout w:type="fixed"/>
        <w:tblCellMar>
          <w:top w:w="28" w:type="dxa"/>
          <w:left w:w="28" w:type="dxa"/>
          <w:bottom w:w="28" w:type="dxa"/>
          <w:right w:w="28" w:type="dxa"/>
        </w:tblCellMar>
      </w:tblPr>
      <w:tblGrid>
        <w:gridCol w:w="396"/>
        <w:gridCol w:w="349"/>
        <w:gridCol w:w="351"/>
        <w:gridCol w:w="109"/>
        <w:gridCol w:w="109"/>
        <w:gridCol w:w="109"/>
        <w:gridCol w:w="991"/>
        <w:gridCol w:w="991"/>
        <w:gridCol w:w="993"/>
        <w:gridCol w:w="109"/>
        <w:gridCol w:w="109"/>
        <w:gridCol w:w="109"/>
        <w:gridCol w:w="392"/>
        <w:gridCol w:w="392"/>
        <w:gridCol w:w="397"/>
        <w:gridCol w:w="109"/>
        <w:gridCol w:w="109"/>
        <w:gridCol w:w="109"/>
        <w:gridCol w:w="274"/>
        <w:gridCol w:w="904"/>
        <w:gridCol w:w="152"/>
        <w:gridCol w:w="109"/>
        <w:gridCol w:w="109"/>
        <w:gridCol w:w="109"/>
        <w:gridCol w:w="196"/>
        <w:gridCol w:w="646"/>
        <w:gridCol w:w="109"/>
        <w:gridCol w:w="109"/>
        <w:gridCol w:w="109"/>
        <w:gridCol w:w="109"/>
        <w:gridCol w:w="196"/>
        <w:gridCol w:w="680"/>
        <w:gridCol w:w="161"/>
      </w:tblGrid>
      <w:tr>
        <w:trPr/>
        <w:tc>
          <w:tcPr>
            <w:tcW w:w="3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Type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Assets Acquired (Excluding</w:t>
              <w:b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Goodwill</w:t>
              <w:br/>
              <w:t>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Liabilities</w:t>
              <w:br/>
              <w:t>and Debt</w:t>
              <w:br/>
              <w:t>Assumed</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Funeral Homes, Two Cemeteries and One Cremation Focused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Bakersfield,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4.GOODWILL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changes in goodwill in the accompanying Consolidated Balance Sheet (in thousands): </w:t>
      </w:r>
    </w:p>
    <w:tbl>
      <w:tblPr>
        <w:tblW w:w="6700" w:type="dxa"/>
        <w:jc w:val="left"/>
        <w:tblInd w:w="0" w:type="dxa"/>
        <w:tblLayout w:type="fixed"/>
        <w:tblCellMar>
          <w:top w:w="28" w:type="dxa"/>
          <w:left w:w="28" w:type="dxa"/>
          <w:bottom w:w="28" w:type="dxa"/>
          <w:right w:w="28" w:type="dxa"/>
        </w:tblCellMar>
      </w:tblPr>
      <w:tblGrid>
        <w:gridCol w:w="1315"/>
        <w:gridCol w:w="1156"/>
        <w:gridCol w:w="1159"/>
        <w:gridCol w:w="212"/>
        <w:gridCol w:w="833"/>
        <w:gridCol w:w="109"/>
        <w:gridCol w:w="109"/>
        <w:gridCol w:w="109"/>
        <w:gridCol w:w="109"/>
        <w:gridCol w:w="281"/>
        <w:gridCol w:w="1103"/>
        <w:gridCol w:w="205"/>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beginning of the period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goodwill related to acquisitions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goodwill related to divestitures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the end of the period</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423,643 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2024, we allocated $8.7 million of goodwill to the sale of six funeral homes and one cemetery for a loss recorded in </w:t>
      </w:r>
      <w:r>
        <w:rPr>
          <w:rFonts w:ascii="Times New Roman;sans-serif" w:hAnsi="Times New Roman;sans-serif"/>
          <w:b w:val="false"/>
          <w:i/>
          <w:color w:val="000000"/>
          <w:sz w:val="20"/>
        </w:rPr>
        <w:t xml:space="preserve">Net loss on divestitures, disposals and impairments charges, </w:t>
      </w:r>
      <w:r>
        <w:rPr>
          <w:rFonts w:ascii="Times New Roman;sans-serif" w:hAnsi="Times New Roman;sans-serif"/>
          <w:b w:val="false"/>
          <w:color w:val="000000"/>
          <w:sz w:val="20"/>
        </w:rPr>
        <w:t xml:space="preserve">of which $7.8 million was allocated to our funeral homes segment and $1.0 million was allocated to our cemetery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we recognized $13.5 million in goodwill related to our acquisition of a business located in Bakersfield, CA, of which $4.5 million was allocated to our cemetery segment and $9.0 million was allocated to our funeral home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5.DIVESTED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we merged one funeral home with another business we own in an existing market. During the six months ended June 30, 2024, we sold six funeral homes and one cemetery for an aggregate of $10.9 million and merged one funeral home with another business we own in an existing market.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we merged one funeral home with another business we own in an existing market. During the six months ended June 30, 2023, we sold one funeral home and two cemeteries for an aggregate of $0.8 million and merged one funeral home with another business we own in an existing market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these divested funeral homes and cemeteries are reflected on our Consolidated Statements of Operations as shown in the table below (in thousands):</w:t>
      </w:r>
    </w:p>
    <w:tbl>
      <w:tblPr>
        <w:tblW w:w="9021" w:type="dxa"/>
        <w:jc w:val="left"/>
        <w:tblInd w:w="0" w:type="dxa"/>
        <w:tblLayout w:type="fixed"/>
        <w:tblCellMar>
          <w:top w:w="28" w:type="dxa"/>
          <w:left w:w="28" w:type="dxa"/>
          <w:bottom w:w="28" w:type="dxa"/>
          <w:right w:w="28" w:type="dxa"/>
        </w:tblCellMar>
      </w:tblPr>
      <w:tblGrid>
        <w:gridCol w:w="1478"/>
        <w:gridCol w:w="1302"/>
        <w:gridCol w:w="1315"/>
        <w:gridCol w:w="273"/>
        <w:gridCol w:w="604"/>
        <w:gridCol w:w="141"/>
        <w:gridCol w:w="141"/>
        <w:gridCol w:w="141"/>
        <w:gridCol w:w="141"/>
        <w:gridCol w:w="273"/>
        <w:gridCol w:w="526"/>
        <w:gridCol w:w="141"/>
        <w:gridCol w:w="109"/>
        <w:gridCol w:w="109"/>
        <w:gridCol w:w="109"/>
        <w:gridCol w:w="227"/>
        <w:gridCol w:w="662"/>
        <w:gridCol w:w="117"/>
        <w:gridCol w:w="117"/>
        <w:gridCol w:w="117"/>
        <w:gridCol w:w="117"/>
        <w:gridCol w:w="227"/>
        <w:gridCol w:w="469"/>
        <w:gridCol w:w="165"/>
      </w:tblGrid>
      <w:tr>
        <w:trPr/>
        <w:tc>
          <w:tcPr>
            <w:tcW w:w="1478"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Loss on divestitures</w:t>
            </w:r>
            <w:r>
              <w:rPr>
                <w:rFonts w:ascii="Times New Roman;sans-serif" w:hAnsi="Times New Roman;sans-serif"/>
                <w:b w:val="false"/>
                <w:color w:val="000000"/>
                <w:sz w:val="13"/>
              </w:rPr>
              <w:t>(1)</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benefit </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from divested operations, after tax</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Loss on divestitures is recorded in </w:t>
            </w:r>
            <w:r>
              <w:rPr>
                <w:rFonts w:ascii="Times New Roman;sans-serif" w:hAnsi="Times New Roman;sans-serif"/>
                <w:b w:val="false"/>
                <w:i/>
                <w:color w:val="000000"/>
                <w:sz w:val="16"/>
              </w:rPr>
              <w:t xml:space="preserve">Net loss on divestitures, disposals and impairments charges </w:t>
            </w:r>
            <w:r>
              <w:rPr>
                <w:rFonts w:ascii="Times New Roman;sans-serif" w:hAnsi="Times New Roman;sans-serif"/>
                <w:b w:val="false"/>
                <w:color w:val="000000"/>
                <w:sz w:val="16"/>
              </w:rPr>
              <w:t>on our Consolidated Statements of Operations.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6.RECEIVABLES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Our funeral receivables are recorded in </w:t>
      </w:r>
      <w:r>
        <w:rPr>
          <w:rFonts w:ascii="Times New Roman;sans-serif" w:hAnsi="Times New Roman;sans-serif"/>
          <w:b w:val="false"/>
          <w:i/>
          <w:color w:val="000000"/>
          <w:sz w:val="20"/>
        </w:rPr>
        <w:t>Accounts receivable, net</w:t>
      </w:r>
      <w:r>
        <w:rPr>
          <w:color w:val="000000"/>
        </w:rPr>
        <w:t xml:space="preserve"> </w:t>
      </w:r>
      <w:r>
        <w:rPr>
          <w:rFonts w:ascii="Times New Roman;sans-serif" w:hAnsi="Times New Roman;sans-serif"/>
          <w:b w:val="false"/>
          <w:color w:val="000000"/>
          <w:sz w:val="20"/>
        </w:rPr>
        <w:t xml:space="preserve">and primarily consist of amounts due for funeral services already performed.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Atneed cemetery receivables and preneed cemetery receivables with payments expected to be received within one year from the balance sheet date are also recorded in </w:t>
      </w:r>
      <w:r>
        <w:rPr>
          <w:rFonts w:ascii="Times New Roman;sans-serif" w:hAnsi="Times New Roman;sans-serif"/>
          <w:b w:val="false"/>
          <w:i/>
          <w:color w:val="000000"/>
          <w:sz w:val="20"/>
        </w:rPr>
        <w:t>Accounts receivable, net</w:t>
      </w:r>
      <w:r>
        <w:rPr>
          <w:rFonts w:ascii="Times New Roman;sans-serif" w:hAnsi="Times New Roman;sans-serif"/>
          <w:b w:val="false"/>
          <w:color w:val="000000"/>
          <w:sz w:val="20"/>
        </w:rPr>
        <w:t xml:space="preserve">. Preneed cemetery receivables with payments expected to be received beyond one year from the balance sheet date are recorded in </w:t>
      </w:r>
      <w:r>
        <w:rPr>
          <w:rFonts w:ascii="Times New Roman;sans-serif" w:hAnsi="Times New Roman;sans-serif"/>
          <w:b w:val="false"/>
          <w:i/>
          <w:color w:val="000000"/>
          <w:sz w:val="20"/>
        </w:rPr>
        <w:t>Preneed cemetery receivables, net</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comprised of the following (in thousands): </w:t>
      </w:r>
    </w:p>
    <w:tbl>
      <w:tblPr>
        <w:tblW w:w="7584" w:type="dxa"/>
        <w:jc w:val="left"/>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41"/>
        <w:gridCol w:w="534"/>
        <w:gridCol w:w="126"/>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84" w:type="dxa"/>
        <w:jc w:val="center"/>
        <w:tblInd w:w="0" w:type="dxa"/>
        <w:tblLayout w:type="fixed"/>
        <w:tblCellMar>
          <w:top w:w="28" w:type="dxa"/>
          <w:left w:w="28" w:type="dxa"/>
          <w:bottom w:w="28" w:type="dxa"/>
          <w:right w:w="28" w:type="dxa"/>
        </w:tblCellMar>
      </w:tblPr>
      <w:tblGrid>
        <w:gridCol w:w="955"/>
        <w:gridCol w:w="841"/>
        <w:gridCol w:w="843"/>
        <w:gridCol w:w="211"/>
        <w:gridCol w:w="616"/>
        <w:gridCol w:w="109"/>
        <w:gridCol w:w="109"/>
        <w:gridCol w:w="109"/>
        <w:gridCol w:w="109"/>
        <w:gridCol w:w="211"/>
        <w:gridCol w:w="721"/>
        <w:gridCol w:w="109"/>
        <w:gridCol w:w="109"/>
        <w:gridCol w:w="109"/>
        <w:gridCol w:w="109"/>
        <w:gridCol w:w="241"/>
        <w:gridCol w:w="534"/>
        <w:gridCol w:w="126"/>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in our allowance for credit losses by segment (in thousands):</w:t>
      </w:r>
    </w:p>
    <w:tbl>
      <w:tblPr>
        <w:tblW w:w="10205" w:type="dxa"/>
        <w:jc w:val="left"/>
        <w:tblInd w:w="0" w:type="dxa"/>
        <w:tblLayout w:type="fixed"/>
        <w:tblCellMar>
          <w:top w:w="28" w:type="dxa"/>
          <w:left w:w="28" w:type="dxa"/>
          <w:bottom w:w="28" w:type="dxa"/>
          <w:right w:w="28" w:type="dxa"/>
        </w:tblCellMar>
      </w:tblPr>
      <w:tblGrid>
        <w:gridCol w:w="1134"/>
        <w:gridCol w:w="998"/>
        <w:gridCol w:w="1001"/>
        <w:gridCol w:w="242"/>
        <w:gridCol w:w="763"/>
        <w:gridCol w:w="125"/>
        <w:gridCol w:w="109"/>
        <w:gridCol w:w="109"/>
        <w:gridCol w:w="109"/>
        <w:gridCol w:w="364"/>
        <w:gridCol w:w="916"/>
        <w:gridCol w:w="188"/>
        <w:gridCol w:w="109"/>
        <w:gridCol w:w="109"/>
        <w:gridCol w:w="109"/>
        <w:gridCol w:w="109"/>
        <w:gridCol w:w="109"/>
        <w:gridCol w:w="211"/>
        <w:gridCol w:w="616"/>
        <w:gridCol w:w="109"/>
        <w:gridCol w:w="109"/>
        <w:gridCol w:w="109"/>
        <w:gridCol w:w="109"/>
        <w:gridCol w:w="241"/>
        <w:gridCol w:w="550"/>
        <w:gridCol w:w="125"/>
        <w:gridCol w:w="109"/>
        <w:gridCol w:w="109"/>
        <w:gridCol w:w="109"/>
        <w:gridCol w:w="224"/>
        <w:gridCol w:w="703"/>
        <w:gridCol w:w="169"/>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financed receivables: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 on trade and financed receivables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Balances due on undelivered preneed funeral trust contracts have been reclassified to reduce </w:t>
      </w:r>
      <w:r>
        <w:rPr>
          <w:rFonts w:ascii="Times New Roman;sans-serif" w:hAnsi="Times New Roman;sans-serif"/>
          <w:b w:val="false"/>
          <w:i/>
          <w:color w:val="000000"/>
          <w:sz w:val="20"/>
        </w:rPr>
        <w:t>Deferred preneed funeral revenue</w:t>
      </w:r>
      <w:r>
        <w:rPr>
          <w:color w:val="000000"/>
        </w:rPr>
        <w:t xml:space="preserve"> </w:t>
      </w:r>
      <w:r>
        <w:rPr>
          <w:rFonts w:ascii="Times New Roman;sans-serif" w:hAnsi="Times New Roman;sans-serif"/>
          <w:b w:val="false"/>
          <w:color w:val="000000"/>
          <w:sz w:val="20"/>
        </w:rPr>
        <w:t xml:space="preserve">on our Consolidated Balance Sheet of $10.8 million and $10.7 million at June 30, 2024 and December 31, 2023, respectively. As these performance obligations are to be completed after the date of death, we cannot quantify the recognition of revenue in future periods. However, we estimate an average maturity period of ten years for preneed funeral contracts.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Cemetery Receivables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receivables are comprised of the following (in thousands):</w:t>
      </w:r>
    </w:p>
    <w:tbl>
      <w:tblPr>
        <w:tblW w:w="5276" w:type="dxa"/>
        <w:jc w:val="left"/>
        <w:tblInd w:w="0" w:type="dxa"/>
        <w:tblLayout w:type="fixed"/>
        <w:tblCellMar>
          <w:top w:w="28" w:type="dxa"/>
          <w:left w:w="28" w:type="dxa"/>
          <w:bottom w:w="28" w:type="dxa"/>
          <w:right w:w="28" w:type="dxa"/>
        </w:tblCellMar>
      </w:tblPr>
      <w:tblGrid>
        <w:gridCol w:w="797"/>
        <w:gridCol w:w="702"/>
        <w:gridCol w:w="705"/>
        <w:gridCol w:w="234"/>
        <w:gridCol w:w="800"/>
        <w:gridCol w:w="121"/>
        <w:gridCol w:w="109"/>
        <w:gridCol w:w="109"/>
        <w:gridCol w:w="109"/>
        <w:gridCol w:w="309"/>
        <w:gridCol w:w="1056"/>
        <w:gridCol w:w="225"/>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Interment rights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 and services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finance charges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77,755 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cemetery receivables are as follows (in thousands):</w:t>
      </w:r>
    </w:p>
    <w:tbl>
      <w:tblPr>
        <w:tblW w:w="8232" w:type="dxa"/>
        <w:jc w:val="center"/>
        <w:tblInd w:w="0" w:type="dxa"/>
        <w:tblLayout w:type="fixed"/>
        <w:tblCellMar>
          <w:top w:w="28" w:type="dxa"/>
          <w:left w:w="28" w:type="dxa"/>
          <w:bottom w:w="28" w:type="dxa"/>
          <w:right w:w="28" w:type="dxa"/>
        </w:tblCellMar>
      </w:tblPr>
      <w:tblGrid>
        <w:gridCol w:w="1869"/>
        <w:gridCol w:w="1644"/>
        <w:gridCol w:w="1647"/>
        <w:gridCol w:w="234"/>
        <w:gridCol w:w="800"/>
        <w:gridCol w:w="121"/>
        <w:gridCol w:w="109"/>
        <w:gridCol w:w="109"/>
        <w:gridCol w:w="109"/>
        <w:gridCol w:w="309"/>
        <w:gridCol w:w="1056"/>
        <w:gridCol w:w="225"/>
      </w:tblGrid>
      <w:tr>
        <w:trPr/>
        <w:tc>
          <w:tcPr>
            <w:tcW w:w="186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77,755 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unearned finance charges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receivables, at amortized cost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Less: balances due on undelivered cemetery preneed contracts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in accounts receivable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(17,219)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receivables,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following table summarizes the activity in our allowance for credit losses for </w:t>
      </w:r>
      <w:r>
        <w:rPr>
          <w:rFonts w:ascii="Times New Roman;sans-serif" w:hAnsi="Times New Roman;sans-serif"/>
          <w:b w:val="false"/>
          <w:i/>
          <w:color w:val="000000"/>
          <w:sz w:val="20"/>
        </w:rPr>
        <w:t>Preneed cemetery receivables, net</w:t>
      </w:r>
      <w:r>
        <w:rPr>
          <w:color w:val="000000"/>
        </w:rPr>
        <w:t xml:space="preserve"> </w:t>
      </w: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543"/>
        <w:gridCol w:w="1357"/>
        <w:gridCol w:w="1361"/>
        <w:gridCol w:w="256"/>
        <w:gridCol w:w="821"/>
        <w:gridCol w:w="132"/>
        <w:gridCol w:w="109"/>
        <w:gridCol w:w="109"/>
        <w:gridCol w:w="109"/>
        <w:gridCol w:w="430"/>
        <w:gridCol w:w="1092"/>
        <w:gridCol w:w="222"/>
        <w:gridCol w:w="109"/>
        <w:gridCol w:w="109"/>
        <w:gridCol w:w="109"/>
        <w:gridCol w:w="233"/>
        <w:gridCol w:w="517"/>
        <w:gridCol w:w="121"/>
        <w:gridCol w:w="109"/>
        <w:gridCol w:w="109"/>
        <w:gridCol w:w="109"/>
        <w:gridCol w:w="229"/>
        <w:gridCol w:w="734"/>
        <w:gridCol w:w="176"/>
      </w:tblGrid>
      <w:tr>
        <w:trPr/>
        <w:tc>
          <w:tcPr>
            <w:tcW w:w="154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Write 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allowance for credit losses on </w:t>
            </w:r>
            <w:r>
              <w:rPr>
                <w:rFonts w:ascii="Times New Roman;sans-serif" w:hAnsi="Times New Roman;sans-serif"/>
                <w:b w:val="false"/>
                <w:i/>
                <w:color w:val="000000"/>
                <w:sz w:val="20"/>
              </w:rPr>
              <w:t>Preneed cemetery receivables, net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basis of our cemetery receivables by year of origination at June 30, 2024 is as follows (in thousands):</w:t>
      </w:r>
    </w:p>
    <w:tbl>
      <w:tblPr>
        <w:tblW w:w="10205" w:type="dxa"/>
        <w:jc w:val="center"/>
        <w:tblInd w:w="0" w:type="dxa"/>
        <w:tblLayout w:type="fixed"/>
        <w:tblCellMar>
          <w:top w:w="28" w:type="dxa"/>
          <w:left w:w="28" w:type="dxa"/>
          <w:bottom w:w="28" w:type="dxa"/>
          <w:right w:w="28" w:type="dxa"/>
        </w:tblCellMar>
      </w:tblPr>
      <w:tblGrid>
        <w:gridCol w:w="443"/>
        <w:gridCol w:w="390"/>
        <w:gridCol w:w="3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preneed cemetery receivables, at amortized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aging of past due cemetery receivables at June 30, 2024 is as follows (in thousands):</w:t>
      </w:r>
    </w:p>
    <w:tbl>
      <w:tblPr>
        <w:tblW w:w="10205" w:type="dxa"/>
        <w:jc w:val="left"/>
        <w:tblInd w:w="0" w:type="dxa"/>
        <w:tblLayout w:type="fixed"/>
        <w:tblCellMar>
          <w:top w:w="28" w:type="dxa"/>
          <w:left w:w="28" w:type="dxa"/>
          <w:bottom w:w="28" w:type="dxa"/>
          <w:right w:w="28" w:type="dxa"/>
        </w:tblCellMar>
      </w:tblPr>
      <w:tblGrid>
        <w:gridCol w:w="621"/>
        <w:gridCol w:w="546"/>
        <w:gridCol w:w="548"/>
        <w:gridCol w:w="211"/>
        <w:gridCol w:w="616"/>
        <w:gridCol w:w="109"/>
        <w:gridCol w:w="109"/>
        <w:gridCol w:w="109"/>
        <w:gridCol w:w="109"/>
        <w:gridCol w:w="213"/>
        <w:gridCol w:w="471"/>
        <w:gridCol w:w="112"/>
        <w:gridCol w:w="109"/>
        <w:gridCol w:w="109"/>
        <w:gridCol w:w="109"/>
        <w:gridCol w:w="213"/>
        <w:gridCol w:w="471"/>
        <w:gridCol w:w="112"/>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6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31-60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61-90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91-120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&gt;120</w:t>
              <w:br/>
              <w:t>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Balances due on undelivered preneed cemetery contracts have been reclassified to reduce </w:t>
      </w:r>
      <w:r>
        <w:rPr>
          <w:rFonts w:ascii="Times New Roman;sans-serif" w:hAnsi="Times New Roman;sans-serif"/>
          <w:b w:val="false"/>
          <w:i/>
          <w:color w:val="000000"/>
          <w:sz w:val="20"/>
        </w:rPr>
        <w:t>Deferred preneed cemetery revenue</w:t>
      </w:r>
      <w:r>
        <w:rPr>
          <w:color w:val="000000"/>
        </w:rPr>
        <w:t xml:space="preserve"> </w:t>
      </w:r>
      <w:r>
        <w:rPr>
          <w:rFonts w:ascii="Times New Roman;sans-serif" w:hAnsi="Times New Roman;sans-serif"/>
          <w:b w:val="false"/>
          <w:color w:val="000000"/>
          <w:sz w:val="20"/>
        </w:rPr>
        <w:t xml:space="preserve">on our Consolidated Balance Sheet. The transaction price allocated to preneed merchandise and service performance obligations that were unfulfilled were $14.6 million and $15.8 million at June 30, 2024 and December 31,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these performance obligations are to be completed after the date of death, we cannot quantify the recognition of revenue in future periods. However, we estimate an average maturity period of eight years for preneed cemetery contracts.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7.FAIR VALUE MEASUREMENTS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evaluated our financial assets and liabilities for those that met the criteria of the disclosure requirements and fair value framework. The carrying values of cash and cash equivalents, accounts receivable and accounts payable approximate the fair values of those instruments due to the short-term nature of the instruments. The fair values of our receivables on preneed cemetery contracts are impracticable to estimate because of the lack of a trading market and the diverse number of individual contracts with varying terms. Our acquisition debt and Credit Facility (as defined in Note 11) and Senior Notes (as defined in Note 12) are classified within Level 2 of the Fair Value Measurements hierarchy.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the carrying value and fair value of our Credit Facility was $155.0 million. We believe that our Credit Facility bears interest at a rate that approximates prevailing market rates for instruments with similar characteristics and therefore, the carrying value of our Credit Facility approximates fair value. We estimate the fair value of our acquisition debt utilizing an income approach, which uses a present value calculation to discount payments based on current market rates as of the reporting date. At June 30, 2024, the carrying value of our acquisition debt was $6.0 million, which approximated its fair value. The fair value of our Senior Notes was $357.0 million at June 30, 2024 based on the last traded or broker quoted price.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investments in fixed income securities, common stock and mutual funds presented within the preneed and perpetual care trust investments categories on our Consolidated Balance Sheet as having met the criteria for fair value measurement. 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U.S. agency obligations, foreign debt, corporate debt, preferred stocks, certificates of deposit and fixed income mutual funds and other investments, all of which are classified within Level 2 of the valuation hierarchy.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In addition, we have an investment in a limited partnership fund, whose fair value has been estimated using the net asset value per share practical expedient described in ASC 820-10-35-59, </w:t>
      </w:r>
      <w:r>
        <w:rPr>
          <w:rFonts w:ascii="Times New Roman;sans-serif" w:hAnsi="Times New Roman;sans-serif"/>
          <w:b w:val="false"/>
          <w:i/>
          <w:color w:val="000000"/>
          <w:sz w:val="20"/>
        </w:rPr>
        <w:t>Fair Value Measurement of Investments in Certain Entities That Calculate Net Asset Value per Share (or Its Equivalent)</w:t>
      </w:r>
      <w:r>
        <w:rPr>
          <w:color w:val="000000"/>
        </w:rPr>
        <w:t xml:space="preserve"> </w:t>
      </w:r>
      <w:r>
        <w:rPr>
          <w:rFonts w:ascii="Times New Roman;sans-serif" w:hAnsi="Times New Roman;sans-serif"/>
          <w:b w:val="false"/>
          <w:color w:val="000000"/>
          <w:sz w:val="20"/>
        </w:rPr>
        <w:t>and therefore, has not been classified in the fair value hierarchy. The investment strategy of this fund is to generate attractive, risk-adjusted returns over a multi-year performance period through the construction of a concentrated portfolio of investments possessing certain distinct business attributes that suggest the potential for long-term value creation. Beginning March 31, 2024, the agreement permits us to withdraw a percentage of the value of the investments in this fund through quarterly withdrawals with the intention to permit withdrawal of the entire investment over twelve successive withdrawal dates. Our unfunded commitment for this investment at June 30, 2024 was $10.0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receivables from preneed funeral trusts represent assets in trusts which are controlled and operated by third parties in which we do not have a controlling financial interest (less than 50%) in the trust assets. We account for these investments at cost. See Notes 8 and 9 to our Consolidated Financial Statements for the fair value hierarchy levels of our trust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These earnings are recognized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on our</w:t>
      </w:r>
      <w:r>
        <w:rPr>
          <w:color w:val="000000"/>
        </w:rPr>
        <w:t xml:space="preserve"> </w:t>
      </w:r>
      <w:r>
        <w:rPr>
          <w:rFonts w:ascii="Times New Roman;sans-serif" w:hAnsi="Times New Roman;sans-serif"/>
          <w:b w:val="false"/>
          <w:color w:val="000000"/>
          <w:sz w:val="20"/>
        </w:rPr>
        <w:t xml:space="preserve">Consolidated Statements of Operations, when a service is performed or merchandise is delivered. Trust management fees charged by our wholly-owned registered investment advisory firm are included as revenue in the period in which they are earned. Our investments are diversified across multiple industry segments using a balanced allocation strategy to minimize long-term risk. We do not intend to sell and it is likely that we will not be required to sell the securities prior to their anticipated recovery.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investments represent a portion of the proceeds from the sale of cemetery property interment rights that we are required by various state laws to deposit into perpetual care trust funds. The income earned from these perpetual care trusts offsets maintenance expenses for cemetery property and memorials. This trust fund income is recognized in </w:t>
      </w:r>
      <w:r>
        <w:rPr>
          <w:rFonts w:ascii="Times New Roman;sans-serif" w:hAnsi="Times New Roman;sans-serif"/>
          <w:b w:val="false"/>
          <w:i/>
          <w:color w:val="000000"/>
          <w:sz w:val="20"/>
        </w:rPr>
        <w:t>Other revenue.</w:t>
      </w:r>
      <w:r>
        <w:rPr>
          <w:color w:val="000000"/>
        </w:rPr>
        <w:t xml:space="preserve">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Changes in the fair value of our trust fund assets (</w:t>
      </w:r>
      <w:r>
        <w:rPr>
          <w:rFonts w:ascii="Times New Roman;sans-serif" w:hAnsi="Times New Roman;sans-serif"/>
          <w:b w:val="false"/>
          <w:i/>
          <w:color w:val="000000"/>
          <w:sz w:val="20"/>
        </w:rPr>
        <w:t>Preneed funeral, cemetery and perpetual care trust investments</w:t>
      </w:r>
      <w:r>
        <w:rPr>
          <w:rFonts w:ascii="Times New Roman;sans-serif" w:hAnsi="Times New Roman;sans-serif"/>
          <w:b w:val="false"/>
          <w:color w:val="000000"/>
          <w:sz w:val="20"/>
        </w:rPr>
        <w:t>) are offset by changes in the fair value of our trust fund liabilities (</w:t>
      </w:r>
      <w:r>
        <w:rPr>
          <w:rFonts w:ascii="Times New Roman;sans-serif" w:hAnsi="Times New Roman;sans-serif"/>
          <w:b w:val="false"/>
          <w:i/>
          <w:color w:val="000000"/>
          <w:sz w:val="20"/>
        </w:rPr>
        <w:t>Deferred preneed funeral and cemetery receipts held in trust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Care trusts’ corpus</w:t>
      </w:r>
      <w:r>
        <w:rPr>
          <w:rFonts w:ascii="Times New Roman;sans-serif" w:hAnsi="Times New Roman;sans-serif"/>
          <w:b w:val="false"/>
          <w:color w:val="000000"/>
          <w:sz w:val="20"/>
        </w:rPr>
        <w:t xml:space="preserve">) and reflected in </w:t>
      </w:r>
      <w:r>
        <w:rPr>
          <w:rFonts w:ascii="Times New Roman;sans-serif" w:hAnsi="Times New Roman;sans-serif"/>
          <w:b w:val="false"/>
          <w:i/>
          <w:color w:val="000000"/>
          <w:sz w:val="20"/>
        </w:rPr>
        <w:t>Other, net</w:t>
      </w:r>
      <w:r>
        <w:rPr>
          <w:rFonts w:ascii="Times New Roman;sans-serif" w:hAnsi="Times New Roman;sans-serif"/>
          <w:b w:val="false"/>
          <w:color w:val="000000"/>
          <w:sz w:val="20"/>
        </w:rPr>
        <w:t xml:space="preserve">. There is no impact on earnings until such time the services are performed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merchandise is delivered, causing the contract to be withdrawn from the trust in accordance with state regulations and the gain or loss is allocated to the contract.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Preneed Cemetery Trust Investments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cemetery trust investments</w:t>
      </w:r>
      <w:r>
        <w:rPr>
          <w:color w:val="000000"/>
        </w:rPr>
        <w:t xml:space="preserve"> </w:t>
      </w:r>
      <w:r>
        <w:rPr>
          <w:rFonts w:ascii="Times New Roman;sans-serif" w:hAnsi="Times New Roman;sans-serif"/>
          <w:b w:val="false"/>
          <w:color w:val="000000"/>
          <w:sz w:val="20"/>
        </w:rPr>
        <w:t xml:space="preserve">on our Consolidated Balance Sheet are as follows (in thousands): </w:t>
      </w:r>
    </w:p>
    <w:tbl>
      <w:tblPr>
        <w:tblW w:w="7375" w:type="dxa"/>
        <w:jc w:val="left"/>
        <w:tblInd w:w="0" w:type="dxa"/>
        <w:tblLayout w:type="fixed"/>
        <w:tblCellMar>
          <w:top w:w="28" w:type="dxa"/>
          <w:left w:w="28" w:type="dxa"/>
          <w:bottom w:w="28" w:type="dxa"/>
          <w:right w:w="28" w:type="dxa"/>
        </w:tblCellMar>
      </w:tblPr>
      <w:tblGrid>
        <w:gridCol w:w="1558"/>
        <w:gridCol w:w="1369"/>
        <w:gridCol w:w="1377"/>
        <w:gridCol w:w="212"/>
        <w:gridCol w:w="833"/>
        <w:gridCol w:w="109"/>
        <w:gridCol w:w="109"/>
        <w:gridCol w:w="109"/>
        <w:gridCol w:w="109"/>
        <w:gridCol w:w="309"/>
        <w:gridCol w:w="1056"/>
        <w:gridCol w:w="225"/>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 at market value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96,374 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and market values associated with preneed cemetery trust investments at June 30, 2024 are detailed below (in thousands): </w:t>
      </w:r>
    </w:p>
    <w:tbl>
      <w:tblPr>
        <w:tblW w:w="10205" w:type="dxa"/>
        <w:jc w:val="left"/>
        <w:tblInd w:w="0" w:type="dxa"/>
        <w:tblLayout w:type="fixed"/>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616"/>
        <w:gridCol w:w="109"/>
        <w:gridCol w:w="109"/>
        <w:gridCol w:w="109"/>
        <w:gridCol w:w="109"/>
        <w:gridCol w:w="211"/>
        <w:gridCol w:w="783"/>
        <w:gridCol w:w="109"/>
        <w:gridCol w:w="109"/>
        <w:gridCol w:w="109"/>
        <w:gridCol w:w="109"/>
        <w:gridCol w:w="211"/>
        <w:gridCol w:w="826"/>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cemetery trust investments at December 31, 2023 are detailed below (in thousands):</w:t>
      </w:r>
    </w:p>
    <w:tbl>
      <w:tblPr>
        <w:tblW w:w="10205" w:type="dxa"/>
        <w:jc w:val="left"/>
        <w:tblInd w:w="0" w:type="dxa"/>
        <w:tblLayout w:type="fixed"/>
        <w:tblCellMar>
          <w:top w:w="28" w:type="dxa"/>
          <w:left w:w="28" w:type="dxa"/>
          <w:bottom w:w="28" w:type="dxa"/>
          <w:right w:w="28" w:type="dxa"/>
        </w:tblCellMar>
      </w:tblPr>
      <w:tblGrid>
        <w:gridCol w:w="994"/>
        <w:gridCol w:w="829"/>
        <w:gridCol w:w="833"/>
        <w:gridCol w:w="620"/>
        <w:gridCol w:w="620"/>
        <w:gridCol w:w="622"/>
        <w:gridCol w:w="109"/>
        <w:gridCol w:w="109"/>
        <w:gridCol w:w="109"/>
        <w:gridCol w:w="211"/>
        <w:gridCol w:w="826"/>
        <w:gridCol w:w="109"/>
        <w:gridCol w:w="109"/>
        <w:gridCol w:w="109"/>
        <w:gridCol w:w="109"/>
        <w:gridCol w:w="211"/>
        <w:gridCol w:w="721"/>
        <w:gridCol w:w="109"/>
        <w:gridCol w:w="109"/>
        <w:gridCol w:w="109"/>
        <w:gridCol w:w="109"/>
        <w:gridCol w:w="211"/>
        <w:gridCol w:w="783"/>
        <w:gridCol w:w="109"/>
        <w:gridCol w:w="109"/>
        <w:gridCol w:w="109"/>
        <w:gridCol w:w="109"/>
        <w:gridCol w:w="211"/>
        <w:gridCol w:w="721"/>
        <w:gridCol w:w="157"/>
      </w:tblGrid>
      <w:tr>
        <w:trPr/>
        <w:tc>
          <w:tcPr>
            <w:tcW w:w="99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deposit</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cemetery trust investments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June 30,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96"/>
        <w:gridCol w:w="595"/>
        <w:gridCol w:w="597"/>
        <w:gridCol w:w="238"/>
        <w:gridCol w:w="695"/>
        <w:gridCol w:w="123"/>
        <w:gridCol w:w="121"/>
        <w:gridCol w:w="121"/>
        <w:gridCol w:w="121"/>
        <w:gridCol w:w="284"/>
        <w:gridCol w:w="584"/>
        <w:gridCol w:w="126"/>
        <w:gridCol w:w="109"/>
        <w:gridCol w:w="109"/>
        <w:gridCol w:w="109"/>
        <w:gridCol w:w="232"/>
        <w:gridCol w:w="794"/>
        <w:gridCol w:w="119"/>
        <w:gridCol w:w="119"/>
        <w:gridCol w:w="119"/>
        <w:gridCol w:w="119"/>
        <w:gridCol w:w="232"/>
        <w:gridCol w:w="718"/>
        <w:gridCol w:w="119"/>
        <w:gridCol w:w="109"/>
        <w:gridCol w:w="109"/>
        <w:gridCol w:w="109"/>
        <w:gridCol w:w="229"/>
        <w:gridCol w:w="784"/>
        <w:gridCol w:w="118"/>
        <w:gridCol w:w="109"/>
        <w:gridCol w:w="109"/>
        <w:gridCol w:w="109"/>
        <w:gridCol w:w="229"/>
        <w:gridCol w:w="710"/>
        <w:gridCol w:w="182"/>
      </w:tblGrid>
      <w:tr>
        <w:trPr/>
        <w:tc>
          <w:tcPr>
            <w:tcW w:w="79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cemetery trust investments in an unrealized loss position at December 31,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812"/>
        <w:gridCol w:w="611"/>
        <w:gridCol w:w="613"/>
        <w:gridCol w:w="256"/>
        <w:gridCol w:w="567"/>
        <w:gridCol w:w="132"/>
        <w:gridCol w:w="128"/>
        <w:gridCol w:w="128"/>
        <w:gridCol w:w="128"/>
        <w:gridCol w:w="349"/>
        <w:gridCol w:w="518"/>
        <w:gridCol w:w="134"/>
        <w:gridCol w:w="109"/>
        <w:gridCol w:w="109"/>
        <w:gridCol w:w="109"/>
        <w:gridCol w:w="233"/>
        <w:gridCol w:w="798"/>
        <w:gridCol w:w="120"/>
        <w:gridCol w:w="120"/>
        <w:gridCol w:w="120"/>
        <w:gridCol w:w="120"/>
        <w:gridCol w:w="233"/>
        <w:gridCol w:w="722"/>
        <w:gridCol w:w="120"/>
        <w:gridCol w:w="109"/>
        <w:gridCol w:w="109"/>
        <w:gridCol w:w="109"/>
        <w:gridCol w:w="230"/>
        <w:gridCol w:w="787"/>
        <w:gridCol w:w="119"/>
        <w:gridCol w:w="109"/>
        <w:gridCol w:w="109"/>
        <w:gridCol w:w="109"/>
        <w:gridCol w:w="230"/>
        <w:gridCol w:w="714"/>
        <w:gridCol w:w="182"/>
      </w:tblGrid>
      <w:tr>
        <w:trPr/>
        <w:tc>
          <w:tcPr>
            <w:tcW w:w="8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9"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2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cemetery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10065" w:type="dxa"/>
        <w:jc w:val="left"/>
        <w:tblInd w:w="0" w:type="dxa"/>
        <w:tblLayout w:type="fixed"/>
        <w:tblCellMar>
          <w:top w:w="28" w:type="dxa"/>
          <w:left w:w="28" w:type="dxa"/>
          <w:bottom w:w="28" w:type="dxa"/>
          <w:right w:w="28" w:type="dxa"/>
        </w:tblCellMar>
      </w:tblPr>
      <w:tblGrid>
        <w:gridCol w:w="1854"/>
        <w:gridCol w:w="1628"/>
        <w:gridCol w:w="1632"/>
        <w:gridCol w:w="265"/>
        <w:gridCol w:w="585"/>
        <w:gridCol w:w="136"/>
        <w:gridCol w:w="136"/>
        <w:gridCol w:w="136"/>
        <w:gridCol w:w="136"/>
        <w:gridCol w:w="265"/>
        <w:gridCol w:w="585"/>
        <w:gridCol w:w="136"/>
        <w:gridCol w:w="109"/>
        <w:gridCol w:w="109"/>
        <w:gridCol w:w="109"/>
        <w:gridCol w:w="211"/>
        <w:gridCol w:w="616"/>
        <w:gridCol w:w="109"/>
        <w:gridCol w:w="109"/>
        <w:gridCol w:w="109"/>
        <w:gridCol w:w="109"/>
        <w:gridCol w:w="211"/>
        <w:gridCol w:w="616"/>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cemetery receipts held in trust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and sales of investments in the preneed cemetery trusts are as follows (in thousands): </w:t>
      </w:r>
    </w:p>
    <w:tbl>
      <w:tblPr>
        <w:tblW w:w="6122" w:type="dxa"/>
        <w:jc w:val="left"/>
        <w:tblInd w:w="0" w:type="dxa"/>
        <w:tblLayout w:type="fixed"/>
        <w:tblCellMar>
          <w:top w:w="28" w:type="dxa"/>
          <w:left w:w="28" w:type="dxa"/>
          <w:bottom w:w="28" w:type="dxa"/>
          <w:right w:w="28" w:type="dxa"/>
        </w:tblCellMar>
      </w:tblPr>
      <w:tblGrid>
        <w:gridCol w:w="332"/>
        <w:gridCol w:w="291"/>
        <w:gridCol w:w="293"/>
        <w:gridCol w:w="214"/>
        <w:gridCol w:w="701"/>
        <w:gridCol w:w="110"/>
        <w:gridCol w:w="110"/>
        <w:gridCol w:w="110"/>
        <w:gridCol w:w="110"/>
        <w:gridCol w:w="214"/>
        <w:gridCol w:w="701"/>
        <w:gridCol w:w="110"/>
        <w:gridCol w:w="109"/>
        <w:gridCol w:w="109"/>
        <w:gridCol w:w="109"/>
        <w:gridCol w:w="211"/>
        <w:gridCol w:w="796"/>
        <w:gridCol w:w="109"/>
        <w:gridCol w:w="109"/>
        <w:gridCol w:w="109"/>
        <w:gridCol w:w="109"/>
        <w:gridCol w:w="211"/>
        <w:gridCol w:w="691"/>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Preneed Funeral Trust Investments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represent trust fund assets that we are permitted to withdraw as services and merchandise are provided to customers. Preneed funeral contracts are secured by payments from customers, less retained amounts not required to be deposited into trust.</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Preneed funeral trust investments</w:t>
      </w:r>
      <w:r>
        <w:rPr>
          <w:color w:val="000000"/>
        </w:rPr>
        <w:t xml:space="preserve"> </w:t>
      </w:r>
      <w:r>
        <w:rPr>
          <w:rFonts w:ascii="Times New Roman;sans-serif" w:hAnsi="Times New Roman;sans-serif"/>
          <w:b w:val="false"/>
          <w:color w:val="000000"/>
          <w:sz w:val="20"/>
        </w:rPr>
        <w:t>on our Consolidated Balance Sheet are as follows (in thousands):</w:t>
      </w:r>
    </w:p>
    <w:tbl>
      <w:tblPr>
        <w:tblW w:w="7209" w:type="dxa"/>
        <w:jc w:val="left"/>
        <w:tblInd w:w="0" w:type="dxa"/>
        <w:tblLayout w:type="fixed"/>
        <w:tblCellMar>
          <w:top w:w="28" w:type="dxa"/>
          <w:left w:w="28" w:type="dxa"/>
          <w:bottom w:w="28" w:type="dxa"/>
          <w:right w:w="28" w:type="dxa"/>
        </w:tblCellMar>
      </w:tblPr>
      <w:tblGrid>
        <w:gridCol w:w="1498"/>
        <w:gridCol w:w="1317"/>
        <w:gridCol w:w="1324"/>
        <w:gridCol w:w="212"/>
        <w:gridCol w:w="833"/>
        <w:gridCol w:w="109"/>
        <w:gridCol w:w="109"/>
        <w:gridCol w:w="109"/>
        <w:gridCol w:w="109"/>
        <w:gridCol w:w="281"/>
        <w:gridCol w:w="1103"/>
        <w:gridCol w:w="205"/>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 at market value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June 30, 2024 are detailed below (in thousands):</w:t>
      </w:r>
    </w:p>
    <w:tbl>
      <w:tblPr>
        <w:tblW w:w="10205" w:type="dxa"/>
        <w:jc w:val="left"/>
        <w:tblInd w:w="0" w:type="dxa"/>
        <w:tblLayout w:type="fixed"/>
        <w:tblCellMar>
          <w:top w:w="28" w:type="dxa"/>
          <w:left w:w="28" w:type="dxa"/>
          <w:bottom w:w="28" w:type="dxa"/>
          <w:right w:w="28" w:type="dxa"/>
        </w:tblCellMar>
      </w:tblPr>
      <w:tblGrid>
        <w:gridCol w:w="1011"/>
        <w:gridCol w:w="852"/>
        <w:gridCol w:w="856"/>
        <w:gridCol w:w="633"/>
        <w:gridCol w:w="633"/>
        <w:gridCol w:w="635"/>
        <w:gridCol w:w="109"/>
        <w:gridCol w:w="109"/>
        <w:gridCol w:w="109"/>
        <w:gridCol w:w="211"/>
        <w:gridCol w:w="826"/>
        <w:gridCol w:w="109"/>
        <w:gridCol w:w="109"/>
        <w:gridCol w:w="109"/>
        <w:gridCol w:w="109"/>
        <w:gridCol w:w="211"/>
        <w:gridCol w:w="616"/>
        <w:gridCol w:w="109"/>
        <w:gridCol w:w="109"/>
        <w:gridCol w:w="109"/>
        <w:gridCol w:w="109"/>
        <w:gridCol w:w="211"/>
        <w:gridCol w:w="680"/>
        <w:gridCol w:w="109"/>
        <w:gridCol w:w="109"/>
        <w:gridCol w:w="109"/>
        <w:gridCol w:w="109"/>
        <w:gridCol w:w="211"/>
        <w:gridCol w:w="826"/>
        <w:gridCol w:w="158"/>
      </w:tblGrid>
      <w:tr>
        <w:trPr/>
        <w:tc>
          <w:tcPr>
            <w:tcW w:w="10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cost and market values associated with preneed funeral trust investments at December 31, 2023 are detailed below (in thousands):</w:t>
      </w:r>
    </w:p>
    <w:tbl>
      <w:tblPr>
        <w:tblW w:w="10205" w:type="dxa"/>
        <w:jc w:val="left"/>
        <w:tblInd w:w="0" w:type="dxa"/>
        <w:tblLayout w:type="fixed"/>
        <w:tblCellMar>
          <w:top w:w="28" w:type="dxa"/>
          <w:left w:w="28" w:type="dxa"/>
          <w:bottom w:w="28" w:type="dxa"/>
          <w:right w:w="28" w:type="dxa"/>
        </w:tblCellMar>
      </w:tblPr>
      <w:tblGrid>
        <w:gridCol w:w="976"/>
        <w:gridCol w:w="806"/>
        <w:gridCol w:w="810"/>
        <w:gridCol w:w="607"/>
        <w:gridCol w:w="607"/>
        <w:gridCol w:w="608"/>
        <w:gridCol w:w="109"/>
        <w:gridCol w:w="109"/>
        <w:gridCol w:w="109"/>
        <w:gridCol w:w="211"/>
        <w:gridCol w:w="826"/>
        <w:gridCol w:w="109"/>
        <w:gridCol w:w="109"/>
        <w:gridCol w:w="109"/>
        <w:gridCol w:w="109"/>
        <w:gridCol w:w="211"/>
        <w:gridCol w:w="721"/>
        <w:gridCol w:w="109"/>
        <w:gridCol w:w="109"/>
        <w:gridCol w:w="109"/>
        <w:gridCol w:w="109"/>
        <w:gridCol w:w="211"/>
        <w:gridCol w:w="781"/>
        <w:gridCol w:w="109"/>
        <w:gridCol w:w="109"/>
        <w:gridCol w:w="109"/>
        <w:gridCol w:w="109"/>
        <w:gridCol w:w="211"/>
        <w:gridCol w:w="826"/>
        <w:gridCol w:w="158"/>
      </w:tblGrid>
      <w:tr>
        <w:trPr/>
        <w:tc>
          <w:tcPr>
            <w:tcW w:w="97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vAlign w:val="center"/>
          </w:tcPr>
          <w:p>
            <w:pPr>
              <w:pStyle w:val="TableContents"/>
              <w:bidi w:val="0"/>
              <w:spacing w:before="0" w:after="283"/>
              <w:jc w:val="left"/>
              <w:rPr>
                <w:sz w:val="4"/>
                <w:szCs w:val="4"/>
              </w:rPr>
            </w:pPr>
            <w:r>
              <w:rPr>
                <w:sz w:val="4"/>
                <w:szCs w:val="4"/>
              </w:rPr>
            </w:r>
          </w:p>
        </w:tc>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investments</w:t>
            </w:r>
          </w:p>
        </w:tc>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June 30,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65"/>
        <w:gridCol w:w="616"/>
        <w:gridCol w:w="619"/>
        <w:gridCol w:w="239"/>
        <w:gridCol w:w="700"/>
        <w:gridCol w:w="124"/>
        <w:gridCol w:w="122"/>
        <w:gridCol w:w="122"/>
        <w:gridCol w:w="122"/>
        <w:gridCol w:w="285"/>
        <w:gridCol w:w="591"/>
        <w:gridCol w:w="127"/>
        <w:gridCol w:w="109"/>
        <w:gridCol w:w="109"/>
        <w:gridCol w:w="109"/>
        <w:gridCol w:w="239"/>
        <w:gridCol w:w="701"/>
        <w:gridCol w:w="123"/>
        <w:gridCol w:w="122"/>
        <w:gridCol w:w="122"/>
        <w:gridCol w:w="122"/>
        <w:gridCol w:w="237"/>
        <w:gridCol w:w="737"/>
        <w:gridCol w:w="122"/>
        <w:gridCol w:w="109"/>
        <w:gridCol w:w="109"/>
        <w:gridCol w:w="109"/>
        <w:gridCol w:w="230"/>
        <w:gridCol w:w="788"/>
        <w:gridCol w:w="119"/>
        <w:gridCol w:w="109"/>
        <w:gridCol w:w="109"/>
        <w:gridCol w:w="109"/>
        <w:gridCol w:w="231"/>
        <w:gridCol w:w="715"/>
        <w:gridCol w:w="184"/>
      </w:tblGrid>
      <w:tr>
        <w:trPr/>
        <w:tc>
          <w:tcPr>
            <w:tcW w:w="76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preneed funeral trust investment in an unrealized loss position at December 31,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69"/>
        <w:gridCol w:w="620"/>
        <w:gridCol w:w="622"/>
        <w:gridCol w:w="258"/>
        <w:gridCol w:w="570"/>
        <w:gridCol w:w="133"/>
        <w:gridCol w:w="129"/>
        <w:gridCol w:w="129"/>
        <w:gridCol w:w="129"/>
        <w:gridCol w:w="349"/>
        <w:gridCol w:w="521"/>
        <w:gridCol w:w="134"/>
        <w:gridCol w:w="109"/>
        <w:gridCol w:w="109"/>
        <w:gridCol w:w="109"/>
        <w:gridCol w:w="234"/>
        <w:gridCol w:w="800"/>
        <w:gridCol w:w="120"/>
        <w:gridCol w:w="120"/>
        <w:gridCol w:w="120"/>
        <w:gridCol w:w="120"/>
        <w:gridCol w:w="234"/>
        <w:gridCol w:w="725"/>
        <w:gridCol w:w="120"/>
        <w:gridCol w:w="109"/>
        <w:gridCol w:w="109"/>
        <w:gridCol w:w="109"/>
        <w:gridCol w:w="230"/>
        <w:gridCol w:w="789"/>
        <w:gridCol w:w="119"/>
        <w:gridCol w:w="109"/>
        <w:gridCol w:w="109"/>
        <w:gridCol w:w="109"/>
        <w:gridCol w:w="231"/>
        <w:gridCol w:w="716"/>
        <w:gridCol w:w="183"/>
      </w:tblGrid>
      <w:tr>
        <w:trPr/>
        <w:tc>
          <w:tcPr>
            <w:tcW w:w="76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4"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debt</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Preneed funeral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the Consolidated Statements of Operations are as follows (in thousands):</w:t>
      </w:r>
    </w:p>
    <w:tbl>
      <w:tblPr>
        <w:tblW w:w="10205" w:type="dxa"/>
        <w:jc w:val="left"/>
        <w:tblInd w:w="0" w:type="dxa"/>
        <w:tblLayout w:type="fixed"/>
        <w:tblCellMar>
          <w:top w:w="28" w:type="dxa"/>
          <w:left w:w="28" w:type="dxa"/>
          <w:bottom w:w="28" w:type="dxa"/>
          <w:right w:w="28" w:type="dxa"/>
        </w:tblCellMar>
      </w:tblPr>
      <w:tblGrid>
        <w:gridCol w:w="1751"/>
        <w:gridCol w:w="1538"/>
        <w:gridCol w:w="1542"/>
        <w:gridCol w:w="263"/>
        <w:gridCol w:w="581"/>
        <w:gridCol w:w="135"/>
        <w:gridCol w:w="135"/>
        <w:gridCol w:w="135"/>
        <w:gridCol w:w="135"/>
        <w:gridCol w:w="263"/>
        <w:gridCol w:w="581"/>
        <w:gridCol w:w="135"/>
        <w:gridCol w:w="109"/>
        <w:gridCol w:w="109"/>
        <w:gridCol w:w="109"/>
        <w:gridCol w:w="211"/>
        <w:gridCol w:w="616"/>
        <w:gridCol w:w="109"/>
        <w:gridCol w:w="109"/>
        <w:gridCol w:w="109"/>
        <w:gridCol w:w="109"/>
        <w:gridCol w:w="211"/>
        <w:gridCol w:w="616"/>
        <w:gridCol w:w="109"/>
        <w:gridCol w:w="109"/>
        <w:gridCol w:w="109"/>
        <w:gridCol w:w="109"/>
        <w:gridCol w:w="158"/>
      </w:tblGrid>
      <w:tr>
        <w:trPr/>
        <w:tc>
          <w:tcPr>
            <w:tcW w:w="175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and taxes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deferred preneed funeral receipts held in trust</w:t>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(4,198)</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preneed funeral trusts are as follows (in thousands):</w:t>
      </w:r>
    </w:p>
    <w:tbl>
      <w:tblPr>
        <w:tblW w:w="6558" w:type="dxa"/>
        <w:jc w:val="left"/>
        <w:tblInd w:w="0" w:type="dxa"/>
        <w:tblLayout w:type="fixed"/>
        <w:tblCellMar>
          <w:top w:w="28" w:type="dxa"/>
          <w:left w:w="28" w:type="dxa"/>
          <w:bottom w:w="28" w:type="dxa"/>
          <w:right w:w="28" w:type="dxa"/>
        </w:tblCellMar>
      </w:tblPr>
      <w:tblGrid>
        <w:gridCol w:w="332"/>
        <w:gridCol w:w="291"/>
        <w:gridCol w:w="293"/>
        <w:gridCol w:w="214"/>
        <w:gridCol w:w="701"/>
        <w:gridCol w:w="110"/>
        <w:gridCol w:w="110"/>
        <w:gridCol w:w="110"/>
        <w:gridCol w:w="110"/>
        <w:gridCol w:w="214"/>
        <w:gridCol w:w="701"/>
        <w:gridCol w:w="110"/>
        <w:gridCol w:w="109"/>
        <w:gridCol w:w="109"/>
        <w:gridCol w:w="109"/>
        <w:gridCol w:w="211"/>
        <w:gridCol w:w="796"/>
        <w:gridCol w:w="109"/>
        <w:gridCol w:w="109"/>
        <w:gridCol w:w="109"/>
        <w:gridCol w:w="109"/>
        <w:gridCol w:w="211"/>
        <w:gridCol w:w="691"/>
        <w:gridCol w:w="109"/>
        <w:gridCol w:w="109"/>
        <w:gridCol w:w="109"/>
        <w:gridCol w:w="109"/>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Cemetery Perpetual Care Trust Investments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 xml:space="preserve">on our Consolidated Balance Sheet represents the corpus of those trusts plus undistributed income. The components of </w:t>
      </w:r>
      <w:r>
        <w:rPr>
          <w:rFonts w:ascii="Times New Roman;sans-serif" w:hAnsi="Times New Roman;sans-serif"/>
          <w:b w:val="false"/>
          <w:i/>
          <w:color w:val="000000"/>
          <w:sz w:val="20"/>
        </w:rPr>
        <w:t>Care trusts’ corpus</w:t>
      </w:r>
      <w:r>
        <w:rPr>
          <w:color w:val="000000"/>
        </w:rPr>
        <w:t xml:space="preserve"> </w:t>
      </w:r>
      <w:r>
        <w:rPr>
          <w:rFonts w:ascii="Times New Roman;sans-serif" w:hAnsi="Times New Roman;sans-serif"/>
          <w:b w:val="false"/>
          <w:color w:val="000000"/>
          <w:sz w:val="20"/>
        </w:rPr>
        <w:t>are as follows (in thousands):</w:t>
      </w:r>
    </w:p>
    <w:tbl>
      <w:tblPr>
        <w:tblW w:w="7917" w:type="dxa"/>
        <w:jc w:val="left"/>
        <w:tblInd w:w="0" w:type="dxa"/>
        <w:tblLayout w:type="fixed"/>
        <w:tblCellMar>
          <w:top w:w="28" w:type="dxa"/>
          <w:left w:w="28" w:type="dxa"/>
          <w:bottom w:w="28" w:type="dxa"/>
          <w:right w:w="28" w:type="dxa"/>
        </w:tblCellMar>
      </w:tblPr>
      <w:tblGrid>
        <w:gridCol w:w="1754"/>
        <w:gridCol w:w="1541"/>
        <w:gridCol w:w="1550"/>
        <w:gridCol w:w="234"/>
        <w:gridCol w:w="800"/>
        <w:gridCol w:w="121"/>
        <w:gridCol w:w="109"/>
        <w:gridCol w:w="109"/>
        <w:gridCol w:w="109"/>
        <w:gridCol w:w="309"/>
        <w:gridCol w:w="1056"/>
        <w:gridCol w:w="225"/>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trust investments, at market value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due to (due from) trust</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Care trusts’ corpus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84,351 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June 30, 2024 (in thousands):</w:t>
      </w:r>
    </w:p>
    <w:tbl>
      <w:tblPr>
        <w:tblW w:w="10205" w:type="dxa"/>
        <w:jc w:val="left"/>
        <w:tblInd w:w="0" w:type="dxa"/>
        <w:tblLayout w:type="fixed"/>
        <w:tblCellMar>
          <w:top w:w="28" w:type="dxa"/>
          <w:left w:w="28" w:type="dxa"/>
          <w:bottom w:w="28" w:type="dxa"/>
          <w:right w:w="28" w:type="dxa"/>
        </w:tblCellMar>
      </w:tblPr>
      <w:tblGrid>
        <w:gridCol w:w="1054"/>
        <w:gridCol w:w="902"/>
        <w:gridCol w:w="906"/>
        <w:gridCol w:w="654"/>
        <w:gridCol w:w="654"/>
        <w:gridCol w:w="656"/>
        <w:gridCol w:w="109"/>
        <w:gridCol w:w="109"/>
        <w:gridCol w:w="109"/>
        <w:gridCol w:w="211"/>
        <w:gridCol w:w="721"/>
        <w:gridCol w:w="109"/>
        <w:gridCol w:w="109"/>
        <w:gridCol w:w="109"/>
        <w:gridCol w:w="109"/>
        <w:gridCol w:w="211"/>
        <w:gridCol w:w="616"/>
        <w:gridCol w:w="109"/>
        <w:gridCol w:w="109"/>
        <w:gridCol w:w="109"/>
        <w:gridCol w:w="109"/>
        <w:gridCol w:w="211"/>
        <w:gridCol w:w="683"/>
        <w:gridCol w:w="109"/>
        <w:gridCol w:w="109"/>
        <w:gridCol w:w="109"/>
        <w:gridCol w:w="109"/>
        <w:gridCol w:w="211"/>
        <w:gridCol w:w="721"/>
        <w:gridCol w:w="159"/>
      </w:tblGrid>
      <w:tr>
        <w:trPr/>
        <w:tc>
          <w:tcPr>
            <w:tcW w:w="105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84,780 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maturities of the fixed income securities (excluding mutual funds) included above are as follows (in thousands):</w:t>
      </w:r>
    </w:p>
    <w:tbl>
      <w:tblPr>
        <w:tblW w:w="3560" w:type="dxa"/>
        <w:jc w:val="left"/>
        <w:tblInd w:w="0" w:type="dxa"/>
        <w:tblLayout w:type="fixed"/>
        <w:tblCellMar>
          <w:top w:w="28" w:type="dxa"/>
          <w:left w:w="28" w:type="dxa"/>
          <w:bottom w:w="28" w:type="dxa"/>
          <w:right w:w="28" w:type="dxa"/>
        </w:tblCellMar>
      </w:tblPr>
      <w:tblGrid>
        <w:gridCol w:w="892"/>
        <w:gridCol w:w="785"/>
        <w:gridCol w:w="797"/>
        <w:gridCol w:w="211"/>
        <w:gridCol w:w="72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to five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five to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cost and market values associated with the trust investments held in cemetery perpetual care trust funds at December 31, 2023 (in thousands):</w:t>
      </w:r>
    </w:p>
    <w:tbl>
      <w:tblPr>
        <w:tblW w:w="10205" w:type="dxa"/>
        <w:jc w:val="left"/>
        <w:tblInd w:w="0" w:type="dxa"/>
        <w:tblLayout w:type="fixed"/>
        <w:tblCellMar>
          <w:top w:w="28" w:type="dxa"/>
          <w:left w:w="28" w:type="dxa"/>
          <w:bottom w:w="28" w:type="dxa"/>
          <w:right w:w="28" w:type="dxa"/>
        </w:tblCellMar>
      </w:tblPr>
      <w:tblGrid>
        <w:gridCol w:w="1018"/>
        <w:gridCol w:w="856"/>
        <w:gridCol w:w="860"/>
        <w:gridCol w:w="628"/>
        <w:gridCol w:w="628"/>
        <w:gridCol w:w="630"/>
        <w:gridCol w:w="109"/>
        <w:gridCol w:w="109"/>
        <w:gridCol w:w="109"/>
        <w:gridCol w:w="211"/>
        <w:gridCol w:w="721"/>
        <w:gridCol w:w="109"/>
        <w:gridCol w:w="109"/>
        <w:gridCol w:w="109"/>
        <w:gridCol w:w="109"/>
        <w:gridCol w:w="211"/>
        <w:gridCol w:w="721"/>
        <w:gridCol w:w="109"/>
        <w:gridCol w:w="109"/>
        <w:gridCol w:w="109"/>
        <w:gridCol w:w="109"/>
        <w:gridCol w:w="211"/>
        <w:gridCol w:w="784"/>
        <w:gridCol w:w="109"/>
        <w:gridCol w:w="109"/>
        <w:gridCol w:w="109"/>
        <w:gridCol w:w="109"/>
        <w:gridCol w:w="211"/>
        <w:gridCol w:w="721"/>
        <w:gridCol w:w="159"/>
      </w:tblGrid>
      <w:tr>
        <w:trPr/>
        <w:tc>
          <w:tcPr>
            <w:tcW w:w="10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Market</w:t>
              <w:br/>
              <w:t>Value</w:t>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money market accounts</w:t>
            </w:r>
          </w:p>
        </w:tc>
        <w:tc>
          <w:tcPr>
            <w:tcW w:w="1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partnership fund</w:t>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 securities</w:t>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perpetual care investments</w:t>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value as a percentage of cost</w:t>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cemetery perpetual care trust investment in an unrealized loss position at June 30, 2024,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65"/>
        <w:gridCol w:w="616"/>
        <w:gridCol w:w="619"/>
        <w:gridCol w:w="239"/>
        <w:gridCol w:w="700"/>
        <w:gridCol w:w="124"/>
        <w:gridCol w:w="122"/>
        <w:gridCol w:w="122"/>
        <w:gridCol w:w="122"/>
        <w:gridCol w:w="285"/>
        <w:gridCol w:w="591"/>
        <w:gridCol w:w="127"/>
        <w:gridCol w:w="109"/>
        <w:gridCol w:w="109"/>
        <w:gridCol w:w="109"/>
        <w:gridCol w:w="239"/>
        <w:gridCol w:w="701"/>
        <w:gridCol w:w="123"/>
        <w:gridCol w:w="122"/>
        <w:gridCol w:w="122"/>
        <w:gridCol w:w="122"/>
        <w:gridCol w:w="237"/>
        <w:gridCol w:w="737"/>
        <w:gridCol w:w="122"/>
        <w:gridCol w:w="109"/>
        <w:gridCol w:w="109"/>
        <w:gridCol w:w="109"/>
        <w:gridCol w:w="230"/>
        <w:gridCol w:w="788"/>
        <w:gridCol w:w="119"/>
        <w:gridCol w:w="109"/>
        <w:gridCol w:w="109"/>
        <w:gridCol w:w="109"/>
        <w:gridCol w:w="231"/>
        <w:gridCol w:w="715"/>
        <w:gridCol w:w="184"/>
      </w:tblGrid>
      <w:tr>
        <w:trPr/>
        <w:tc>
          <w:tcPr>
            <w:tcW w:w="76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fixed income securities (excluding mutual funds) within our perpetual care trust investment in an unrealized loss position at December 31, 2023, aggregated by major security type and length of time in a continuous unrealized loss position (in thousands):</w:t>
      </w:r>
    </w:p>
    <w:tbl>
      <w:tblPr>
        <w:tblW w:w="10205" w:type="dxa"/>
        <w:jc w:val="left"/>
        <w:tblInd w:w="0" w:type="dxa"/>
        <w:tblLayout w:type="fixed"/>
        <w:tblCellMar>
          <w:top w:w="28" w:type="dxa"/>
          <w:left w:w="28" w:type="dxa"/>
          <w:bottom w:w="28" w:type="dxa"/>
          <w:right w:w="28" w:type="dxa"/>
        </w:tblCellMar>
      </w:tblPr>
      <w:tblGrid>
        <w:gridCol w:w="750"/>
        <w:gridCol w:w="602"/>
        <w:gridCol w:w="604"/>
        <w:gridCol w:w="240"/>
        <w:gridCol w:w="702"/>
        <w:gridCol w:w="124"/>
        <w:gridCol w:w="124"/>
        <w:gridCol w:w="124"/>
        <w:gridCol w:w="124"/>
        <w:gridCol w:w="331"/>
        <w:gridCol w:w="533"/>
        <w:gridCol w:w="133"/>
        <w:gridCol w:w="109"/>
        <w:gridCol w:w="109"/>
        <w:gridCol w:w="109"/>
        <w:gridCol w:w="232"/>
        <w:gridCol w:w="796"/>
        <w:gridCol w:w="120"/>
        <w:gridCol w:w="120"/>
        <w:gridCol w:w="120"/>
        <w:gridCol w:w="120"/>
        <w:gridCol w:w="232"/>
        <w:gridCol w:w="720"/>
        <w:gridCol w:w="120"/>
        <w:gridCol w:w="109"/>
        <w:gridCol w:w="109"/>
        <w:gridCol w:w="109"/>
        <w:gridCol w:w="229"/>
        <w:gridCol w:w="785"/>
        <w:gridCol w:w="118"/>
        <w:gridCol w:w="109"/>
        <w:gridCol w:w="109"/>
        <w:gridCol w:w="109"/>
        <w:gridCol w:w="230"/>
        <w:gridCol w:w="712"/>
        <w:gridCol w:w="179"/>
      </w:tblGrid>
      <w:tr>
        <w:trPr/>
        <w:tc>
          <w:tcPr>
            <w:tcW w:w="75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Loss Position 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Market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Unrealized Losses</w:t>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securities:</w:t>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debt</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r>
      <w:tr>
        <w:trPr/>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income securities with an unrealized loss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on our Consolidated Statements of Operations are as follows (in thousands):</w:t>
      </w:r>
    </w:p>
    <w:tbl>
      <w:tblPr>
        <w:tblW w:w="7668" w:type="dxa"/>
        <w:jc w:val="left"/>
        <w:tblInd w:w="0" w:type="dxa"/>
        <w:tblLayout w:type="fixed"/>
        <w:tblCellMar>
          <w:top w:w="28" w:type="dxa"/>
          <w:left w:w="28" w:type="dxa"/>
          <w:bottom w:w="28" w:type="dxa"/>
          <w:right w:w="28" w:type="dxa"/>
        </w:tblCellMar>
      </w:tblPr>
      <w:tblGrid>
        <w:gridCol w:w="992"/>
        <w:gridCol w:w="873"/>
        <w:gridCol w:w="880"/>
        <w:gridCol w:w="265"/>
        <w:gridCol w:w="585"/>
        <w:gridCol w:w="136"/>
        <w:gridCol w:w="136"/>
        <w:gridCol w:w="136"/>
        <w:gridCol w:w="136"/>
        <w:gridCol w:w="265"/>
        <w:gridCol w:w="585"/>
        <w:gridCol w:w="136"/>
        <w:gridCol w:w="109"/>
        <w:gridCol w:w="109"/>
        <w:gridCol w:w="109"/>
        <w:gridCol w:w="223"/>
        <w:gridCol w:w="653"/>
        <w:gridCol w:w="115"/>
        <w:gridCol w:w="115"/>
        <w:gridCol w:w="115"/>
        <w:gridCol w:w="115"/>
        <w:gridCol w:w="223"/>
        <w:gridCol w:w="494"/>
        <w:gridCol w:w="163"/>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w:t>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net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care trusts’ corpus</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Cemetery perpetual care trust investment security transactions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are as follows (in thousands):</w:t>
      </w:r>
    </w:p>
    <w:tbl>
      <w:tblPr>
        <w:tblW w:w="6662" w:type="dxa"/>
        <w:jc w:val="left"/>
        <w:tblInd w:w="0" w:type="dxa"/>
        <w:tblLayout w:type="fixed"/>
        <w:tblCellMar>
          <w:top w:w="28" w:type="dxa"/>
          <w:left w:w="28" w:type="dxa"/>
          <w:bottom w:w="28" w:type="dxa"/>
          <w:right w:w="28" w:type="dxa"/>
        </w:tblCellMar>
      </w:tblPr>
      <w:tblGrid>
        <w:gridCol w:w="620"/>
        <w:gridCol w:w="544"/>
        <w:gridCol w:w="545"/>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62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Purchases and sales of investments in the cemetery perpetual care trusts are as follows (in thousands):</w:t>
      </w:r>
    </w:p>
    <w:tbl>
      <w:tblPr>
        <w:tblW w:w="6017" w:type="dxa"/>
        <w:jc w:val="left"/>
        <w:tblInd w:w="0" w:type="dxa"/>
        <w:tblLayout w:type="fixed"/>
        <w:tblCellMar>
          <w:top w:w="28" w:type="dxa"/>
          <w:left w:w="28" w:type="dxa"/>
          <w:bottom w:w="28" w:type="dxa"/>
          <w:right w:w="28" w:type="dxa"/>
        </w:tblCellMar>
      </w:tblPr>
      <w:tblGrid>
        <w:gridCol w:w="332"/>
        <w:gridCol w:w="291"/>
        <w:gridCol w:w="293"/>
        <w:gridCol w:w="214"/>
        <w:gridCol w:w="701"/>
        <w:gridCol w:w="110"/>
        <w:gridCol w:w="110"/>
        <w:gridCol w:w="110"/>
        <w:gridCol w:w="110"/>
        <w:gridCol w:w="214"/>
        <w:gridCol w:w="701"/>
        <w:gridCol w:w="110"/>
        <w:gridCol w:w="109"/>
        <w:gridCol w:w="109"/>
        <w:gridCol w:w="109"/>
        <w:gridCol w:w="211"/>
        <w:gridCol w:w="691"/>
        <w:gridCol w:w="109"/>
        <w:gridCol w:w="109"/>
        <w:gridCol w:w="109"/>
        <w:gridCol w:w="109"/>
        <w:gridCol w:w="211"/>
        <w:gridCol w:w="691"/>
        <w:gridCol w:w="15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9.RECEIVABLES FROM PRENEED FUNERAL TRUSTS</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Our receivables from preneed funeral trusts represent assets in trusts which are controlled and operated by third parties in which we do not have a controlling financial interest (less than 50%) in the trust assets. We account for these investments at cost. Receivables from preneed funeral trusts are as follows (in thousands):</w:t>
      </w:r>
      <w:r>
        <w:rPr>
          <w:color w:val="000000"/>
        </w:rPr>
        <w:t> </w:t>
      </w:r>
    </w:p>
    <w:tbl>
      <w:tblPr>
        <w:tblW w:w="6731" w:type="dxa"/>
        <w:jc w:val="left"/>
        <w:tblInd w:w="0" w:type="dxa"/>
        <w:tblLayout w:type="fixed"/>
        <w:tblCellMar>
          <w:top w:w="28" w:type="dxa"/>
          <w:left w:w="28" w:type="dxa"/>
          <w:bottom w:w="28" w:type="dxa"/>
          <w:right w:w="28" w:type="dxa"/>
        </w:tblCellMar>
      </w:tblPr>
      <w:tblGrid>
        <w:gridCol w:w="1323"/>
        <w:gridCol w:w="1165"/>
        <w:gridCol w:w="1171"/>
        <w:gridCol w:w="234"/>
        <w:gridCol w:w="800"/>
        <w:gridCol w:w="121"/>
        <w:gridCol w:w="109"/>
        <w:gridCol w:w="109"/>
        <w:gridCol w:w="109"/>
        <w:gridCol w:w="309"/>
        <w:gridCol w:w="1056"/>
        <w:gridCol w:w="225"/>
      </w:tblGrid>
      <w:tr>
        <w:trPr/>
        <w:tc>
          <w:tcPr>
            <w:tcW w:w="132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funeral trust funds, at cost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contract cancellation</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preneed funeral trusts,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reflects the composition of the assets held in trust and controlled by third parties to satisfy our future obligations related to the underlying preneed funeral contracts at June 30, 2024 and December 31, 2023. The cost basis includes reinvested interest and dividends that have been earned on the trust assets. Fair value includes unrealized gains and losses on trust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June 30, 2024 is as follows (in thousands):</w:t>
      </w:r>
      <w:r>
        <w:rPr>
          <w:color w:val="000000"/>
        </w:rPr>
        <w:t xml:space="preserve"> </w:t>
      </w:r>
    </w:p>
    <w:tbl>
      <w:tblPr>
        <w:tblW w:w="5319" w:type="dxa"/>
        <w:jc w:val="center"/>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composition of the preneed funeral trust funds at December 31, 2023 is as follows (in thousands):</w:t>
      </w:r>
      <w:r>
        <w:rPr>
          <w:color w:val="000000"/>
        </w:rPr>
        <w:t xml:space="preserve"> </w:t>
      </w:r>
    </w:p>
    <w:tbl>
      <w:tblPr>
        <w:tblW w:w="5319" w:type="dxa"/>
        <w:jc w:val="left"/>
        <w:tblInd w:w="0" w:type="dxa"/>
        <w:tblLayout w:type="fixed"/>
        <w:tblCellMar>
          <w:top w:w="28" w:type="dxa"/>
          <w:left w:w="28" w:type="dxa"/>
          <w:bottom w:w="28" w:type="dxa"/>
          <w:right w:w="28" w:type="dxa"/>
        </w:tblCellMar>
      </w:tblPr>
      <w:tblGrid>
        <w:gridCol w:w="1038"/>
        <w:gridCol w:w="911"/>
        <w:gridCol w:w="916"/>
        <w:gridCol w:w="211"/>
        <w:gridCol w:w="721"/>
        <w:gridCol w:w="109"/>
        <w:gridCol w:w="109"/>
        <w:gridCol w:w="109"/>
        <w:gridCol w:w="109"/>
        <w:gridCol w:w="211"/>
        <w:gridCol w:w="721"/>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Historical</w:t>
              <w:br/>
              <w:t>Cost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 and common stocks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10.INTANGIBLE AND OTHER NON-CURRENT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and other non-current assets are as follows (in thousands):</w:t>
      </w:r>
    </w:p>
    <w:tbl>
      <w:tblPr>
        <w:tblW w:w="10205" w:type="dxa"/>
        <w:jc w:val="left"/>
        <w:tblInd w:w="0" w:type="dxa"/>
        <w:tblLayout w:type="fixed"/>
        <w:tblCellMar>
          <w:top w:w="28" w:type="dxa"/>
          <w:left w:w="28" w:type="dxa"/>
          <w:bottom w:w="28" w:type="dxa"/>
          <w:right w:w="28" w:type="dxa"/>
        </w:tblCellMar>
      </w:tblPr>
      <w:tblGrid>
        <w:gridCol w:w="2683"/>
        <w:gridCol w:w="2298"/>
        <w:gridCol w:w="2316"/>
        <w:gridCol w:w="227"/>
        <w:gridCol w:w="778"/>
        <w:gridCol w:w="117"/>
        <w:gridCol w:w="109"/>
        <w:gridCol w:w="109"/>
        <w:gridCol w:w="109"/>
        <w:gridCol w:w="282"/>
        <w:gridCol w:w="965"/>
        <w:gridCol w:w="212"/>
      </w:tblGrid>
      <w:tr>
        <w:trPr/>
        <w:tc>
          <w:tcPr>
            <w:tcW w:w="2683"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 on preneed contracts, net of accumulated amortization of $4,199 and $3,788, respectively</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net of accumulated amortization of $612 and $444, respectively</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agreements not-to-compete, net of accumulated amortization of $3,309 and $3,158, respectively</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and other non-current assets, net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Tradenames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tradenames have indefinite lives and therefore are not amortized.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During the six months ended June 30, 2024, two of the funeral homes that we sold had a carrying value of tradenames of $0.2 million, which was included in the loss on sale and recorded in </w:t>
      </w:r>
      <w:r>
        <w:rPr>
          <w:rFonts w:ascii="Times New Roman;sans-serif" w:hAnsi="Times New Roman;sans-serif"/>
          <w:b w:val="false"/>
          <w:i/>
          <w:color w:val="000000"/>
          <w:sz w:val="20"/>
        </w:rPr>
        <w:t xml:space="preserve">Net loss on divestitures, disposals and impairment charges </w:t>
      </w:r>
      <w:r>
        <w:rPr>
          <w:rFonts w:ascii="Times New Roman;sans-serif" w:hAnsi="Times New Roman;sans-serif"/>
          <w:b w:val="false"/>
          <w:color w:val="000000"/>
          <w:sz w:val="20"/>
        </w:rPr>
        <w:t>on our Consolidated Statements of Operations.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Capitalized Commissions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of ten years for our preneed funeral trust contracts and eight years for our preneed cemetery merchandise and services contracts.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$0.2 million for both the three months ended June 30, 2024, and 2023 and $0.4 million for both the six months ended June 30, 2024 and 2023.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Internal-use Software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Internal-use software is amortized on a straight-line basis typically over three to five years. Amortization expense was $0.1 million for both the three months ended June 30, 2024 and 2023, and $0.2 million and $0.1 million for the six months ended June 30,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Prepaid Agreements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agreements not-to-compete are amortized over the term of the respective agreements, generally ranging from one to ten years. Amortization expense was $0.1 million for both the three months ended June 30, 2024, and 2023 and $0.2 million and $0.3 million for the six months ended June 30, 2024 and 2023,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amortization expense for our capitalized commissions, internal-use software and prepaid agreements as of June 30, 2024 is as follows (in thousands):</w:t>
      </w:r>
    </w:p>
    <w:tbl>
      <w:tblPr>
        <w:tblW w:w="9038" w:type="dxa"/>
        <w:jc w:val="left"/>
        <w:tblInd w:w="0" w:type="dxa"/>
        <w:tblLayout w:type="fixed"/>
        <w:tblCellMar>
          <w:top w:w="28" w:type="dxa"/>
          <w:left w:w="28" w:type="dxa"/>
          <w:bottom w:w="28" w:type="dxa"/>
          <w:right w:w="28" w:type="dxa"/>
        </w:tblCellMar>
      </w:tblPr>
      <w:tblGrid>
        <w:gridCol w:w="847"/>
        <w:gridCol w:w="744"/>
        <w:gridCol w:w="749"/>
        <w:gridCol w:w="506"/>
        <w:gridCol w:w="1481"/>
        <w:gridCol w:w="263"/>
        <w:gridCol w:w="109"/>
        <w:gridCol w:w="109"/>
        <w:gridCol w:w="109"/>
        <w:gridCol w:w="431"/>
        <w:gridCol w:w="1264"/>
        <w:gridCol w:w="225"/>
        <w:gridCol w:w="109"/>
        <w:gridCol w:w="109"/>
        <w:gridCol w:w="109"/>
        <w:gridCol w:w="402"/>
        <w:gridCol w:w="1176"/>
        <w:gridCol w:w="296"/>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Capitalized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Internal-use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Prepaid Agreements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11.CREDIT FACILITY AND ACQUISITION DEBT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The final maturity of the Credit Facility will occur on May 13, 2026. See Note 18 to the Consolidated Financial Statements for more information on the Credit Facility.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and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pay dividends and make other restricted payments, and certain financial maintenance covenants. At June 30, 2024, we were subject to the following financial covenants under our Credit Facility: (A) a Total Leverage Ratio not to exceed 5.50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June 30,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Facility and acquisition debt consisted of the following (in thousands):</w:t>
      </w:r>
    </w:p>
    <w:tbl>
      <w:tblPr>
        <w:tblW w:w="10205" w:type="dxa"/>
        <w:jc w:val="left"/>
        <w:tblInd w:w="0" w:type="dxa"/>
        <w:tblLayout w:type="fixed"/>
        <w:tblCellMar>
          <w:top w:w="28" w:type="dxa"/>
          <w:left w:w="28" w:type="dxa"/>
          <w:bottom w:w="28" w:type="dxa"/>
          <w:right w:w="28" w:type="dxa"/>
        </w:tblCellMar>
      </w:tblPr>
      <w:tblGrid>
        <w:gridCol w:w="2590"/>
        <w:gridCol w:w="2272"/>
        <w:gridCol w:w="2280"/>
        <w:gridCol w:w="211"/>
        <w:gridCol w:w="832"/>
        <w:gridCol w:w="109"/>
        <w:gridCol w:w="109"/>
        <w:gridCol w:w="109"/>
        <w:gridCol w:w="109"/>
        <w:gridCol w:w="279"/>
        <w:gridCol w:w="1097"/>
        <w:gridCol w:w="208"/>
      </w:tblGrid>
      <w:tr>
        <w:trPr/>
        <w:tc>
          <w:tcPr>
            <w:tcW w:w="2590"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179,100 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$2,754 and $2,478, respectively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177,794 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we had outstanding borrowings under the Credit Facility of $155.0 million. We also had one letter of credit for $2.6 million under the Credit Facility. The letter of credit will expire on November 25, 2024 and is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automatically renew annually and secures our obligations under our various self-insured policies. At June 30, 2024, we had $92.4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9138" w:type="dxa"/>
        <w:jc w:val="left"/>
        <w:tblInd w:w="0" w:type="dxa"/>
        <w:tblLayout w:type="fixed"/>
        <w:tblCellMar>
          <w:top w:w="28" w:type="dxa"/>
          <w:left w:w="28" w:type="dxa"/>
          <w:bottom w:w="28" w:type="dxa"/>
          <w:right w:w="28" w:type="dxa"/>
        </w:tblCellMar>
      </w:tblPr>
      <w:tblGrid>
        <w:gridCol w:w="1516"/>
        <w:gridCol w:w="1329"/>
        <w:gridCol w:w="1340"/>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our outstanding borrowings under our Credit Facility bore interest at a prime rate or the Bloomberg Short-Term Bank Yield Index (“BSBY”) rate, plus an applicable margin based on our leverage ratio. At June 30, 2024, the prime rate margin was equivalent to 2.125% and the BSBY rate margin was 3.125%. The weighted average interest rate on our Credit Facility was 8.7% and 8.6% for the three months ended June 30, 2024 and 2023, respectively, and 8.8% and 8.3% for the six months ended June 30, 2024 and 2023,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7.3%. Original maturities range from nine to twenty years.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8478" w:type="dxa"/>
        <w:jc w:val="left"/>
        <w:tblInd w:w="0" w:type="dxa"/>
        <w:tblLayout w:type="fixed"/>
        <w:tblCellMar>
          <w:top w:w="28" w:type="dxa"/>
          <w:left w:w="28" w:type="dxa"/>
          <w:bottom w:w="28" w:type="dxa"/>
          <w:right w:w="28" w:type="dxa"/>
        </w:tblCellMar>
      </w:tblPr>
      <w:tblGrid>
        <w:gridCol w:w="1286"/>
        <w:gridCol w:w="1131"/>
        <w:gridCol w:w="1138"/>
        <w:gridCol w:w="280"/>
        <w:gridCol w:w="619"/>
        <w:gridCol w:w="144"/>
        <w:gridCol w:w="144"/>
        <w:gridCol w:w="144"/>
        <w:gridCol w:w="144"/>
        <w:gridCol w:w="280"/>
        <w:gridCol w:w="480"/>
        <w:gridCol w:w="144"/>
        <w:gridCol w:w="109"/>
        <w:gridCol w:w="109"/>
        <w:gridCol w:w="109"/>
        <w:gridCol w:w="241"/>
        <w:gridCol w:w="532"/>
        <w:gridCol w:w="124"/>
        <w:gridCol w:w="124"/>
        <w:gridCol w:w="124"/>
        <w:gridCol w:w="124"/>
        <w:gridCol w:w="241"/>
        <w:gridCol w:w="532"/>
        <w:gridCol w:w="175"/>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pPr>
      <w:r>
        <w:rPr>
          <w:rFonts w:ascii="Times New Roman;sans-serif" w:hAnsi="Times New Roman;sans-serif"/>
          <w:b/>
          <w:color w:val="000000"/>
          <w:sz w:val="20"/>
        </w:rPr>
        <w:t>12.</w:t>
      </w:r>
      <w:r>
        <w:rPr>
          <w:color w:val="000000"/>
        </w:rPr>
        <w:t xml:space="preserve"> </w:t>
      </w:r>
      <w:r>
        <w:rPr>
          <w:rFonts w:ascii="Times New Roman;sans-serif" w:hAnsi="Times New Roman;sans-serif"/>
          <w:b/>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our 4.25% senior notes due 2029 (the “Senior Notes”) is reflected on our Consolidated Balance Sheet as follows (in thousands): </w:t>
      </w:r>
    </w:p>
    <w:tbl>
      <w:tblPr>
        <w:tblW w:w="10045" w:type="dxa"/>
        <w:jc w:val="left"/>
        <w:tblInd w:w="0" w:type="dxa"/>
        <w:tblLayout w:type="fixed"/>
        <w:tblCellMar>
          <w:top w:w="28" w:type="dxa"/>
          <w:left w:w="28" w:type="dxa"/>
          <w:bottom w:w="28" w:type="dxa"/>
          <w:right w:w="28" w:type="dxa"/>
        </w:tblCellMar>
      </w:tblPr>
      <w:tblGrid>
        <w:gridCol w:w="2524"/>
        <w:gridCol w:w="2224"/>
        <w:gridCol w:w="2227"/>
        <w:gridCol w:w="212"/>
        <w:gridCol w:w="833"/>
        <w:gridCol w:w="109"/>
        <w:gridCol w:w="109"/>
        <w:gridCol w:w="109"/>
        <w:gridCol w:w="109"/>
        <w:gridCol w:w="281"/>
        <w:gridCol w:w="1103"/>
        <w:gridCol w:w="205"/>
      </w:tblGrid>
      <w:tr>
        <w:trPr/>
        <w:tc>
          <w:tcPr>
            <w:tcW w:w="2524"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net of accumulated amortization of $1,575 and $1,309, respectively</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net of accumulated amortization of $449 and $373, respectively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the Senior Notes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395,905 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the fair value of the Senior Notes, which are Level 2 measurements, was $357.0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Indenture contains restrictive covenants limiting our ability and the ability of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8987" w:type="dxa"/>
        <w:jc w:val="left"/>
        <w:tblInd w:w="0" w:type="dxa"/>
        <w:tblLayout w:type="fixed"/>
        <w:tblCellMar>
          <w:top w:w="28" w:type="dxa"/>
          <w:left w:w="28" w:type="dxa"/>
          <w:bottom w:w="28" w:type="dxa"/>
          <w:right w:w="28" w:type="dxa"/>
        </w:tblCellMar>
      </w:tblPr>
      <w:tblGrid>
        <w:gridCol w:w="1463"/>
        <w:gridCol w:w="1280"/>
        <w:gridCol w:w="1291"/>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59 months of the Senior Notes. The effective interest rate on the unamortized debt discount and the unamortized debt issuance costs for the Senior Notes for both the three and six months ended June 30, 2024 and 2023 was 4.42% and 4.30%,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13.LEASES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related to real estate, vehicles and equipment. The components of lease cost are as follows (in thousands):</w:t>
      </w:r>
    </w:p>
    <w:tbl>
      <w:tblPr>
        <w:tblW w:w="10205" w:type="dxa"/>
        <w:jc w:val="left"/>
        <w:tblInd w:w="0" w:type="dxa"/>
        <w:tblLayout w:type="fixed"/>
        <w:tblCellMar>
          <w:top w:w="28" w:type="dxa"/>
          <w:left w:w="28" w:type="dxa"/>
          <w:bottom w:w="28" w:type="dxa"/>
          <w:right w:w="28" w:type="dxa"/>
        </w:tblCellMar>
      </w:tblPr>
      <w:tblGrid>
        <w:gridCol w:w="855"/>
        <w:gridCol w:w="730"/>
        <w:gridCol w:w="736"/>
        <w:gridCol w:w="875"/>
        <w:gridCol w:w="871"/>
        <w:gridCol w:w="873"/>
        <w:gridCol w:w="109"/>
        <w:gridCol w:w="109"/>
        <w:gridCol w:w="109"/>
        <w:gridCol w:w="226"/>
        <w:gridCol w:w="662"/>
        <w:gridCol w:w="117"/>
        <w:gridCol w:w="117"/>
        <w:gridCol w:w="117"/>
        <w:gridCol w:w="117"/>
        <w:gridCol w:w="226"/>
        <w:gridCol w:w="662"/>
        <w:gridCol w:w="117"/>
        <w:gridCol w:w="109"/>
        <w:gridCol w:w="109"/>
        <w:gridCol w:w="109"/>
        <w:gridCol w:w="211"/>
        <w:gridCol w:w="616"/>
        <w:gridCol w:w="109"/>
        <w:gridCol w:w="109"/>
        <w:gridCol w:w="109"/>
        <w:gridCol w:w="109"/>
        <w:gridCol w:w="211"/>
        <w:gridCol w:w="616"/>
        <w:gridCol w:w="160"/>
      </w:tblGrid>
      <w:tr>
        <w:trPr/>
        <w:tc>
          <w:tcPr>
            <w:tcW w:w="85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Income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Facilities and grounds expense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2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Depreciation and amortization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Facilities and grounds expense is included within </w:t>
            </w:r>
            <w:r>
              <w:rPr>
                <w:rFonts w:ascii="Times New Roman;sans-serif" w:hAnsi="Times New Roman;sans-serif"/>
                <w:b w:val="false"/>
                <w:i/>
                <w:color w:val="000000"/>
                <w:sz w:val="16"/>
              </w:rPr>
              <w:t>Cost of service</w:t>
            </w:r>
            <w:r>
              <w:rPr>
                <w:color w:val="000000"/>
              </w:rPr>
              <w:t xml:space="preserve"> </w:t>
            </w:r>
            <w:r>
              <w:rPr>
                <w:rFonts w:ascii="Times New Roman;sans-serif" w:hAnsi="Times New Roman;sans-serif"/>
                <w:b w:val="false"/>
                <w:color w:val="000000"/>
                <w:sz w:val="16"/>
              </w:rPr>
              <w:t xml:space="preserve">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6"/>
              </w:rPr>
              <w:t xml:space="preserve">Depreciation and amortization expense is included within </w:t>
            </w:r>
            <w:r>
              <w:rPr>
                <w:rFonts w:ascii="Times New Roman;sans-serif" w:hAnsi="Times New Roman;sans-serif"/>
                <w:b w:val="false"/>
                <w:i/>
                <w:color w:val="000000"/>
                <w:sz w:val="16"/>
              </w:rPr>
              <w:t>Field depreciation</w:t>
            </w:r>
            <w:r>
              <w:rPr>
                <w:color w:val="000000"/>
              </w:rPr>
              <w:t xml:space="preserve"> </w:t>
            </w:r>
            <w:r>
              <w:rPr>
                <w:rFonts w:ascii="Times New Roman;sans-serif" w:hAnsi="Times New Roman;sans-serif"/>
                <w:b w:val="false"/>
                <w:color w:val="000000"/>
                <w:sz w:val="16"/>
              </w:rPr>
              <w:t xml:space="preserve">expense and </w:t>
            </w:r>
            <w:r>
              <w:rPr>
                <w:rFonts w:ascii="Times New Roman;sans-serif" w:hAnsi="Times New Roman;sans-serif"/>
                <w:b w:val="false"/>
                <w:i/>
                <w:color w:val="000000"/>
                <w:sz w:val="16"/>
              </w:rPr>
              <w:t>General, administrative and other</w:t>
            </w:r>
            <w:r>
              <w:rPr>
                <w:color w:val="000000"/>
              </w:rPr>
              <w:t xml:space="preserve"> </w:t>
            </w:r>
            <w:r>
              <w:rPr>
                <w:rFonts w:ascii="Times New Roman;sans-serif" w:hAnsi="Times New Roman;sans-serif"/>
                <w:b w:val="false"/>
                <w:color w:val="000000"/>
                <w:sz w:val="16"/>
              </w:rPr>
              <w:t>on our Consolidated Statements of Operations.</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our leases is as follows (in thousands):</w:t>
      </w:r>
    </w:p>
    <w:tbl>
      <w:tblPr>
        <w:tblW w:w="7388" w:type="dxa"/>
        <w:jc w:val="center"/>
        <w:tblInd w:w="0" w:type="dxa"/>
        <w:tblLayout w:type="fixed"/>
        <w:tblCellMar>
          <w:top w:w="28" w:type="dxa"/>
          <w:left w:w="28" w:type="dxa"/>
          <w:bottom w:w="28" w:type="dxa"/>
          <w:right w:w="28" w:type="dxa"/>
        </w:tblCellMar>
      </w:tblPr>
      <w:tblGrid>
        <w:gridCol w:w="1861"/>
        <w:gridCol w:w="1639"/>
        <w:gridCol w:w="1644"/>
        <w:gridCol w:w="211"/>
        <w:gridCol w:w="616"/>
        <w:gridCol w:w="109"/>
        <w:gridCol w:w="109"/>
        <w:gridCol w:w="109"/>
        <w:gridCol w:w="109"/>
        <w:gridCol w:w="211"/>
        <w:gridCol w:w="616"/>
        <w:gridCol w:w="154"/>
      </w:tblGrid>
      <w:tr>
        <w:trPr/>
        <w:tc>
          <w:tcPr>
            <w:tcW w:w="18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 included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 included in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leases is as follows (in thousands):</w:t>
      </w:r>
    </w:p>
    <w:tbl>
      <w:tblPr>
        <w:tblW w:w="8439" w:type="dxa"/>
        <w:jc w:val="left"/>
        <w:tblInd w:w="0" w:type="dxa"/>
        <w:tblLayout w:type="fixed"/>
        <w:tblCellMar>
          <w:top w:w="28" w:type="dxa"/>
          <w:left w:w="28" w:type="dxa"/>
          <w:bottom w:w="28" w:type="dxa"/>
          <w:right w:w="28" w:type="dxa"/>
        </w:tblCellMar>
      </w:tblPr>
      <w:tblGrid>
        <w:gridCol w:w="2242"/>
        <w:gridCol w:w="1971"/>
        <w:gridCol w:w="1982"/>
        <w:gridCol w:w="211"/>
        <w:gridCol w:w="616"/>
        <w:gridCol w:w="109"/>
        <w:gridCol w:w="109"/>
        <w:gridCol w:w="109"/>
        <w:gridCol w:w="109"/>
        <w:gridCol w:w="211"/>
        <w:gridCol w:w="616"/>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is as follows (in thousands):</w:t>
      </w:r>
    </w:p>
    <w:tbl>
      <w:tblPr>
        <w:tblW w:w="10205" w:type="dxa"/>
        <w:jc w:val="center"/>
        <w:tblInd w:w="0" w:type="dxa"/>
        <w:tblLayout w:type="fixed"/>
        <w:tblCellMar>
          <w:top w:w="28" w:type="dxa"/>
          <w:left w:w="28" w:type="dxa"/>
          <w:bottom w:w="28" w:type="dxa"/>
          <w:right w:w="28" w:type="dxa"/>
        </w:tblCellMar>
      </w:tblPr>
      <w:tblGrid>
        <w:gridCol w:w="996"/>
        <w:gridCol w:w="847"/>
        <w:gridCol w:w="854"/>
        <w:gridCol w:w="109"/>
        <w:gridCol w:w="109"/>
        <w:gridCol w:w="109"/>
        <w:gridCol w:w="1310"/>
        <w:gridCol w:w="1310"/>
        <w:gridCol w:w="1313"/>
        <w:gridCol w:w="109"/>
        <w:gridCol w:w="109"/>
        <w:gridCol w:w="109"/>
        <w:gridCol w:w="228"/>
        <w:gridCol w:w="780"/>
        <w:gridCol w:w="118"/>
        <w:gridCol w:w="109"/>
        <w:gridCol w:w="109"/>
        <w:gridCol w:w="109"/>
        <w:gridCol w:w="284"/>
        <w:gridCol w:w="972"/>
        <w:gridCol w:w="212"/>
      </w:tblGrid>
      <w:tr>
        <w:trPr/>
        <w:tc>
          <w:tcPr>
            <w:tcW w:w="9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 portion of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operating leases,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Obligations under finance leases,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24,933 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average lease terms and discount rates at June 30, 2024 are as follows:</w:t>
      </w:r>
    </w:p>
    <w:tbl>
      <w:tblPr>
        <w:tblW w:w="8050" w:type="dxa"/>
        <w:jc w:val="left"/>
        <w:tblInd w:w="0" w:type="dxa"/>
        <w:tblLayout w:type="fixed"/>
        <w:tblCellMar>
          <w:top w:w="28" w:type="dxa"/>
          <w:left w:w="28" w:type="dxa"/>
          <w:bottom w:w="28" w:type="dxa"/>
          <w:right w:w="28" w:type="dxa"/>
        </w:tblCellMar>
      </w:tblPr>
      <w:tblGrid>
        <w:gridCol w:w="527"/>
        <w:gridCol w:w="462"/>
        <w:gridCol w:w="466"/>
        <w:gridCol w:w="1229"/>
        <w:gridCol w:w="1229"/>
        <w:gridCol w:w="1231"/>
        <w:gridCol w:w="109"/>
        <w:gridCol w:w="109"/>
        <w:gridCol w:w="109"/>
        <w:gridCol w:w="525"/>
        <w:gridCol w:w="525"/>
        <w:gridCol w:w="152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remaining lease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discount rate</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non-cancelable operating and finance leases at June 30, 2024 are as follows (in thousands):</w:t>
      </w:r>
    </w:p>
    <w:tbl>
      <w:tblPr>
        <w:tblW w:w="5033" w:type="dxa"/>
        <w:jc w:val="left"/>
        <w:tblInd w:w="0" w:type="dxa"/>
        <w:tblLayout w:type="fixed"/>
        <w:tblCellMar>
          <w:top w:w="28" w:type="dxa"/>
          <w:left w:w="28" w:type="dxa"/>
          <w:bottom w:w="28" w:type="dxa"/>
          <w:right w:w="28" w:type="dxa"/>
        </w:tblCellMar>
      </w:tblPr>
      <w:tblGrid>
        <w:gridCol w:w="971"/>
        <w:gridCol w:w="855"/>
        <w:gridCol w:w="858"/>
        <w:gridCol w:w="211"/>
        <w:gridCol w:w="721"/>
        <w:gridCol w:w="109"/>
        <w:gridCol w:w="109"/>
        <w:gridCol w:w="109"/>
        <w:gridCol w:w="109"/>
        <w:gridCol w:w="211"/>
        <w:gridCol w:w="61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Finance</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payments due: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we had no significant operating or finance leases that had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pPr>
      <w:r>
        <w:rPr>
          <w:rFonts w:ascii="Times New Roman;sans-serif" w:hAnsi="Times New Roman;sans-serif"/>
          <w:b/>
          <w:color w:val="000000"/>
          <w:sz w:val="20"/>
        </w:rPr>
        <w:t>14.STOCKHOLDERS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activity is as follows (in thousands, except shares): </w:t>
      </w:r>
    </w:p>
    <w:tbl>
      <w:tblPr>
        <w:tblW w:w="10205" w:type="dxa"/>
        <w:jc w:val="left"/>
        <w:tblInd w:w="0" w:type="dxa"/>
        <w:tblLayout w:type="fixed"/>
        <w:tblCellMar>
          <w:top w:w="28" w:type="dxa"/>
          <w:left w:w="28" w:type="dxa"/>
          <w:bottom w:w="28" w:type="dxa"/>
          <w:right w:w="28" w:type="dxa"/>
        </w:tblCellMar>
      </w:tblPr>
      <w:tblGrid>
        <w:gridCol w:w="787"/>
        <w:gridCol w:w="686"/>
        <w:gridCol w:w="688"/>
        <w:gridCol w:w="210"/>
        <w:gridCol w:w="210"/>
        <w:gridCol w:w="211"/>
        <w:gridCol w:w="262"/>
        <w:gridCol w:w="506"/>
        <w:gridCol w:w="135"/>
        <w:gridCol w:w="109"/>
        <w:gridCol w:w="109"/>
        <w:gridCol w:w="109"/>
        <w:gridCol w:w="210"/>
        <w:gridCol w:w="210"/>
        <w:gridCol w:w="211"/>
        <w:gridCol w:w="262"/>
        <w:gridCol w:w="506"/>
        <w:gridCol w:w="135"/>
        <w:gridCol w:w="109"/>
        <w:gridCol w:w="109"/>
        <w:gridCol w:w="109"/>
        <w:gridCol w:w="413"/>
        <w:gridCol w:w="413"/>
        <w:gridCol w:w="211"/>
        <w:gridCol w:w="211"/>
        <w:gridCol w:w="616"/>
        <w:gridCol w:w="109"/>
        <w:gridCol w:w="109"/>
        <w:gridCol w:w="109"/>
        <w:gridCol w:w="109"/>
        <w:gridCol w:w="413"/>
        <w:gridCol w:w="413"/>
        <w:gridCol w:w="211"/>
        <w:gridCol w:w="211"/>
        <w:gridCol w:w="616"/>
        <w:gridCol w:w="158"/>
      </w:tblGrid>
      <w:tr>
        <w:trPr/>
        <w:tc>
          <w:tcPr>
            <w:tcW w:w="78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Restricted stock granted during the six months ended June 30 2024 and 2023 vests over a three-year period, if the employee has remained continuously employed by us during the vesting period, at a weighted average stock price of $24.48 and $32.63, respectively.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restricted stock awards of $0.6 million and $0.4 million, for the three months ended June 30, 2024 and 2023, respectively, and $1.1 million and $0.6 million for the six months ended June 30, 2024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grants and cancellations are as follows (in thousands, except shares): </w:t>
      </w:r>
    </w:p>
    <w:tbl>
      <w:tblPr>
        <w:tblW w:w="9738" w:type="dxa"/>
        <w:jc w:val="left"/>
        <w:tblInd w:w="0" w:type="dxa"/>
        <w:tblLayout w:type="fixed"/>
        <w:tblCellMar>
          <w:top w:w="28" w:type="dxa"/>
          <w:left w:w="28" w:type="dxa"/>
          <w:bottom w:w="28" w:type="dxa"/>
          <w:right w:w="28" w:type="dxa"/>
        </w:tblCellMar>
      </w:tblPr>
      <w:tblGrid>
        <w:gridCol w:w="342"/>
        <w:gridCol w:w="300"/>
        <w:gridCol w:w="304"/>
        <w:gridCol w:w="413"/>
        <w:gridCol w:w="413"/>
        <w:gridCol w:w="211"/>
        <w:gridCol w:w="211"/>
        <w:gridCol w:w="616"/>
        <w:gridCol w:w="109"/>
        <w:gridCol w:w="109"/>
        <w:gridCol w:w="109"/>
        <w:gridCol w:w="109"/>
        <w:gridCol w:w="360"/>
        <w:gridCol w:w="361"/>
        <w:gridCol w:w="211"/>
        <w:gridCol w:w="245"/>
        <w:gridCol w:w="543"/>
        <w:gridCol w:w="127"/>
        <w:gridCol w:w="109"/>
        <w:gridCol w:w="109"/>
        <w:gridCol w:w="109"/>
        <w:gridCol w:w="413"/>
        <w:gridCol w:w="413"/>
        <w:gridCol w:w="211"/>
        <w:gridCol w:w="211"/>
        <w:gridCol w:w="616"/>
        <w:gridCol w:w="109"/>
        <w:gridCol w:w="109"/>
        <w:gridCol w:w="109"/>
        <w:gridCol w:w="109"/>
        <w:gridCol w:w="413"/>
        <w:gridCol w:w="413"/>
        <w:gridCol w:w="211"/>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granted during the six months ended June 30, 2024 and 2023 had a weighted average price of $24.48 and $32.69, respectively. The fair value of these options was calculated using the Black-Scholes option pricing model. The options granted in 2024 and 2023 vest over a three-year period and have a ten-year term. These options will vest if the employee has remained continuously employed by us through the vesting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options granted during the six months ended June 30, 2024 was estimated using the Black-Scholes option pricing model with the following assumptions:</w:t>
      </w:r>
    </w:p>
    <w:tbl>
      <w:tblPr>
        <w:tblW w:w="4819" w:type="dxa"/>
        <w:jc w:val="left"/>
        <w:tblInd w:w="0" w:type="dxa"/>
        <w:tblLayout w:type="fixed"/>
        <w:tblCellMar>
          <w:top w:w="28" w:type="dxa"/>
          <w:left w:w="28" w:type="dxa"/>
          <w:bottom w:w="28" w:type="dxa"/>
          <w:right w:w="28" w:type="dxa"/>
        </w:tblCellMar>
      </w:tblPr>
      <w:tblGrid>
        <w:gridCol w:w="986"/>
        <w:gridCol w:w="869"/>
        <w:gridCol w:w="875"/>
        <w:gridCol w:w="109"/>
        <w:gridCol w:w="109"/>
        <w:gridCol w:w="109"/>
        <w:gridCol w:w="109"/>
        <w:gridCol w:w="109"/>
        <w:gridCol w:w="452"/>
        <w:gridCol w:w="452"/>
        <w:gridCol w:w="640"/>
      </w:tblGrid>
      <w:tr>
        <w:trPr/>
        <w:tc>
          <w:tcPr>
            <w:tcW w:w="98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February 21, 2024</w:t>
            </w:r>
          </w:p>
        </w:tc>
      </w:tr>
      <w:tr>
        <w:trPr/>
        <w:tc>
          <w:tcPr>
            <w:tcW w:w="2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holding period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370,590</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Black-Scholes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stock option activity is as follows (in thousands, except shares): </w:t>
      </w:r>
    </w:p>
    <w:tbl>
      <w:tblPr>
        <w:tblW w:w="10205" w:type="dxa"/>
        <w:jc w:val="left"/>
        <w:tblInd w:w="0" w:type="dxa"/>
        <w:tblLayout w:type="fixed"/>
        <w:tblCellMar>
          <w:top w:w="28" w:type="dxa"/>
          <w:left w:w="28" w:type="dxa"/>
          <w:bottom w:w="28" w:type="dxa"/>
          <w:right w:w="28" w:type="dxa"/>
        </w:tblCellMar>
      </w:tblPr>
      <w:tblGrid>
        <w:gridCol w:w="770"/>
        <w:gridCol w:w="677"/>
        <w:gridCol w:w="679"/>
        <w:gridCol w:w="360"/>
        <w:gridCol w:w="361"/>
        <w:gridCol w:w="211"/>
        <w:gridCol w:w="211"/>
        <w:gridCol w:w="616"/>
        <w:gridCol w:w="109"/>
        <w:gridCol w:w="109"/>
        <w:gridCol w:w="109"/>
        <w:gridCol w:w="109"/>
        <w:gridCol w:w="360"/>
        <w:gridCol w:w="361"/>
        <w:gridCol w:w="211"/>
        <w:gridCol w:w="211"/>
        <w:gridCol w:w="406"/>
        <w:gridCol w:w="109"/>
        <w:gridCol w:w="109"/>
        <w:gridCol w:w="109"/>
        <w:gridCol w:w="109"/>
        <w:gridCol w:w="360"/>
        <w:gridCol w:w="361"/>
        <w:gridCol w:w="211"/>
        <w:gridCol w:w="211"/>
        <w:gridCol w:w="616"/>
        <w:gridCol w:w="109"/>
        <w:gridCol w:w="109"/>
        <w:gridCol w:w="109"/>
        <w:gridCol w:w="109"/>
        <w:gridCol w:w="360"/>
        <w:gridCol w:w="361"/>
        <w:gridCol w:w="211"/>
        <w:gridCol w:w="211"/>
        <w:gridCol w:w="406"/>
        <w:gridCol w:w="155"/>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w:t>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Exercised</w:t>
            </w:r>
            <w:r>
              <w:rPr>
                <w:rFonts w:ascii="Times New Roman;sans-serif" w:hAnsi="Times New Roman;sans-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option price</w:t>
            </w:r>
            <w:r>
              <w:rPr>
                <w:rFonts w:ascii="Times New Roman;sans-serif" w:hAnsi="Times New Roman;sans-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Returned for payroll taxes</w:t>
            </w:r>
            <w:r>
              <w:rPr>
                <w:rFonts w:ascii="Times New Roman;sans-serif" w:hAnsi="Times New Roman;sans-serif"/>
                <w:b w:val="false"/>
                <w:color w:val="000000"/>
                <w:sz w:val="13"/>
              </w:rPr>
              <w:t>(3)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Stock options exercised during the three months ended June 30, 2024 and 2023 had a weighted average exercise price of $25.43 and $20.06 with an aggregate intrinsic value of $0.1 million and $0.2 million, respectively. Stock options exercised during the six months ended June 30, 2024 and 2023 had a weighted average exercise price of $25.43 and $22.26 with an aggregate intrinsic value of $0.1 million and $0.3 million,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received for the payment of the option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withheld/cash paid for the payment of payroll taxes.</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stock options of $0.8 million and $0.7 million, for the three months ended June 30, 2024 and 2023, respectively, and $1.0 million and $1.4 million for the six months ended June 30, 2024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Awards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award activity is as follows (in thousands, except shares): </w:t>
      </w:r>
    </w:p>
    <w:tbl>
      <w:tblPr>
        <w:tblW w:w="8974" w:type="dxa"/>
        <w:jc w:val="left"/>
        <w:tblInd w:w="0" w:type="dxa"/>
        <w:tblLayout w:type="fixed"/>
        <w:tblCellMar>
          <w:top w:w="28" w:type="dxa"/>
          <w:left w:w="28" w:type="dxa"/>
          <w:bottom w:w="28" w:type="dxa"/>
          <w:right w:w="28" w:type="dxa"/>
        </w:tblCellMar>
      </w:tblPr>
      <w:tblGrid>
        <w:gridCol w:w="342"/>
        <w:gridCol w:w="301"/>
        <w:gridCol w:w="303"/>
        <w:gridCol w:w="210"/>
        <w:gridCol w:w="210"/>
        <w:gridCol w:w="211"/>
        <w:gridCol w:w="266"/>
        <w:gridCol w:w="512"/>
        <w:gridCol w:w="137"/>
        <w:gridCol w:w="109"/>
        <w:gridCol w:w="109"/>
        <w:gridCol w:w="109"/>
        <w:gridCol w:w="308"/>
        <w:gridCol w:w="308"/>
        <w:gridCol w:w="211"/>
        <w:gridCol w:w="283"/>
        <w:gridCol w:w="485"/>
        <w:gridCol w:w="146"/>
        <w:gridCol w:w="109"/>
        <w:gridCol w:w="109"/>
        <w:gridCol w:w="109"/>
        <w:gridCol w:w="360"/>
        <w:gridCol w:w="361"/>
        <w:gridCol w:w="211"/>
        <w:gridCol w:w="245"/>
        <w:gridCol w:w="543"/>
        <w:gridCol w:w="127"/>
        <w:gridCol w:w="109"/>
        <w:gridCol w:w="109"/>
        <w:gridCol w:w="109"/>
        <w:gridCol w:w="360"/>
        <w:gridCol w:w="361"/>
        <w:gridCol w:w="211"/>
        <w:gridCol w:w="211"/>
        <w:gridCol w:w="61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performance awards of $0.5 million and $0.7 million, for the three months ended June 30, 2024 and 2023, respectively, and $0.1 million and $0.7 million for six months ended June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is as follows (in thousands, except shares):</w:t>
      </w:r>
    </w:p>
    <w:tbl>
      <w:tblPr>
        <w:tblW w:w="9054" w:type="dxa"/>
        <w:jc w:val="left"/>
        <w:tblInd w:w="0" w:type="dxa"/>
        <w:tblLayout w:type="fixed"/>
        <w:tblCellMar>
          <w:top w:w="28" w:type="dxa"/>
          <w:left w:w="28" w:type="dxa"/>
          <w:bottom w:w="28" w:type="dxa"/>
          <w:right w:w="28" w:type="dxa"/>
        </w:tblCellMar>
      </w:tblPr>
      <w:tblGrid>
        <w:gridCol w:w="201"/>
        <w:gridCol w:w="177"/>
        <w:gridCol w:w="178"/>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616"/>
        <w:gridCol w:w="109"/>
        <w:gridCol w:w="109"/>
        <w:gridCol w:w="109"/>
        <w:gridCol w:w="109"/>
        <w:gridCol w:w="360"/>
        <w:gridCol w:w="361"/>
        <w:gridCol w:w="211"/>
        <w:gridCol w:w="211"/>
        <w:gridCol w:w="616"/>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Price</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right (option) to purchase shares under the ESPP is estimated at the date of purchase with the four quarterly purchase dates using the following assumptions: </w:t>
      </w:r>
    </w:p>
    <w:tbl>
      <w:tblPr>
        <w:tblW w:w="4364" w:type="dxa"/>
        <w:jc w:val="left"/>
        <w:tblInd w:w="0" w:type="dxa"/>
        <w:tblLayout w:type="fixed"/>
        <w:tblCellMar>
          <w:top w:w="28" w:type="dxa"/>
          <w:left w:w="28" w:type="dxa"/>
          <w:bottom w:w="28" w:type="dxa"/>
          <w:right w:w="28" w:type="dxa"/>
        </w:tblCellMar>
      </w:tblPr>
      <w:tblGrid>
        <w:gridCol w:w="668"/>
        <w:gridCol w:w="588"/>
        <w:gridCol w:w="589"/>
        <w:gridCol w:w="736"/>
        <w:gridCol w:w="736"/>
        <w:gridCol w:w="1047"/>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41.15%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5.46%, 5.24%, 5.02%, 4.80%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(years)</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0.25, 0.50, 0.75, 1.00</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 xml:space="preserve">General, administrative and other expenses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Regional and unallocated funeral and cemetery costs</w:t>
      </w:r>
      <w:r>
        <w:rPr>
          <w:rFonts w:ascii="Times New Roman;sans-serif" w:hAnsi="Times New Roman;sans-serif"/>
          <w:b w:val="false"/>
          <w:color w:val="000000"/>
          <w:sz w:val="20"/>
        </w:rPr>
        <w:t>, for the ESPP totaling $0.1 million and $0.2 million for the three months ended June 30, 2024 and 2023, respectively, and $0.3 million and $0.4 million for the six months ended June 30, 2024 and 2023, respectively.</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Common Stock </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Former Employee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activity is as follows (in thousands, except shares): </w:t>
      </w:r>
    </w:p>
    <w:tbl>
      <w:tblPr>
        <w:tblW w:w="9746" w:type="dxa"/>
        <w:jc w:val="left"/>
        <w:tblInd w:w="0" w:type="dxa"/>
        <w:tblLayout w:type="fixed"/>
        <w:tblCellMar>
          <w:top w:w="28" w:type="dxa"/>
          <w:left w:w="28" w:type="dxa"/>
          <w:bottom w:w="28" w:type="dxa"/>
          <w:right w:w="28" w:type="dxa"/>
        </w:tblCellMar>
      </w:tblPr>
      <w:tblGrid>
        <w:gridCol w:w="810"/>
        <w:gridCol w:w="711"/>
        <w:gridCol w:w="714"/>
        <w:gridCol w:w="210"/>
        <w:gridCol w:w="210"/>
        <w:gridCol w:w="211"/>
        <w:gridCol w:w="266"/>
        <w:gridCol w:w="512"/>
        <w:gridCol w:w="137"/>
        <w:gridCol w:w="109"/>
        <w:gridCol w:w="109"/>
        <w:gridCol w:w="109"/>
        <w:gridCol w:w="210"/>
        <w:gridCol w:w="210"/>
        <w:gridCol w:w="211"/>
        <w:gridCol w:w="266"/>
        <w:gridCol w:w="512"/>
        <w:gridCol w:w="137"/>
        <w:gridCol w:w="109"/>
        <w:gridCol w:w="109"/>
        <w:gridCol w:w="109"/>
        <w:gridCol w:w="210"/>
        <w:gridCol w:w="210"/>
        <w:gridCol w:w="211"/>
        <w:gridCol w:w="266"/>
        <w:gridCol w:w="512"/>
        <w:gridCol w:w="137"/>
        <w:gridCol w:w="109"/>
        <w:gridCol w:w="109"/>
        <w:gridCol w:w="109"/>
        <w:gridCol w:w="360"/>
        <w:gridCol w:w="361"/>
        <w:gridCol w:w="211"/>
        <w:gridCol w:w="244"/>
        <w:gridCol w:w="538"/>
        <w:gridCol w:w="178"/>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Returned for payroll taxes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six months ended June 30, 2023, we issued 30,000 shares of common stock to a former executive at a stock price of $27.54, in accordance with his Separation and Release agreement pertaining to his resignation from his position as the Company’s Executive Vice President, Chief Financial Officer &amp; Treasurer effective January 2, 2023.</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stock-based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for common stock awards of $0.8 million, for the six months ended June 30, 2023.</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Good To Great Incentive Program</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issued to certain employees under this incentive program is as follows (in thousands, except shares):</w:t>
      </w:r>
    </w:p>
    <w:tbl>
      <w:tblPr>
        <w:tblW w:w="8637" w:type="dxa"/>
        <w:jc w:val="left"/>
        <w:tblInd w:w="0" w:type="dxa"/>
        <w:tblLayout w:type="fixed"/>
        <w:tblCellMar>
          <w:top w:w="28" w:type="dxa"/>
          <w:left w:w="28" w:type="dxa"/>
          <w:bottom w:w="28" w:type="dxa"/>
          <w:right w:w="28" w:type="dxa"/>
        </w:tblCellMar>
      </w:tblPr>
      <w:tblGrid>
        <w:gridCol w:w="337"/>
        <w:gridCol w:w="296"/>
        <w:gridCol w:w="297"/>
        <w:gridCol w:w="210"/>
        <w:gridCol w:w="210"/>
        <w:gridCol w:w="211"/>
        <w:gridCol w:w="266"/>
        <w:gridCol w:w="512"/>
        <w:gridCol w:w="137"/>
        <w:gridCol w:w="109"/>
        <w:gridCol w:w="109"/>
        <w:gridCol w:w="109"/>
        <w:gridCol w:w="210"/>
        <w:gridCol w:w="210"/>
        <w:gridCol w:w="211"/>
        <w:gridCol w:w="266"/>
        <w:gridCol w:w="512"/>
        <w:gridCol w:w="137"/>
        <w:gridCol w:w="109"/>
        <w:gridCol w:w="109"/>
        <w:gridCol w:w="109"/>
        <w:gridCol w:w="360"/>
        <w:gridCol w:w="361"/>
        <w:gridCol w:w="211"/>
        <w:gridCol w:w="245"/>
        <w:gridCol w:w="543"/>
        <w:gridCol w:w="127"/>
        <w:gridCol w:w="109"/>
        <w:gridCol w:w="109"/>
        <w:gridCol w:w="109"/>
        <w:gridCol w:w="308"/>
        <w:gridCol w:w="308"/>
        <w:gridCol w:w="211"/>
        <w:gridCol w:w="244"/>
        <w:gridCol w:w="538"/>
        <w:gridCol w:w="1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Granted</w:t>
            </w:r>
            <w:r>
              <w:rPr>
                <w:rFonts w:ascii="Times New Roman;sans-serif" w:hAnsi="Times New Roman;sans-serif"/>
                <w:b w:val="false"/>
                <w:color w:val="000000"/>
                <w:sz w:val="13"/>
              </w:rPr>
              <w:t>(1)</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granted during the six months ended June 30, 2024 and 2023 had a grant date stock price of $25.08 and $32.69, respectively.</w:t>
            </w:r>
          </w:p>
        </w:tc>
      </w:tr>
    </w:tbl>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Non-Employee Director and Board Advisor Compensation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2, 2024, the Board of Directors (the “Board”) of the Company revised the Director Compensation Policy to provide that each independent director is entitled to a quarterly retainer of $37,500 payable in cash and/or unrestricted shares of our common stock at the end of each quarter. The chair of the Board, so long as he or she is an independent director, and the chair of our Audit Committee shall be entitled to an additional annual retainer of $20,000, payable in quarterly installments of $5,000 each at the end of each quarter, the chair of our Compensation Committee is entitled to an additional annual retainer of $15,000, payable in quarterly installments of $3,750 at the end of each quarter, and the chair of our Corporate Governance Committee is entitled to an additional annual retainer of $10,000, payable in quarterly installments of $2,500 at the end of each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new independent director will receive upon admission to the Board a grant of $25,000 (in addition to the independent director annual retainer prorated at the time the new director is admitted to the Board) which can be taken in cash or unrestricted shares of our common stock. The number of shares of such common stock will be determined by dividing the cash amount by the closing price of our common stock on the date of grant, which will be the date of admission to the Board.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14, 2024, the Board elected Julie Sanders to serve as chair of the Board’s Corporate Governance Committee, effective on that date, which was a result of the previous announcement of Chad Fargason, the prior chair of the Corporate Governance Committee, being elected to serve as the Company’s Non-Executive Chairman of the Board, effective March 7, 2024.</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Non-Employee Director and Board Advisor common stock activity is as follows (in thousands, except shares): </w:t>
      </w:r>
    </w:p>
    <w:tbl>
      <w:tblPr>
        <w:tblW w:w="9973" w:type="dxa"/>
        <w:jc w:val="left"/>
        <w:tblInd w:w="0" w:type="dxa"/>
        <w:tblLayout w:type="fixed"/>
        <w:tblCellMar>
          <w:top w:w="28" w:type="dxa"/>
          <w:left w:w="28" w:type="dxa"/>
          <w:bottom w:w="28" w:type="dxa"/>
          <w:right w:w="28" w:type="dxa"/>
        </w:tblCellMar>
      </w:tblPr>
      <w:tblGrid>
        <w:gridCol w:w="716"/>
        <w:gridCol w:w="631"/>
        <w:gridCol w:w="633"/>
        <w:gridCol w:w="308"/>
        <w:gridCol w:w="308"/>
        <w:gridCol w:w="211"/>
        <w:gridCol w:w="245"/>
        <w:gridCol w:w="543"/>
        <w:gridCol w:w="127"/>
        <w:gridCol w:w="109"/>
        <w:gridCol w:w="109"/>
        <w:gridCol w:w="109"/>
        <w:gridCol w:w="308"/>
        <w:gridCol w:w="308"/>
        <w:gridCol w:w="211"/>
        <w:gridCol w:w="283"/>
        <w:gridCol w:w="485"/>
        <w:gridCol w:w="146"/>
        <w:gridCol w:w="109"/>
        <w:gridCol w:w="109"/>
        <w:gridCol w:w="109"/>
        <w:gridCol w:w="308"/>
        <w:gridCol w:w="308"/>
        <w:gridCol w:w="211"/>
        <w:gridCol w:w="245"/>
        <w:gridCol w:w="543"/>
        <w:gridCol w:w="127"/>
        <w:gridCol w:w="109"/>
        <w:gridCol w:w="109"/>
        <w:gridCol w:w="109"/>
        <w:gridCol w:w="308"/>
        <w:gridCol w:w="308"/>
        <w:gridCol w:w="211"/>
        <w:gridCol w:w="244"/>
        <w:gridCol w:w="538"/>
        <w:gridCol w:w="178"/>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Board of Directors</w:t>
            </w:r>
            <w:r>
              <w:rPr>
                <w:rFonts w:ascii="Times New Roman;sans-serif" w:hAnsi="Times New Roman;sans-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Advisor to the Board</w:t>
            </w:r>
            <w:r>
              <w:rPr>
                <w:rFonts w:ascii="Times New Roman;sans-serif" w:hAnsi="Times New Roman;sans-serif"/>
                <w:b w:val="false"/>
                <w:color w:val="000000"/>
                <w:sz w:val="13"/>
              </w:rPr>
              <w:t>(1)</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Common stock granted during the three months ended June 30, 2024 and 2023 had a weighted average price of $26.84 and $32.47, respectively, and $26.93 and $31.01 for the six months ended June 30, 2024 and 2023, respectively.</w:t>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 xml:space="preserve">We recorded compensation expense, which is included in </w:t>
      </w:r>
      <w:r>
        <w:rPr>
          <w:rFonts w:ascii="Times New Roman;sans-serif" w:hAnsi="Times New Roman;sans-serif"/>
          <w:b w:val="false"/>
          <w:i/>
          <w:color w:val="000000"/>
          <w:sz w:val="20"/>
        </w:rPr>
        <w:t>General, administrative and other expenses</w:t>
      </w:r>
      <w:r>
        <w:rPr>
          <w:rFonts w:ascii="Times New Roman;sans-serif" w:hAnsi="Times New Roman;sans-serif"/>
          <w:b w:val="false"/>
          <w:color w:val="000000"/>
          <w:sz w:val="20"/>
        </w:rPr>
        <w:t>, related to annual retainers, including the value of stock granted to non-employee directors and an advisor to our Board, of $0.2 million for both the three months ended June 30, 2024, and 2023 and $0.7 million and $0.4 million for the six months ended June 30, 2024 and 2023, respectively.</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repurchase any shares during the three and six months ended June 30, 2024 and 2023. At June 30, 2024, our share repurchase program had $48.9 million authorized for repurchases.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347" w:type="dxa"/>
        <w:jc w:val="left"/>
        <w:tblInd w:w="0" w:type="dxa"/>
        <w:tblLayout w:type="fixed"/>
        <w:tblCellMar>
          <w:top w:w="28" w:type="dxa"/>
          <w:left w:w="28" w:type="dxa"/>
          <w:bottom w:w="28" w:type="dxa"/>
          <w:right w:w="28" w:type="dxa"/>
        </w:tblCellMar>
      </w:tblPr>
      <w:tblGrid>
        <w:gridCol w:w="324"/>
        <w:gridCol w:w="285"/>
        <w:gridCol w:w="290"/>
        <w:gridCol w:w="211"/>
        <w:gridCol w:w="721"/>
        <w:gridCol w:w="109"/>
        <w:gridCol w:w="109"/>
        <w:gridCol w:w="109"/>
        <w:gridCol w:w="109"/>
        <w:gridCol w:w="232"/>
        <w:gridCol w:w="679"/>
        <w:gridCol w:w="169"/>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15.EARNINGS PER SHARE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basic and diluted earnings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895"/>
        <w:gridCol w:w="1603"/>
        <w:gridCol w:w="1613"/>
        <w:gridCol w:w="221"/>
        <w:gridCol w:w="648"/>
        <w:gridCol w:w="114"/>
        <w:gridCol w:w="114"/>
        <w:gridCol w:w="114"/>
        <w:gridCol w:w="114"/>
        <w:gridCol w:w="221"/>
        <w:gridCol w:w="648"/>
        <w:gridCol w:w="114"/>
        <w:gridCol w:w="109"/>
        <w:gridCol w:w="109"/>
        <w:gridCol w:w="109"/>
        <w:gridCol w:w="211"/>
        <w:gridCol w:w="721"/>
        <w:gridCol w:w="109"/>
        <w:gridCol w:w="109"/>
        <w:gridCol w:w="109"/>
        <w:gridCol w:w="109"/>
        <w:gridCol w:w="211"/>
        <w:gridCol w:w="721"/>
        <w:gridCol w:w="159"/>
      </w:tblGrid>
      <w:tr>
        <w:trPr/>
        <w:tc>
          <w:tcPr>
            <w:tcW w:w="189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 for basic and diluted earnings per share:</w:t>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Earnings allocated to unvested restricted stock</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common stockholders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common share – weighted average shares outstanding</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awards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common share – weighted average shares outstanding</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excluded from the computation of diluted earnings per share because the inclusion of such stock options would result in an antidilutive effect are as follows (in thousands): </w:t>
      </w:r>
    </w:p>
    <w:tbl>
      <w:tblPr>
        <w:tblW w:w="7854" w:type="dxa"/>
        <w:jc w:val="left"/>
        <w:tblInd w:w="0" w:type="dxa"/>
        <w:tblLayout w:type="fixed"/>
        <w:tblCellMar>
          <w:top w:w="28" w:type="dxa"/>
          <w:left w:w="28" w:type="dxa"/>
          <w:bottom w:w="28" w:type="dxa"/>
          <w:right w:w="28" w:type="dxa"/>
        </w:tblCellMar>
      </w:tblPr>
      <w:tblGrid>
        <w:gridCol w:w="821"/>
        <w:gridCol w:w="720"/>
        <w:gridCol w:w="724"/>
        <w:gridCol w:w="427"/>
        <w:gridCol w:w="265"/>
        <w:gridCol w:w="265"/>
        <w:gridCol w:w="265"/>
        <w:gridCol w:w="265"/>
        <w:gridCol w:w="265"/>
        <w:gridCol w:w="427"/>
        <w:gridCol w:w="265"/>
        <w:gridCol w:w="265"/>
        <w:gridCol w:w="109"/>
        <w:gridCol w:w="109"/>
        <w:gridCol w:w="109"/>
        <w:gridCol w:w="405"/>
        <w:gridCol w:w="235"/>
        <w:gridCol w:w="235"/>
        <w:gridCol w:w="235"/>
        <w:gridCol w:w="235"/>
        <w:gridCol w:w="235"/>
        <w:gridCol w:w="405"/>
        <w:gridCol w:w="235"/>
        <w:gridCol w:w="333"/>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awards are considered to be contingently issuable shares because their issuance is contingent upon the satisfaction of certain performance and service conditions. At June 30, 2024, we had satisfied certain performance criteria for the first, second and third predetermined growth targets of our performance awards to be considered outstanding. Therefore, we included these awards in the computation of diluted earnings per share as of the beginning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16.SEGMENT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major source for each of our reportable segments was as follows (in thousands):</w:t>
      </w:r>
    </w:p>
    <w:tbl>
      <w:tblPr>
        <w:tblW w:w="7059" w:type="dxa"/>
        <w:jc w:val="center"/>
        <w:tblInd w:w="0" w:type="dxa"/>
        <w:tblLayout w:type="fixed"/>
        <w:tblCellMar>
          <w:top w:w="28" w:type="dxa"/>
          <w:left w:w="28" w:type="dxa"/>
          <w:bottom w:w="28" w:type="dxa"/>
          <w:right w:w="28" w:type="dxa"/>
        </w:tblCellMar>
      </w:tblPr>
      <w:tblGrid>
        <w:gridCol w:w="1013"/>
        <w:gridCol w:w="894"/>
        <w:gridCol w:w="898"/>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color w:val="EE2724"/>
        </w:rPr>
      </w:pPr>
      <w:r>
        <w:rPr>
          <w:color w:val="EE2724"/>
        </w:rPr>
        <w:t>                                            </w:t>
      </w:r>
    </w:p>
    <w:tbl>
      <w:tblPr>
        <w:tblW w:w="6954" w:type="dxa"/>
        <w:jc w:val="center"/>
        <w:tblInd w:w="0" w:type="dxa"/>
        <w:tblLayout w:type="fixed"/>
        <w:tblCellMar>
          <w:top w:w="28" w:type="dxa"/>
          <w:left w:w="28" w:type="dxa"/>
          <w:bottom w:w="28" w:type="dxa"/>
          <w:right w:w="28" w:type="dxa"/>
        </w:tblCellMar>
      </w:tblPr>
      <w:tblGrid>
        <w:gridCol w:w="1013"/>
        <w:gridCol w:w="894"/>
        <w:gridCol w:w="898"/>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54" w:type="dxa"/>
        <w:jc w:val="center"/>
        <w:tblInd w:w="0" w:type="dxa"/>
        <w:tblLayout w:type="fixed"/>
        <w:tblCellMar>
          <w:top w:w="28" w:type="dxa"/>
          <w:left w:w="28" w:type="dxa"/>
          <w:bottom w:w="28" w:type="dxa"/>
          <w:right w:w="28" w:type="dxa"/>
        </w:tblCellMar>
      </w:tblPr>
      <w:tblGrid>
        <w:gridCol w:w="937"/>
        <w:gridCol w:w="827"/>
        <w:gridCol w:w="831"/>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54" w:type="dxa"/>
        <w:jc w:val="center"/>
        <w:tblInd w:w="0" w:type="dxa"/>
        <w:tblLayout w:type="fixed"/>
        <w:tblCellMar>
          <w:top w:w="28" w:type="dxa"/>
          <w:left w:w="28" w:type="dxa"/>
          <w:bottom w:w="28" w:type="dxa"/>
          <w:right w:w="28" w:type="dxa"/>
        </w:tblCellMar>
      </w:tblPr>
      <w:tblGrid>
        <w:gridCol w:w="937"/>
        <w:gridCol w:w="827"/>
        <w:gridCol w:w="831"/>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color w:val="000000"/>
          <w:sz w:val="20"/>
        </w:rPr>
        <w:t>The following table presents operating income (loss), income (loss) before income taxes and total assets (in thousands):</w:t>
      </w:r>
      <w:r>
        <w:rPr>
          <w:color w:val="000000"/>
        </w:rPr>
        <w:t> </w:t>
      </w:r>
    </w:p>
    <w:tbl>
      <w:tblPr>
        <w:tblW w:w="8684" w:type="dxa"/>
        <w:jc w:val="center"/>
        <w:tblInd w:w="0" w:type="dxa"/>
        <w:tblLayout w:type="fixed"/>
        <w:tblCellMar>
          <w:top w:w="28" w:type="dxa"/>
          <w:left w:w="28" w:type="dxa"/>
          <w:bottom w:w="28" w:type="dxa"/>
          <w:right w:w="28" w:type="dxa"/>
        </w:tblCellMar>
      </w:tblPr>
      <w:tblGrid>
        <w:gridCol w:w="1069"/>
        <w:gridCol w:w="939"/>
        <w:gridCol w:w="946"/>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97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Funeral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Cemetery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17.SUPPLEMENTARY DATA</w:t>
      </w:r>
    </w:p>
    <w:p>
      <w:pPr>
        <w:pStyle w:val="TextBody"/>
        <w:bidi w:val="0"/>
        <w:spacing w:lineRule="auto" w:line="288" w:before="80" w:after="120"/>
        <w:jc w:val="left"/>
        <w:rPr>
          <w:rFonts w:ascii="Times New Roman;sans-serif" w:hAnsi="Times New Roman;sans-serif"/>
          <w:b/>
          <w:i/>
          <w:color w:val="000000"/>
          <w:sz w:val="20"/>
        </w:rPr>
      </w:pPr>
      <w:r>
        <w:rPr>
          <w:rFonts w:ascii="Times New Roman;sans-serif" w:hAnsi="Times New Roman;sans-serif"/>
          <w:b/>
          <w:i/>
          <w:color w:val="000000"/>
          <w:sz w:val="20"/>
        </w:rPr>
        <w:t>Balance Sheet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detail of certain balance sheet accounts (in thousands): </w:t>
      </w:r>
    </w:p>
    <w:tbl>
      <w:tblPr>
        <w:tblW w:w="7271" w:type="dxa"/>
        <w:jc w:val="center"/>
        <w:tblInd w:w="0" w:type="dxa"/>
        <w:tblLayout w:type="fixed"/>
        <w:tblCellMar>
          <w:top w:w="28" w:type="dxa"/>
          <w:left w:w="28" w:type="dxa"/>
          <w:bottom w:w="28" w:type="dxa"/>
          <w:right w:w="28" w:type="dxa"/>
        </w:tblCellMar>
      </w:tblPr>
      <w:tblGrid>
        <w:gridCol w:w="1519"/>
        <w:gridCol w:w="1335"/>
        <w:gridCol w:w="1345"/>
        <w:gridCol w:w="234"/>
        <w:gridCol w:w="800"/>
        <w:gridCol w:w="121"/>
        <w:gridCol w:w="109"/>
        <w:gridCol w:w="109"/>
        <w:gridCol w:w="109"/>
        <w:gridCol w:w="309"/>
        <w:gridCol w:w="1056"/>
        <w:gridCol w:w="225"/>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receivable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receivable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and other current assets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 and lease obligations: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portion of debt and lease obligations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 compensation</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wages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Vacation</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and franchise taxes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meetings and award trips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Perpetual care trust payable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liabilities</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30,655 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Incentive compensation </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left"/>
        <w:rPr>
          <w:rFonts w:ascii="Times New Roman;sans-serif" w:hAnsi="Times New Roman;sans-serif"/>
          <w:b/>
          <w:i/>
          <w:color w:val="000000"/>
          <w:sz w:val="20"/>
        </w:rPr>
      </w:pPr>
      <w:r>
        <w:rPr>
          <w:rFonts w:ascii="Times New Roman;sans-serif" w:hAnsi="Times New Roman;sans-serif"/>
          <w:b/>
          <w:i/>
          <w:color w:val="000000"/>
          <w:sz w:val="20"/>
        </w:rPr>
        <w:t>Cash Flow</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is supplemental disclosure for the Consolidated Statements of Cash Flows (in thousands):</w:t>
      </w:r>
    </w:p>
    <w:tbl>
      <w:tblPr>
        <w:tblW w:w="4343" w:type="dxa"/>
        <w:jc w:val="center"/>
        <w:tblInd w:w="0" w:type="dxa"/>
        <w:tblLayout w:type="fixed"/>
        <w:tblCellMar>
          <w:top w:w="28" w:type="dxa"/>
          <w:left w:w="28" w:type="dxa"/>
          <w:bottom w:w="28" w:type="dxa"/>
          <w:right w:w="28" w:type="dxa"/>
        </w:tblCellMar>
      </w:tblPr>
      <w:tblGrid>
        <w:gridCol w:w="684"/>
        <w:gridCol w:w="600"/>
        <w:gridCol w:w="605"/>
        <w:gridCol w:w="211"/>
        <w:gridCol w:w="721"/>
        <w:gridCol w:w="109"/>
        <w:gridCol w:w="109"/>
        <w:gridCol w:w="109"/>
        <w:gridCol w:w="109"/>
        <w:gridCol w:w="211"/>
        <w:gridCol w:w="72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18</w:t>
      </w:r>
      <w:r>
        <w:rPr>
          <w:rFonts w:ascii="Times New Roman;sans-serif" w:hAnsi="Times New Roman;sans-serif"/>
          <w:b w:val="false"/>
          <w:color w:val="000000"/>
          <w:sz w:val="20"/>
        </w:rPr>
        <w:t xml:space="preserve">. </w:t>
      </w:r>
      <w:r>
        <w:rPr>
          <w:rFonts w:ascii="Times New Roman;sans-serif" w:hAnsi="Times New Roman;sans-serif"/>
          <w:b/>
          <w:color w:val="000000"/>
          <w:sz w:val="20"/>
        </w:rPr>
        <w:t>SUBSEQUENT EVENTS</w:t>
      </w:r>
    </w:p>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 Amendment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2024, the Company entered into a fourth amendment, (the “Credit Facility Amendment”), to our Credit Facility, with the financial institutions party thereto, as lenders, and Bank of America, N.A., as administrative agent. The Credit Facility Amendment provided, among other things, for (i) the extension of the maturity date of the Credit Facility to July 31, 2029, provided that, if the Senior Notes (as defined in the Credit Facility) have a stated maturity date that is prior to July 31, 2029, then the maturity date shall instead be the date that is 91 days prior to the stated maturity date of the Senior Notes; (ii) the establishment of Term Secured Overnight Financing Rate (“SOFR”) as a benchmark rate and the removal of BSBY from the Credit Facility, including conforming revisions to certain defined terms under the Credit Facility; (iii) the conversion of each existing BSBY Rate Loan (as defined in the Credit Facility prior to giving effect to the Credit Facility Amendment) to a Term SOFR Loan (as defined in the Credit Facility); (iv) modifications to the definitions of “Applicable Rate” and “Applicable Fee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Rate” to change the applicable rates and pricing levels set forth in each pricing grid; (v) the removal of certain mandatory prepayments arising from the issuance of either Equity Interests or Debt (as both are defined by the Credit Facility); and (vi) modifications to the permitted investments covenant, relating to the Company’s ability to make certain acquisitions, subject to the satisfaction of certain conditions therein.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effective date of the Credit Facility, as amended, and through and including the date the Company’s compliance certificate is delivered for the fiscal quarter ending June 30, 2024, interest accrues on amounts outstanding under the Credit Facility based on Pricing Level 4 set forth below, and thereafter based on the Company’s Total Leverage Ratio (as defined in the Credit Facility), in accordance with the following pricing grid:</w:t>
      </w:r>
    </w:p>
    <w:tbl>
      <w:tblPr>
        <w:tblW w:w="6883" w:type="dxa"/>
        <w:jc w:val="left"/>
        <w:tblInd w:w="0" w:type="dxa"/>
        <w:tblLayout w:type="fixed"/>
        <w:tblCellMar>
          <w:top w:w="28" w:type="dxa"/>
          <w:left w:w="28" w:type="dxa"/>
          <w:bottom w:w="28" w:type="dxa"/>
          <w:right w:w="28" w:type="dxa"/>
        </w:tblCellMar>
      </w:tblPr>
      <w:tblGrid>
        <w:gridCol w:w="272"/>
        <w:gridCol w:w="239"/>
        <w:gridCol w:w="240"/>
        <w:gridCol w:w="774"/>
        <w:gridCol w:w="774"/>
        <w:gridCol w:w="776"/>
        <w:gridCol w:w="1008"/>
        <w:gridCol w:w="1008"/>
        <w:gridCol w:w="1013"/>
        <w:gridCol w:w="226"/>
        <w:gridCol w:w="226"/>
        <w:gridCol w:w="32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6883"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Applicable Rate</w:t>
            </w:r>
          </w:p>
        </w:tc>
      </w:tr>
      <w:tr>
        <w:trPr/>
        <w:tc>
          <w:tcPr>
            <w:tcW w:w="7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Pricing</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23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 Leverage Ratio</w:t>
            </w:r>
          </w:p>
        </w:tc>
        <w:tc>
          <w:tcPr>
            <w:tcW w:w="302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Term SOFR / Letter of Credit Fees</w:t>
            </w:r>
          </w:p>
        </w:tc>
        <w:tc>
          <w:tcPr>
            <w:tcW w:w="77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Base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Rate</w:t>
            </w:r>
          </w:p>
        </w:tc>
      </w:tr>
      <w:tr>
        <w:trPr/>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3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&lt; 3.00:1.00</w:t>
            </w:r>
          </w:p>
        </w:tc>
        <w:tc>
          <w:tcPr>
            <w:tcW w:w="30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1.625%</w:t>
            </w:r>
          </w:p>
        </w:tc>
        <w:tc>
          <w:tcPr>
            <w:tcW w:w="77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0.625%</w:t>
            </w:r>
          </w:p>
        </w:tc>
      </w:tr>
      <w:tr>
        <w:trPr/>
        <w:tc>
          <w:tcPr>
            <w:tcW w:w="7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3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&lt; 3.50:1.00 but ≥ 3.00:1.00</w:t>
            </w:r>
          </w:p>
        </w:tc>
        <w:tc>
          <w:tcPr>
            <w:tcW w:w="302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779"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0.875%</w:t>
            </w:r>
          </w:p>
        </w:tc>
      </w:tr>
      <w:tr>
        <w:trPr/>
        <w:tc>
          <w:tcPr>
            <w:tcW w:w="7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32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&lt; 4.25:1.00 but ≥ 3.50:1.00</w:t>
            </w:r>
          </w:p>
        </w:tc>
        <w:tc>
          <w:tcPr>
            <w:tcW w:w="30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2.125%</w:t>
            </w:r>
          </w:p>
        </w:tc>
        <w:tc>
          <w:tcPr>
            <w:tcW w:w="779"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1.125%</w:t>
            </w:r>
          </w:p>
        </w:tc>
      </w:tr>
      <w:tr>
        <w:trPr/>
        <w:tc>
          <w:tcPr>
            <w:tcW w:w="75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2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0"/>
              <w:jc w:val="center"/>
              <w:rPr>
                <w:color w:val="000000"/>
              </w:rPr>
            </w:pPr>
            <w:r>
              <w:rPr>
                <w:color w:val="000000"/>
              </w:rPr>
              <w:t xml:space="preserve">≥ </w:t>
            </w:r>
            <w:r>
              <w:rPr>
                <w:rFonts w:ascii="Times New Roman;sans-serif" w:hAnsi="Times New Roman;sans-serif"/>
                <w:b w:val="false"/>
                <w:color w:val="000000"/>
                <w:sz w:val="20"/>
              </w:rPr>
              <w:t>4.25:1.00</w:t>
            </w:r>
          </w:p>
        </w:tc>
        <w:tc>
          <w:tcPr>
            <w:tcW w:w="3029"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779"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after giving effect to the amended Credit Facility on July 31, 2024, the Company had borrowings of approximately $151.0 million in principal amount outstanding and had approximately $96.4 million available for additional borrowing under the Credit Facility after giving effect to approximately $2.6 million of outstanding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CAUTIONARY STATEMENT ON FORWARD-LOOKING STATEMENTS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historical information, this Quarterly Report on Form 10-Q contains certain statements and information that may constitute forward-looking statements within the meaning of the Private Securities Litigation Reform Act of 1995. All statements, other than statements of historical information, should be deemed to be forward-looking statements. Words such as “may”, “will”, “estimate”, “intend”, “believe”, “expect”, “seek”, “project”, “forecast”, “foresee”, “should”, “would”, “could”, “plan”, “anticipate” and other similar words or expressions may be used to identify forward-looking statements; however, the absence of these words does not mean that the statements are not forward-looking. These forward-looking statements include, but are not limited to, statements regarding any projections of earnings, revenue, cash flow, investment returns, capital allocation, debt levels, equity performance, death rates, market share growth, cost inflation, overhead, including talent recruitment, field and corporate incentive compensation, preneed sales or other financial items; any statements of the plans, strategies, objectives and timing of management for future operations or financing activities, including, but not limited to, technology improvements, product development, capital allocation, organizational performance, execution of our strategic objectives and growth plan, planned divestitures, the ability to obtain credit or financing, anticipated integration, performance and other benefits of recently completed and anticipated acquisitions, and cost management and debt reductions; any statements of the plans, timing and objectives of management for acquisition and divestiture activities; any statements regarding future economic and market conditions or performance; any projections or expectations related to the conclusion of the Board's strategic review; any statements of belief; and any statements of assumptions underlying any of the foregoing and are based on our current expectations and beliefs concerning future developments and their potential effect on us. While we believe these assumptions concerning future events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w:t>
      </w:r>
    </w:p>
    <w:p>
      <w:pPr>
        <w:pStyle w:val="TextBody"/>
        <w:bidi w:val="0"/>
        <w:spacing w:lineRule="auto" w:line="288" w:before="40" w:after="283"/>
        <w:ind w:left="0" w:right="0" w:hanging="360"/>
        <w:jc w:val="both"/>
        <w:rPr/>
      </w:pPr>
      <w:r>
        <w:rPr>
          <w:color w:val="000000"/>
        </w:rPr>
        <w:t>•</w:t>
      </w:r>
      <w:r>
        <w:rPr>
          <w:rFonts w:ascii="Times New Roman;sans-serif" w:hAnsi="Times New Roman;sans-serif"/>
          <w:b w:val="false"/>
          <w:color w:val="000000"/>
          <w:sz w:val="20"/>
        </w:rPr>
        <w:t>our ability to find and retain skilled personnel;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our talent recruitment efforts, incentive and compensation plans and programs, including such effects on our Standards Operating Model and the Company’s operational and financial performance;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our strategic objectives and growth strategy,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adverse effects on the Company's business, financial and equity performance if management fails to meet the expectations of its strategic objectives and growth plan;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execute and meet the objectives of our High Performance and Credit Profile Restoration Plan,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execution of our Standards Operating and Strategic Acquisition Models;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competition;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the number of deaths in our markets, which are not predictable from market to market or over the short term;</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consumer preferences and our ability to adapt to or meet those changes;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generate preneed sales, including implementing our cemetery portfolio sales strategy, product development and optimization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investment performance of our funeral and cemetery trust funds;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fluctuations in interest rates, including, but not limited to, the effects of increased borrowing costs under our Credit Facility and our ability to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effects of inflation on our operational and financial performance, including the increased overall costs for our goods and services, the impact on customer preferences as a result of changes in discretionary income, and our ability, if at all, to mitigate such effects;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obtain debt or equity financing on satisfactory terms to fund additional acquisitions, expansion projects, working capital requirements and the repayment or refinancing of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ability to meet the timing, objectives and expectations related to our capital allocation framework, including our forecasted rates of return, planned uses of free cash flow and future capital allocation, including share repurchases, potential strategic acquisitions, internal growth projects, dividend increases, or debt repayment plans;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meet the projected financial and equity performance goals of our full year outlook, if at all;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timely and full payment of death benefits related to preneed funeral contracts funded through life insurance contracts;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financial condition of third-party insurance companies that fund our preneed funeral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increased or unanticipated costs, such as merchandise, goods, insurance or taxes, and our ability to mitigate or minimize such costs, if at all;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level of indebtedness and the cash required to service our indebtedness;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changes in federal income tax laws and regulations and the implementation and interpretation of these laws and regulations by the Internal Revenue Service;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effects of the application of other applicable laws and regulations, including changes in such regulations or the interpretation thereof;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potential impact of epidemics and pandemics, such as the COVID-19 coronavirus, including any new or emerging public health threats, on customer preferences and on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government, social, business and other actions that have been and will be taken in response to pandemics and epidemics, such as those that were taken with the COVID-19 coronavirus, including potential responses to any new or emerging public health threats;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effects and expense of litigation;</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consolidation in the funeral and cemetery industry;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ability to identify and consummate strategic acquisitions, if at all, and successfully integrate acquired businesses with our existing businesses, including expected performance and financial improvements related thereto;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potential adverse impacts resulting from shareholder or market perceptions of our recent announcement regarding the conclusion of our Board’s review of potential strategic alternatives;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economic, financial and stock market fluctuations;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interruptions or security lapses of our information technology, including any cybersecurity or ransomware incidents;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adverse developments affecting the financial services industry;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acts of war or terrorists acts and the governmental or military response to such acts;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failure to maintain effective control over financial reporting; and</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other factors and uncertainties inherent in the funeral and cemetery industry.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2023.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two business segments: Funeral Home operations, which currently accounts for approximately 65% of our total revenue, and Cemetery operations, which currently accounts for approximately 35% of our total revenue. At June 30, 2024, we operated 164 funeral homes in 26 states and 31 cemeteries in 11 states. We compete with other publicly held, privately held and independent operators of funeral and cemetery companies.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funeral home operations are principally service businesses that generate revenue from sales of burial and cremation services and related merchandise, such as caskets and urns. Funeral services include consultation, the removal and preparation of remains, the sale of caskets and related funeral merchandise, the use of funeral home facilities for visitation and memorial services and transportation services. We provide funeral services and products on both an “atneed” (time of death) and “preneed” (planned prior to death) basis.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cemetery operations generate revenue primarily through sales of cemetery interment rights (primarily grave sites, lawn crypts, mausoleum spaces and niches), related cemetery merchandise (such as memorial markers, outer burial containers and monuments) and services (interments, inurnments and installation of cemetery merchandise). We provide cemetery services and products on both an atneed and preneed basis.</w:t>
      </w:r>
    </w:p>
    <w:p>
      <w:pPr>
        <w:pStyle w:val="TextBody"/>
        <w:bidi w:val="0"/>
        <w:spacing w:lineRule="auto" w:line="288" w:before="300" w:after="283"/>
        <w:jc w:val="both"/>
        <w:rPr/>
      </w:pPr>
      <w:r>
        <w:rPr>
          <w:rFonts w:ascii="Times New Roman;sans-serif" w:hAnsi="Times New Roman;sans-serif"/>
          <w:b/>
          <w:color w:val="000000"/>
          <w:sz w:val="20"/>
        </w:rPr>
        <w:t>COMPANY DEVELOPMENTS</w:t>
      </w:r>
      <w:r>
        <w:rPr>
          <w:color w:val="000000"/>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Board of Directors and Leadership Changes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2, 2024, the Board of Directors (the “Board”) of the Company revised the Director Compensation Policy to provide that each independent director is entitled to a quarterly retainer of $37,500 payable in cash and/or unrestricted shares of our common stock at the end of each quarter. The chair of the Board, so long as he or she is an independent director, and the chair of our Audit Committee shall be entitled to an additional annual retainer of $20,000, the chair of our Compensation Committee is entitled to an additional annual retainer of $15,000, and the chair of our Corporate Governance Committee is entitled to an additional annual retainer of $10,000, which are payable in quarterly installments at the end of each quarter.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14, 2024, the Board elected Julie Sanders to serve as chair of the Board’s Corporate Governance Committee, effective on that date, which was a result of the previous announcement of Chad Fargason, the prior chair of the Corporate Governance Committee, being elected to serve as the Company’s Non-Executive Chairman of the Board, effective March 7,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6, 2024, L. Kian Granmayeh informed the Company that he would resign from his position as Executive Vice President, Chief Financial Officer and Treasurer (Principal Financial Officer) effective July 1, 2024 and will serve as a consultant for the Company for six months thereafter. Mr. Granmayeh’s resignation was not the result of any disagreement with the Company on any matter relating to the Company's operations, policies, or practices, including any matters concerning the Company’s controls or any financial or accounting-related matters or disclosures.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Mr. Granmayeh’s resignation, the Company’s Board appointed Kathryn Shanley, the Company’s Chief Accounting Officer (Principal Accounting Officer) as the Company’s interim Principal Financial Officer, effective June 6, 2024, until a permanent replacement is identified. No new compensatory arrangements were entered into with Ms. Shanley in connection with her appointment as the Company’s interim Principal Financial Officer.</w:t>
      </w:r>
    </w:p>
    <w:p>
      <w:pPr>
        <w:pStyle w:val="TextBody"/>
        <w:bidi w:val="0"/>
        <w:spacing w:lineRule="auto" w:line="276"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Contingent Liability</w:t>
      </w:r>
    </w:p>
    <w:p>
      <w:pPr>
        <w:pStyle w:val="TextBody"/>
        <w:bidi w:val="0"/>
        <w:spacing w:lineRule="auto" w:line="276"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we recorded a $5.0 million contingent liability to reflect our agreement to pay our financial advisor in connection with the review of strategic alternatives.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Inflationary and Macroeconomic Trends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2024, we continued to experience a stabilization of inflationary costs from our vendors and suppliers for merchandise and goods, particularly as it relates to utilities, funeral supplies and merchandise costs, with costs remaining flat when compared to the same period during 2023. Although we continue to experience higher variable interest rates under our Credit Facility, we anticipate lower borrowing costs as we continue prioritizing paying down our outstanding debt throughout the year. While we are encouraged by the stabilization of inflationary costs that we have experienced thus far in 2024, we are unable to forecast with any certainty whether inflationary costs will continue to moderate in future periods, as the ultimate scope and duration of these impacts remain unknown at this time. More broadly, the U.S. economy continues to experience the impact of several years of higher rates of inflation, which has impacted a wide variety of industries and sectors,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consumers facing rising prices. Such inflation may negatively impact consumer discretionary spending, including the amount that consumers are able to spend on our services, although we have not experienced any material impacts to date and our industry has been largely resilient to similar adverse economic and market environments in the past. Although we expect these trends to continue throughout the year, we will assess these impacts and take the appropriate steps, if necessary, to mitigate any changes in consumer preferences or additional cost increases, if possible.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we continued to experience lower volumes as compared to prior years due to fluctuations in the death rate, although overall financial performance remains at or above prior reporting periods. Although we expect fluctuations in the death rate to continue, we are unable to predict or forecast the duration or variation of the death rate with any certainty. Regardless of these fluctuations in the death rate, we continue to focus on expanding market share, cost management and executing on our strategic operational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and capital resources are internally generated cash flows from operating activities and availability under our Credit Facility (defined below).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cash in our operations primarily from atneed sales and delivery of preneed sales. We also generate cash from earnings on our cemetery perpetual care trusts. Based on our recent operating results, current cash position and anticipated future cash flows, we do not anticipate any significant liquidity constraints in the foreseeable future. We have the ability to draw on our Credit Facility, subject to its customary terms and conditions.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plan is to remain focused on executing our strategic objectives and growth strategy. This includes prioritizing our capital allocation for debt repayments, the payment of dividends and debt obligations and internal growth capital expenditures, which we expect to fund using cash on hand and borrowings under our Credit Facility, along with general corporate purposes, as allowed under our Credit Facility. We believe that our existing and anticipated cash resources, including, as needed, additional borrowings or other financings that we may be able to obtain, will be sufficient to meet our anticipated working capital requirements, capital expenditures, scheduled debt payments, commitments and dividends for the next 12 months, as well as our long-term financial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if our capital allocations and expenditures or acquisition plans change, we may need to access the capital markets or seek further borrowing capacity from our lenders to obtain additional funding and we may not be able to obtain such funding on terms and conditions that are acceptable to us.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Part I, Item 1A “Risk Factors” in our Annual Report on Form 10-K for the year ended December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cash balance has remained consistent throughout the year as we began the year and ended the second quarter with $1.5 million in cash. At June 30, 2024, we had borrowings of $155.0 million outstanding on our Credit Facility compared to $179.1 million at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elements of cash flow (in thousands):</w:t>
      </w:r>
    </w:p>
    <w:tbl>
      <w:tblPr>
        <w:tblW w:w="10178" w:type="dxa"/>
        <w:jc w:val="left"/>
        <w:tblInd w:w="0" w:type="dxa"/>
        <w:tblLayout w:type="fixed"/>
        <w:tblCellMar>
          <w:top w:w="28" w:type="dxa"/>
          <w:left w:w="28" w:type="dxa"/>
          <w:bottom w:w="28" w:type="dxa"/>
          <w:right w:w="28" w:type="dxa"/>
        </w:tblCellMar>
      </w:tblPr>
      <w:tblGrid>
        <w:gridCol w:w="2874"/>
        <w:gridCol w:w="2526"/>
        <w:gridCol w:w="2534"/>
        <w:gridCol w:w="211"/>
        <w:gridCol w:w="616"/>
        <w:gridCol w:w="109"/>
        <w:gridCol w:w="109"/>
        <w:gridCol w:w="109"/>
        <w:gridCol w:w="109"/>
        <w:gridCol w:w="211"/>
        <w:gridCol w:w="616"/>
        <w:gridCol w:w="154"/>
      </w:tblGrid>
      <w:tr>
        <w:trPr/>
        <w:tc>
          <w:tcPr>
            <w:tcW w:w="2874"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businesses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divestitures and sale of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insurance claims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(payments) borrowings on our Credit Facility, acquisition debt and finance lease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employee equity plans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9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cash provided by operating activities was $21.9 million compared to $39.2 million for the six months ended June 30, 2023. The decrease of $17.3 million is primarily due to the following non-recurring events, which occurred during the first six months of 2023: i) an $8.6 million withdrawal of realized capital gains and earnings from our preneed funeral and cemetery trust investments; and ii) receipt of a $6.0 million incentive payment from a vendor for entering into a strategic partnership agreement to market and sell prearranged funeral services in the future.</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resulted in a net cash inflow of $4.4 million for the six months ended June 30, 2024 compared to a net cash outflow of $49.9 million for the six months ended June 30, 2023, an increase of $54.3 million.</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and Divestiture Activity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sold six funeral homes and one cemetery for an aggregate of $10.9 million. Additionally, we sold real property for $0.3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acquired a business consisting of three funeral homes, two cemeteries and one cremation focused business for $44.0 million. In addition, we sold one funeral home and two cemeteries for $0.8 million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real property for $1.2 million.</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 Proceeds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received proceeds of $0.3 million from our property insurance policy for the reimbursement of renovation costs for certain of our funeral businesses damaged by Hurricane Ian that occurred during the third quarter of 2022.</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received proceeds of $1.1 million from our property insurance policy for the reimbursement of renovation costs for certain of our funeral businesses damaged by Hurricane Ian that occurred during the third quarter of 2022 and a fire that occurred during the first quarter of 2023.</w:t>
      </w:r>
    </w:p>
    <w:p>
      <w:pPr>
        <w:pStyle w:val="TextBody"/>
        <w:bidi w:val="0"/>
        <w:spacing w:lineRule="auto" w:line="288" w:before="18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our capital expenditures (comprised of growth and maintenance spend) totaled $7.1 million compared to $9.0 million for the six months ended June 30, 2023, a decrease of $1.9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growth and maintenance capital expenditures (in thousands):</w:t>
      </w:r>
    </w:p>
    <w:tbl>
      <w:tblPr>
        <w:tblW w:w="5304" w:type="dxa"/>
        <w:jc w:val="center"/>
        <w:tblInd w:w="0" w:type="dxa"/>
        <w:tblLayout w:type="fixed"/>
        <w:tblCellMar>
          <w:top w:w="28" w:type="dxa"/>
          <w:left w:w="28" w:type="dxa"/>
          <w:bottom w:w="28" w:type="dxa"/>
          <w:right w:w="28" w:type="dxa"/>
        </w:tblCellMar>
      </w:tblPr>
      <w:tblGrid>
        <w:gridCol w:w="1104"/>
        <w:gridCol w:w="973"/>
        <w:gridCol w:w="983"/>
        <w:gridCol w:w="211"/>
        <w:gridCol w:w="616"/>
        <w:gridCol w:w="109"/>
        <w:gridCol w:w="109"/>
        <w:gridCol w:w="109"/>
        <w:gridCol w:w="109"/>
        <w:gridCol w:w="211"/>
        <w:gridCol w:w="61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Growth</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development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Renovations at certain businesses </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Growth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During the six months ended June 30, 2023, we spent $0.5 million for renovations on two businesses that were affected by Hurricane Ian, which occurred during the third quarter of 2022 and $0.3 million for renovations on one business that was damaged by a fire, which occurred during the first quarter of 2023, all of which was reimbursed by our property insurance.</w:t>
            </w:r>
          </w:p>
        </w:tc>
      </w:tr>
    </w:tbl>
    <w:tbl>
      <w:tblPr>
        <w:tblW w:w="5123" w:type="dxa"/>
        <w:jc w:val="left"/>
        <w:tblInd w:w="0" w:type="dxa"/>
        <w:tblLayout w:type="fixed"/>
        <w:tblCellMar>
          <w:top w:w="28" w:type="dxa"/>
          <w:left w:w="28" w:type="dxa"/>
          <w:bottom w:w="28" w:type="dxa"/>
          <w:right w:w="28" w:type="dxa"/>
        </w:tblCellMar>
      </w:tblPr>
      <w:tblGrid>
        <w:gridCol w:w="1043"/>
        <w:gridCol w:w="916"/>
        <w:gridCol w:w="920"/>
        <w:gridCol w:w="211"/>
        <w:gridCol w:w="616"/>
        <w:gridCol w:w="109"/>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equipment and furniture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repairs and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Paving roads and parking lots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Maintenance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resulted in a net cash outflow of $26.3 million for the six months ended June 30, 2024 compared to a net cash inflow of $10.5 million for the six months ended June 30, 2023, a decrease of $36.8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had net payments on our Credit Facility, acquisition debt and finance leases of $24.4 million and paid dividends of $3.4 million.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had net borrowings on our Credit Facility, acquisition debt and finance leases of $13.0 million, offset by $3.3 million of dividends paid.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repurchase any shares during the six months ended June 30, 2024 and 2023. At June 30, 2024, our share repurchase program had $48.9 million authorized for repurchases.</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Dividends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declared the following dividends payable on the dates below (in thousands, except per share amounts):</w:t>
      </w:r>
    </w:p>
    <w:tbl>
      <w:tblPr>
        <w:tblW w:w="3347" w:type="dxa"/>
        <w:jc w:val="left"/>
        <w:tblInd w:w="0" w:type="dxa"/>
        <w:tblLayout w:type="fixed"/>
        <w:tblCellMar>
          <w:top w:w="28" w:type="dxa"/>
          <w:left w:w="28" w:type="dxa"/>
          <w:bottom w:w="28" w:type="dxa"/>
          <w:right w:w="28" w:type="dxa"/>
        </w:tblCellMar>
      </w:tblPr>
      <w:tblGrid>
        <w:gridCol w:w="324"/>
        <w:gridCol w:w="285"/>
        <w:gridCol w:w="290"/>
        <w:gridCol w:w="211"/>
        <w:gridCol w:w="721"/>
        <w:gridCol w:w="109"/>
        <w:gridCol w:w="109"/>
        <w:gridCol w:w="109"/>
        <w:gridCol w:w="109"/>
        <w:gridCol w:w="232"/>
        <w:gridCol w:w="679"/>
        <w:gridCol w:w="169"/>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 Value</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March 1</w:t>
            </w:r>
            <w:r>
              <w:rPr>
                <w:rFonts w:ascii="Times New Roman;sans-serif" w:hAnsi="Times New Roman;sans-serif"/>
                <w:b w:val="false"/>
                <w:color w:val="000000"/>
                <w:sz w:val="13"/>
              </w:rPr>
              <w:t>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June 1</w:t>
            </w:r>
            <w:r>
              <w:rPr>
                <w:rFonts w:ascii="Times New Roman;sans-serif" w:hAnsi="Times New Roman;sans-serif"/>
                <w:b w:val="false"/>
                <w:color w:val="000000"/>
                <w:sz w:val="13"/>
              </w:rPr>
              <w:t>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8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Credit Facility, Lease Obligations and Acquisition Debt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principal of our Credit Facility, lease obligations and acquisition debt at June 30, 2024 is as follows (in thousands): </w:t>
      </w:r>
    </w:p>
    <w:tbl>
      <w:tblPr>
        <w:tblW w:w="2683" w:type="dxa"/>
        <w:jc w:val="center"/>
        <w:tblInd w:w="0" w:type="dxa"/>
        <w:tblLayout w:type="fixed"/>
        <w:tblCellMar>
          <w:top w:w="28" w:type="dxa"/>
          <w:left w:w="28" w:type="dxa"/>
          <w:bottom w:w="28" w:type="dxa"/>
          <w:right w:w="28" w:type="dxa"/>
        </w:tblCellMar>
      </w:tblPr>
      <w:tblGrid>
        <w:gridCol w:w="538"/>
        <w:gridCol w:w="472"/>
        <w:gridCol w:w="474"/>
        <w:gridCol w:w="212"/>
        <w:gridCol w:w="832"/>
        <w:gridCol w:w="15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Credit Facility</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our senior secured revolving credit facility (the “Credit Facility”) was comprised of: (i) a $250.0 million revolving credit facility, including a $15.0 million subfacility for letters of credit and a $10.0 million swingline, and (ii) an accordion or incremental option allowing for future increases in the facility size by an additional amount of up to $75.0 million in the aggregate in the form of increased revolving commitments or incremental term loans.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31, 2024, we entered into a fourth amendment (the “Credit Facility Amendment”) to the Credit Facility. See Note 18 – Subsequent Events for more information on the Credit Facility Amendment. As amended by the Credit Facility Amendment, the final maturity of the Credit Facility will occur on July 31, 2029, provided, that if the Senior Notes (as defined in the Credit Facility) have a stated maturity prior to July 31, 2029, then the maturity date will instead be the date that is 91 days prior to the stated maturity date.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obligations under the Credit Facility are unconditionally guaranteed on a joint and several basis by the same subsidiaries which guarantee the Senior Notes (as defined in Note 12) and certain of our subsequently acquired or organized domestic subsidiaries (collectively, the “Subsidiary Guarantors”).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contains customary affirmative covenants, including, but not limited to, covenants with respect to the use of proceeds, payment of taxes and other obligations, continuation of the Company’s business and the maintenance of existing rights and privileges, and the maintenance of property and insurance, among others.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Credit Facility also contains customary negative covenants, including, but not limited to, covenants that restrict (subject to certain exceptions) the ability of the Company and the Subsidiary Guarantors to incur indebtedness, grant liens, make investments, engage in mergers and acquisitions, pay dividends and make other restricted payments, and certain financial maintenance covenants. At June 30, 2024, we were subject to the following financial covenants under our Credit Facility: (A) a Total Leverage Ratio not to exceed 5.50 to 1.00 and (B) a Fixed Charge Coverage Ratio (as defined in the Credit Facility) of not less than 1.20 to 1.00 as of the end of any period of four consecutive fiscal quarters. These financial maintenance covenants are calculated for the Company and its subsidiaries on a consolidated basis. We were in compliance with all of the covenants contained in our Credit Facility at June 30, 2024.</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we had outstanding borrowings under the Credit Facility of $155.0 million. We also had one letter of credit for $2.6 million under the Credit Facility. The letter of credit will expire on November 25, 2024 and is expected to automatically renew annually and secures our obligations under our various self-insured policies. At June 30, 2024, we had $92.4 million of availability under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issuance costs related to our Credit Facility are as follows (in thousands): </w:t>
      </w:r>
    </w:p>
    <w:tbl>
      <w:tblPr>
        <w:tblW w:w="9138" w:type="dxa"/>
        <w:jc w:val="left"/>
        <w:tblInd w:w="0" w:type="dxa"/>
        <w:tblLayout w:type="fixed"/>
        <w:tblCellMar>
          <w:top w:w="28" w:type="dxa"/>
          <w:left w:w="28" w:type="dxa"/>
          <w:bottom w:w="28" w:type="dxa"/>
          <w:right w:w="28" w:type="dxa"/>
        </w:tblCellMar>
      </w:tblPr>
      <w:tblGrid>
        <w:gridCol w:w="1516"/>
        <w:gridCol w:w="1329"/>
        <w:gridCol w:w="1340"/>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interest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amortization of debt issuance costs</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our entry into the Credit Facility Amendment, outstanding borrowings under our Credit Facility bore interest at a prime rate or the Bloomberg Short-Term Bank Yield Index (“BSBY”) rate, plus an applicable margin based on our leverage ratio. At June 30, 2024, the prime rate margin was equivalent to 2.125% and the BSBY rate margin was 3.125%. The weighted average interest rate on our Credit Facility was 8.7% and 8.6% for the three months ended June 30, 2024 and 2023, respectively, and 8.8% and 8.3% for the six months ended June 30, 2024 and 2023, respectively. The Credit Facility Amendment provided, among other things, for the establishment of the Term Secured Overnight Financing Rate (“SOFR”) as a benchmark rate and the removal of BSBY from the Credit Facility.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payments on our remaining borrowings under the Credit Facility will be determined based on the average outstanding balance of our borrowings and the prevailing interest rate during that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lease obligations consist of operating and finance leases. We lease certain office facilities, certain funeral homes, vehicles and equipment under operating leases with original terms ranging from one to twenty years. Many leases include one or more options to renew, some of which include options to extend the leases for up to forty years. In addition, we lease certain other funeral homes, vehicles and equipment under finance leases with original terms ranging from three and a half to forty years. At June 30, 2024, operating and finance lease obligations were $34.3 million, with $5.5 million payable within 12 months.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are as follows (in thousands):</w:t>
      </w:r>
    </w:p>
    <w:tbl>
      <w:tblPr>
        <w:tblW w:w="7398" w:type="dxa"/>
        <w:jc w:val="left"/>
        <w:tblInd w:w="0" w:type="dxa"/>
        <w:tblLayout w:type="fixed"/>
        <w:tblCellMar>
          <w:top w:w="28" w:type="dxa"/>
          <w:left w:w="28" w:type="dxa"/>
          <w:bottom w:w="28" w:type="dxa"/>
          <w:right w:w="28" w:type="dxa"/>
        </w:tblCellMar>
      </w:tblPr>
      <w:tblGrid>
        <w:gridCol w:w="885"/>
        <w:gridCol w:w="777"/>
        <w:gridCol w:w="783"/>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leased assets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Acquisition Debt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debt consists of deferred purchase price and promissory notes payable to sellers. A majority of the deferred purchase price and notes bear no interest and are discounted at imputed interest rates ranging from 6.5% to 7.3%. Original maturities range from nine to twenty years. At June 30, 2024, acquisition debt obligations were $9.0 million, with $0.9 million payable within 12 months.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imputed interest expense related to our acquisition debt is as follows (in thousands): </w:t>
      </w:r>
    </w:p>
    <w:tbl>
      <w:tblPr>
        <w:tblW w:w="8478" w:type="dxa"/>
        <w:jc w:val="left"/>
        <w:tblInd w:w="0" w:type="dxa"/>
        <w:tblLayout w:type="fixed"/>
        <w:tblCellMar>
          <w:top w:w="28" w:type="dxa"/>
          <w:left w:w="28" w:type="dxa"/>
          <w:bottom w:w="28" w:type="dxa"/>
          <w:right w:w="28" w:type="dxa"/>
        </w:tblCellMar>
      </w:tblPr>
      <w:tblGrid>
        <w:gridCol w:w="1286"/>
        <w:gridCol w:w="1131"/>
        <w:gridCol w:w="1138"/>
        <w:gridCol w:w="280"/>
        <w:gridCol w:w="619"/>
        <w:gridCol w:w="144"/>
        <w:gridCol w:w="144"/>
        <w:gridCol w:w="144"/>
        <w:gridCol w:w="144"/>
        <w:gridCol w:w="280"/>
        <w:gridCol w:w="480"/>
        <w:gridCol w:w="144"/>
        <w:gridCol w:w="109"/>
        <w:gridCol w:w="109"/>
        <w:gridCol w:w="109"/>
        <w:gridCol w:w="241"/>
        <w:gridCol w:w="532"/>
        <w:gridCol w:w="124"/>
        <w:gridCol w:w="124"/>
        <w:gridCol w:w="124"/>
        <w:gridCol w:w="124"/>
        <w:gridCol w:w="241"/>
        <w:gridCol w:w="532"/>
        <w:gridCol w:w="175"/>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 imputed interest expense</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the principal amount of our 4.25% senior notes due in May 2029 (the “Senior Notes”) was $400.0 million. The Senior Notes were issued under an indenture, dated as of May 13, 2021 (the “Indenture”), among the Company, the Subsidiary Guarantors and Wilmington Trust, National Association, as trustee. The Senior Notes are unsecured, senior obligations and are fully and unconditionally guaranteed on a senior unsecured basis, jointly and severally by each of the Subsidiary Guarantors. The Senior Notes mature on May 15, 2029, unless earlier redeemed or purchased and bear interest at 4.25% per year, which is payable semi-annually in arrears on May 15 and November 15 of each year, beginning on November 15, 2021. </w:t>
      </w:r>
    </w:p>
    <w:p>
      <w:pPr>
        <w:pStyle w:val="TextBody"/>
        <w:bidi w:val="0"/>
        <w:spacing w:lineRule="auto" w:line="288" w:before="120" w:after="283"/>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Indenture contains restrictive covenants limiting our ability and the ability of our Restricted Subsidiaries (as defined in the Indenture) to, among other things, incur additional indebtedness or issue certain preferred shares, create liens on certain assets to secure debt, pay dividends or make other equity distributions, purchase or redeem capital stock, make certain investments, sell assets, agree to certain restrictions on the ability of Restricted Subsidiaries to make payments to us, consolidate, merge, sell or otherwise dispose of all or substantially all assets, or engage in transactions with affiliates. The Indenture also contains customary events of default.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debt discount and the debt issuance costs are being amortized using the effective interest method over the remaining term of approximately 59 months of the Senior Notes. The effective interest rate on the unamortized debt discount and the unamortized debt issuance costs for the Senior Notes for both the three and six months ended June 30, 2024 and 2023 was 4.42% and 4.30%, respectively.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the fair value of the Senior Notes, which are Level 2 measurements, was $357.0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expense and amortization of debt discount and debt issuance costs related to our Senior Notes are as follows (in thousands): </w:t>
      </w:r>
    </w:p>
    <w:tbl>
      <w:tblPr>
        <w:tblW w:w="8987" w:type="dxa"/>
        <w:jc w:val="left"/>
        <w:tblInd w:w="0" w:type="dxa"/>
        <w:tblLayout w:type="fixed"/>
        <w:tblCellMar>
          <w:top w:w="28" w:type="dxa"/>
          <w:left w:w="28" w:type="dxa"/>
          <w:bottom w:w="28" w:type="dxa"/>
          <w:right w:w="28" w:type="dxa"/>
        </w:tblCellMar>
      </w:tblPr>
      <w:tblGrid>
        <w:gridCol w:w="1463"/>
        <w:gridCol w:w="1280"/>
        <w:gridCol w:w="1291"/>
        <w:gridCol w:w="228"/>
        <w:gridCol w:w="668"/>
        <w:gridCol w:w="118"/>
        <w:gridCol w:w="118"/>
        <w:gridCol w:w="118"/>
        <w:gridCol w:w="118"/>
        <w:gridCol w:w="228"/>
        <w:gridCol w:w="668"/>
        <w:gridCol w:w="118"/>
        <w:gridCol w:w="109"/>
        <w:gridCol w:w="109"/>
        <w:gridCol w:w="109"/>
        <w:gridCol w:w="211"/>
        <w:gridCol w:w="616"/>
        <w:gridCol w:w="109"/>
        <w:gridCol w:w="109"/>
        <w:gridCol w:w="109"/>
        <w:gridCol w:w="109"/>
        <w:gridCol w:w="211"/>
        <w:gridCol w:w="616"/>
        <w:gridCol w:w="154"/>
      </w:tblGrid>
      <w:tr>
        <w:trPr/>
        <w:tc>
          <w:tcPr>
            <w:tcW w:w="146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interest expense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discount</w:t>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amortization of debt issuance costs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our future interest payments on our outstanding balance were $85.0 million, with $17.0 million payable within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are our financial highlights (in thousands except for volumes and averages):</w:t>
      </w:r>
    </w:p>
    <w:tbl>
      <w:tblPr>
        <w:tblW w:w="9390" w:type="dxa"/>
        <w:jc w:val="left"/>
        <w:tblInd w:w="0" w:type="dxa"/>
        <w:tblLayout w:type="fixed"/>
        <w:tblCellMar>
          <w:top w:w="28" w:type="dxa"/>
          <w:left w:w="28" w:type="dxa"/>
          <w:bottom w:w="28" w:type="dxa"/>
          <w:right w:w="28" w:type="dxa"/>
        </w:tblCellMar>
      </w:tblPr>
      <w:tblGrid>
        <w:gridCol w:w="1406"/>
        <w:gridCol w:w="1238"/>
        <w:gridCol w:w="124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funeral contract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interment rights (property) sold</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preneed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June 30, 2024 increased $4.6 million compared to the three months ended June 30, 2023. We experienced a 23.2% increase in the number of preneed interment rights (property) sold and a 12.8% increase in the average price per interment right sold. Additionally, we experienced a 6.6% decrease in funeral contract volume, which was partially offset by a 4.0% increase in the average revenue per funeral contract. The increase in cemetery revenue highlights the effectiveness of our preneed cemetery sales growth plan, as we continue to focus on executing our strategic goals. Furthermore, despite the funeral contract volume decline due to the COVID-19 related pull forward effect, we continue to increase our average revenue per funeral contract through the successful execution of our enhanced pricing strategy.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for the three months ended June 30, 2024 increased $5.8 million compared to the three months ended June 30, 2023, primarily due to the increase in revenue from our cemetery segment, as well as increases in gross profit margins from both segments, as we continue to successfully execute on our cost management initiatives.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three months ended June 30, 2024 decreased $2.0 million compared to the three months ended June 30, 2023. We experienced a $5.8 million increase in gross profit and a $1.1 million decrease in interest expense, which was more than offset by an $8.4 million increase in general, administrative and other expenses, primarily composed of one-time costs related to executive severance payments and our agreement to pay our financial advisor in connection with the Company's previously concluded review of strategic alternatives.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six months ended June 30, 2024 increased $12.6 million compared to the six months ended June 30, 2023. We experienced a 29.2% increase in the number of preneed interment rights (property) sold and a 10.3% increase in the average price per interment right sold. Additionally, we experienced a 4.5% decrease in funeral contract volume, which was partially offset by a 4.0% increase in the average revenue per funeral contract. The increase in cemetery revenue highlights the effectiveness of our preneed cemetery sales growth plan, as we continue to focus on executing our strategic goals. Furthermore, despite the funeral contract volume decline due to the COVID-19 related pull forward effect, we continue to increase our average revenue per funeral contract through the successful execution of our enhanced pricing strategy.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for the six months ended June 30, 2024 increased $12.0 million compared to the six months ended June 30, 2023, primarily due to the increase in revenue from our cemetery segment, as well as increases in gross profit margins from both segments, as we continue to successfully execute on our cost management initiatives.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six months ended June 30, 2024 decreased $3.9 million compared to the six months ended June 30, 2023. We experienced a $12.0 million increase in gross profit, which was more than offset by a $14.5 million increase in general, administrative and other expenses, primarily composed of one-time costs related to executive severance payments and our agreement to pay our financial advisor in connection with the Company's previously concluded review of strategic alternatives, as well as a $1.4 million increase in loss on divestitures.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revenue and the components of gross profit for our funeral home and cemetery segments is presented under “– Results of Operations.”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discussion of general, administrative and other expenses, interest expense, income taxes and other components of income and expenses are presented under “– Other Financial Statement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REPORTING AND NON-GAAP FINANCIAL MEASURES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present our financial performance in our “Condensed Operating and Financial Trend Report” (“Trend Report”) as reported in our earnings release for the three months ended June 30, 2024 issued on July 31, 2024, and discussed in the corresponding earnings conference call. The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reconciliation of gross profit (a GAAP financial measure) to adjusted operating profit (a non-GAAP financial measure) (in thousands):</w:t>
      </w:r>
    </w:p>
    <w:tbl>
      <w:tblPr>
        <w:tblW w:w="9600" w:type="dxa"/>
        <w:jc w:val="left"/>
        <w:tblInd w:w="0" w:type="dxa"/>
        <w:tblLayout w:type="fixed"/>
        <w:tblCellMar>
          <w:top w:w="28" w:type="dxa"/>
          <w:left w:w="28" w:type="dxa"/>
          <w:bottom w:w="28" w:type="dxa"/>
          <w:right w:w="28" w:type="dxa"/>
        </w:tblCellMar>
      </w:tblPr>
      <w:tblGrid>
        <w:gridCol w:w="1599"/>
        <w:gridCol w:w="1396"/>
        <w:gridCol w:w="14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operating profit</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86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Adjusted operating profit is defined as gross profit plus cemetery property amortization, field depreciation expense and regional and unallocated funeral and cemetery costs.</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reported in two business segments: Funeral Home and Cemetery. Below is a breakdown of adjusted operating profit (a non-GAAP financial measure) by segment (in thousands):</w:t>
      </w:r>
    </w:p>
    <w:tbl>
      <w:tblPr>
        <w:tblW w:w="8438" w:type="dxa"/>
        <w:jc w:val="left"/>
        <w:tblInd w:w="0" w:type="dxa"/>
        <w:tblLayout w:type="fixed"/>
        <w:tblCellMar>
          <w:top w:w="28" w:type="dxa"/>
          <w:left w:w="28" w:type="dxa"/>
          <w:bottom w:w="28" w:type="dxa"/>
          <w:right w:w="28" w:type="dxa"/>
        </w:tblCellMar>
      </w:tblPr>
      <w:tblGrid>
        <w:gridCol w:w="1068"/>
        <w:gridCol w:w="939"/>
        <w:gridCol w:w="948"/>
        <w:gridCol w:w="211"/>
        <w:gridCol w:w="721"/>
        <w:gridCol w:w="109"/>
        <w:gridCol w:w="109"/>
        <w:gridCol w:w="109"/>
        <w:gridCol w:w="109"/>
        <w:gridCol w:w="211"/>
        <w:gridCol w:w="721"/>
        <w:gridCol w:w="109"/>
        <w:gridCol w:w="109"/>
        <w:gridCol w:w="109"/>
        <w:gridCol w:w="109"/>
        <w:gridCol w:w="381"/>
        <w:gridCol w:w="338"/>
        <w:gridCol w:w="338"/>
        <w:gridCol w:w="196"/>
        <w:gridCol w:w="196"/>
        <w:gridCol w:w="196"/>
        <w:gridCol w:w="381"/>
        <w:gridCol w:w="298"/>
        <w:gridCol w:w="423"/>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Funeral 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56,869</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52,913</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Cemetery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36,661</w:t>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28,917</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93,530</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81,830</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operating profit margin</w:t>
            </w:r>
            <w:r>
              <w:rPr>
                <w:rFonts w:ascii="Times New Roman;sans-serif" w:hAnsi="Times New Roman;sans-serif"/>
                <w:b w:val="false"/>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w:t>
            </w:r>
          </w:p>
        </w:tc>
      </w:tr>
    </w:tbl>
    <w:tbl>
      <w:tblPr>
        <w:tblW w:w="6759" w:type="dxa"/>
        <w:jc w:val="left"/>
        <w:tblInd w:w="0" w:type="dxa"/>
        <w:tblLayout w:type="fixed"/>
        <w:tblCellMar>
          <w:top w:w="28" w:type="dxa"/>
          <w:left w:w="28" w:type="dxa"/>
          <w:bottom w:w="28" w:type="dxa"/>
          <w:right w:w="28" w:type="dxa"/>
        </w:tblCellMar>
      </w:tblPr>
      <w:tblGrid>
        <w:gridCol w:w="124"/>
        <w:gridCol w:w="109"/>
        <w:gridCol w:w="109"/>
        <w:gridCol w:w="517"/>
        <w:gridCol w:w="517"/>
        <w:gridCol w:w="517"/>
        <w:gridCol w:w="517"/>
        <w:gridCol w:w="517"/>
        <w:gridCol w:w="517"/>
        <w:gridCol w:w="517"/>
        <w:gridCol w:w="517"/>
        <w:gridCol w:w="517"/>
        <w:gridCol w:w="517"/>
        <w:gridCol w:w="517"/>
        <w:gridCol w:w="7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641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Adjusted operating profit margin is defined as operating profit as a percentage of revenue.</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discussion of adjusted operating profit for our funeral home and cemetery segments is presented under “–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discussion of our results of operations for the three and six months ended June 30, 2024 and 2023.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“operating” in the funeral home and cemetery segments refers to all funeral homes and cemeteries that we owned and operated in the current reporting period, excluding certain funeral home and cemetery businesses that we have divested in such period.</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“divested” when discussed in the funeral home segment refers to six funeral homes we sold and one funeral home we merged with another business we own in an existing market during the six months ended June 30, 2024, and one funeral home we sold and one funeral home we merged with another business we own in an existing market during the six months ended June 30,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“divested” when discussed in the cemetery segment refers to one cemetery we sold during the six months ended June 30, 2024, and two cemeteries we sold during the six months ended June 30,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“ancillary” in the funeral home segment represents our flower shop, monument business, pet cremation business and online cremation businesses.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Cemetery property amortization, field depreciation expense and regional and unallocated funeral and cemetery costs, are not included in adjusted operating profit, a non-GAAP financial measure. Adding back these items will result in gross profit, a GAAP financial measure.</w:t>
      </w:r>
    </w:p>
    <w:p>
      <w:pPr>
        <w:pStyle w:val="TextBody"/>
        <w:bidi w:val="0"/>
        <w:spacing w:lineRule="auto" w:line="288" w:before="180" w:after="120"/>
        <w:jc w:val="both"/>
        <w:rPr/>
      </w:pPr>
      <w:r>
        <w:rPr>
          <w:rFonts w:ascii="Times New Roman;sans-serif" w:hAnsi="Times New Roman;sans-serif"/>
          <w:b/>
          <w:i/>
          <w:color w:val="000000"/>
          <w:sz w:val="20"/>
        </w:rPr>
        <w:t>Funeral Home Segment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adjusted operating profit for our funeral home operations (in thousands):</w:t>
      </w:r>
    </w:p>
    <w:tbl>
      <w:tblPr>
        <w:tblW w:w="10164" w:type="dxa"/>
        <w:jc w:val="left"/>
        <w:tblInd w:w="0" w:type="dxa"/>
        <w:tblLayout w:type="fixed"/>
        <w:tblCellMar>
          <w:top w:w="28" w:type="dxa"/>
          <w:left w:w="28" w:type="dxa"/>
          <w:bottom w:w="28" w:type="dxa"/>
          <w:right w:w="28" w:type="dxa"/>
        </w:tblCellMar>
      </w:tblPr>
      <w:tblGrid>
        <w:gridCol w:w="2783"/>
        <w:gridCol w:w="2451"/>
        <w:gridCol w:w="2476"/>
        <w:gridCol w:w="211"/>
        <w:gridCol w:w="721"/>
        <w:gridCol w:w="109"/>
        <w:gridCol w:w="109"/>
        <w:gridCol w:w="109"/>
        <w:gridCol w:w="109"/>
        <w:gridCol w:w="211"/>
        <w:gridCol w:w="721"/>
        <w:gridCol w:w="154"/>
      </w:tblGrid>
      <w:tr>
        <w:trPr/>
        <w:tc>
          <w:tcPr>
            <w:tcW w:w="2783"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profit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operating revenue decreased $0.5 million for the three months ended June 30, 2024, compared to the three months ended June 30, 2023. The decrease in operating revenue is primarily driven by a 6.6% decrease in contract volume, offset by a 4.0% increase in the average revenue per contract excluding preneed interest. Despite the funeral contract volume decline due to the COVID-19 related pull forward effect, we continue to increase our average revenue per funeral contract through the successful execution of our enhanced pricing strategy.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adjusted operating profit for the three months ended June 30, 2024 increased $1.8 million when compared to the same period in 2023, primarily due to a decrease in operating expenses as a percentage of revenue. The comparable operating profit margin increased 340 basis points to 39.5%. Operating expenses as a percentage of revenue decreased 3.4%, with the largest decreases in salaries and benefits expenses of 1.8%, other expenses of 0.6% related to a legal settlement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- 45 -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received in the second quarter, other funeral costs of 0.4% and promotional expenses of 0.3%, which reflects the continued progress we have made successfully executing on our cost management initiatives this quarter.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Ancillary revenue, which represents revenue from our flower shop, monument business, pet cremation business and online cremation businesses, decreased $0.2 million, while ancillary adjusted operating profit increased $0.1 million for the three months ended June 30, 2024, compared to the three months ended June 30, 2023. The decrease in ancillary revenue is primarily due to a decision to cease the operations of a cremation business at our Bakersfield, CA business, which did not contribute materially to adjusted operating profit.</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and other adjusted operating profit, which consists of preneed funeral insurance commissions and earnings from delivered preneed funeral trust and insurance contracts, increased $1.0 million and $0.8 million, respectively, for the three months ended June 30, 2024, compared to the same period in 2023. These increases are primarily due to our continued focus on growth of our preneed funeral sales through our strategic partnership with a national insurance provider that began during the second quarter of 2023. As a result, we have experienced a 5.4% increase in preneed insurance contracts sold during the second quarter of 2024, compared to the same period in 2023.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adjusted operating profit for our funeral home operations (in thousands):</w:t>
      </w:r>
    </w:p>
    <w:tbl>
      <w:tblPr>
        <w:tblW w:w="10205" w:type="dxa"/>
        <w:jc w:val="left"/>
        <w:tblInd w:w="0" w:type="dxa"/>
        <w:tblLayout w:type="fixed"/>
        <w:tblCellMar>
          <w:top w:w="28" w:type="dxa"/>
          <w:left w:w="28" w:type="dxa"/>
          <w:bottom w:w="28" w:type="dxa"/>
          <w:right w:w="28" w:type="dxa"/>
        </w:tblCellMar>
      </w:tblPr>
      <w:tblGrid>
        <w:gridCol w:w="2724"/>
        <w:gridCol w:w="2394"/>
        <w:gridCol w:w="2422"/>
        <w:gridCol w:w="211"/>
        <w:gridCol w:w="826"/>
        <w:gridCol w:w="109"/>
        <w:gridCol w:w="109"/>
        <w:gridCol w:w="109"/>
        <w:gridCol w:w="109"/>
        <w:gridCol w:w="211"/>
        <w:gridCol w:w="826"/>
        <w:gridCol w:w="155"/>
      </w:tblGrid>
      <w:tr>
        <w:trPr/>
        <w:tc>
          <w:tcPr>
            <w:tcW w:w="2724"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profit: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volume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excluding preneed funeral trust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contract, including preneed funeral trust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Cremation rate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Funeral home operating revenue increased $0.7 million for the six months ended June 30, 2024, compared to the six months ended June 30, 2023. The increase in operating revenue is primarily driven by a 4.0% increase in the average revenue per contract excluding preneed interest, which was partially offset by a 4.5% decrease in contract volume. Despite the funeral contract volume decline due to the COVID-19 related pull forward effect, we continue to increase our average revenue per funeral contract through the successful execution of our enhanced pricing strategy, which was the primary driver in funeral revenue growth this year.</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Funeral home adjusted operating profit for the six months ended June 30, 2024 increased $3.0 million when compared to the same period in 2023, primarily due to the increase in operating revenue, as well as a decrease in operating expenses as a percentage of revenue. The comparable operating profit margin increased 220 basis points to 40.5%. Operating expenses as a percentage of revenue decreased 2.2%, with the largest decreases in salaries and benefits expenses of 1.2%, other expenses of 0.2% related to a legal settlement we received in the second quarter, other funeral costs of 0.2% and promotional expenses of 0.2%, which reflects the continued progress we have made successfully executing on our cost management initiatives this year.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Ancillary revenue, which represents revenue from our flower shop, monument business, pet cremation business and online cremation businesses remained flat, while ancillary adjusted operating profit increased $0.1 million for the six months ended June 30, 2024, compared to the six months ended June 30, 2023. The lack of growth in ancillary revenue is primarily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- 46 -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a decision to cease the operations of a cremation business at our Bakersfield, CA business, which did not contribute materially to adjusted operating profit.</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and other adjusted operating profit, which consists of preneed funeral insurance commissions and earnings from delivered preneed funeral trust and insurance contracts, increased $1.7 million and $1.4 million, respectively, for the six months ended June 30, 2024, compared to the same period in 2023. These increases are primarily due to our continued focus on growth of our preneed funeral sales through our strategic partnership with a national insurance provider that began during the second quarter of 2023. As a result, we have experienced an 8.7% increase in preneed insurance contracts sold during the six months ended June 30, 2024, compared to the same period in 2023. </w:t>
      </w:r>
    </w:p>
    <w:p>
      <w:pPr>
        <w:pStyle w:val="TextBody"/>
        <w:bidi w:val="0"/>
        <w:spacing w:lineRule="auto" w:line="288" w:before="120" w:after="283"/>
        <w:jc w:val="both"/>
        <w:rPr/>
      </w:pPr>
      <w:r>
        <w:rPr>
          <w:rFonts w:ascii="Times New Roman;sans-serif" w:hAnsi="Times New Roman;sans-serif"/>
          <w:b/>
          <w:i/>
          <w:color w:val="000000"/>
          <w:sz w:val="20"/>
        </w:rPr>
        <w:t>Cemetery Segment</w:t>
      </w:r>
      <w:r>
        <w:rPr>
          <w:color w:val="000000"/>
        </w:rPr>
        <w:t xml:space="preserve">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adjusted operating profit for our cemetery operations (in thousands):</w:t>
      </w:r>
    </w:p>
    <w:tbl>
      <w:tblPr>
        <w:tblW w:w="10164" w:type="dxa"/>
        <w:jc w:val="left"/>
        <w:tblInd w:w="0" w:type="dxa"/>
        <w:tblLayout w:type="fixed"/>
        <w:tblCellMar>
          <w:top w:w="28" w:type="dxa"/>
          <w:left w:w="28" w:type="dxa"/>
          <w:bottom w:w="28" w:type="dxa"/>
          <w:right w:w="28" w:type="dxa"/>
        </w:tblCellMar>
      </w:tblPr>
      <w:tblGrid>
        <w:gridCol w:w="2782"/>
        <w:gridCol w:w="2450"/>
        <w:gridCol w:w="2478"/>
        <w:gridCol w:w="211"/>
        <w:gridCol w:w="721"/>
        <w:gridCol w:w="109"/>
        <w:gridCol w:w="109"/>
        <w:gridCol w:w="109"/>
        <w:gridCol w:w="109"/>
        <w:gridCol w:w="211"/>
        <w:gridCol w:w="721"/>
        <w:gridCol w:w="154"/>
      </w:tblGrid>
      <w:tr>
        <w:trPr/>
        <w:tc>
          <w:tcPr>
            <w:tcW w:w="2782"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profit: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operating revenue increased $5.9 million for the three months ended June 30, 2024, compared to the three months ended June 30, 2023, as we experienced a 23.2% increase in the number of preneed interment rights (property) sold and a 12.8% increase in the average price per interment right sold. Cemetery atneed revenue, which represents 28.0% of our total operating revenue, increased $0.1 million for the three months ended June 30, 2024, compared to the same period in 2023, primarily due to an increase in delivered merchandise and services across our cemetery portfolio. The increase in cemetery revenue highlights the effectiveness of our preneed cemetery sales growth plan, as we continue to focus on executing our strategic objectives.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adjusted operating profit increased $4.2 million for the three months ended June 30, 2024, compared to the three months ended June 30, 2023, primarily due to the increase in operating revenue, as well as a decrease in operating expenses as a percentage of revenue. The comparable operating profit margin increased 450 basis points to 49.1%. Operating expenses as a percentage of revenue decreased 4.7%, with the largest decreases in salaries and benefits expenses of 3.9%, allowance for credit losses of 0.4% and general and administrative costs of 0.4%, which reflects the continued progress we have made successfully executing on our cost management initiatives this quarter.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and other adjusted operating profit consist of preneed cemetery trust revenue and preneed cemetery finance charges.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decreased $0.1 million for the three months ended June 30, 2024, compared to the three months ended June 30, 2023, while other adjusted operating profit remained flat.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- 47 -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revenue and adjusted operating profit for our cemetery operations (in thousands):</w:t>
      </w:r>
    </w:p>
    <w:tbl>
      <w:tblPr>
        <w:tblW w:w="10164" w:type="dxa"/>
        <w:jc w:val="left"/>
        <w:tblInd w:w="0" w:type="dxa"/>
        <w:tblLayout w:type="fixed"/>
        <w:tblCellMar>
          <w:top w:w="28" w:type="dxa"/>
          <w:left w:w="28" w:type="dxa"/>
          <w:bottom w:w="28" w:type="dxa"/>
          <w:right w:w="28" w:type="dxa"/>
        </w:tblCellMar>
      </w:tblPr>
      <w:tblGrid>
        <w:gridCol w:w="2783"/>
        <w:gridCol w:w="2451"/>
        <w:gridCol w:w="2476"/>
        <w:gridCol w:w="211"/>
        <w:gridCol w:w="721"/>
        <w:gridCol w:w="109"/>
        <w:gridCol w:w="109"/>
        <w:gridCol w:w="109"/>
        <w:gridCol w:w="109"/>
        <w:gridCol w:w="211"/>
        <w:gridCol w:w="721"/>
        <w:gridCol w:w="154"/>
      </w:tblGrid>
      <w:tr>
        <w:trPr/>
        <w:tc>
          <w:tcPr>
            <w:tcW w:w="2783"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profit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operating measures reflect the significant metrics over this comparative period: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as a percentage of operating revenue</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Preneed revenue (in thousands)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Atneed revenue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preneed interment rights sold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w:t>
            </w:r>
          </w:p>
        </w:tc>
      </w:tr>
      <w:tr>
        <w:trPr/>
        <w:tc>
          <w:tcPr>
            <w:tcW w:w="7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per interment right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operating revenue increased $12.2 million for the six months ended June 30, 2024, compared to the six months ended June 30, 2023, as we experienced a 29.2% increase in the number of preneed interment rights (property) sold and a 10.3% increase in the average price per interment right sold. Cemetery atneed revenue, which represents 31.0% of our total operating revenue, increased $0.6 million for the six months ended June 30, 2024, compared to the same period in 2023, primarily due to an increase in delivered merchandise and services across our cemetery portfolio. The increase in cemetery revenue highlights the effectiveness of our preneed cemetery sales growth plan, as we continue to focus on executing our strategic objectives.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Cemetery adjusted operating profit increased $7.8 million for the six months ended June 30, 2024, compared to the six months ended June 30, 2023, primarily due to the increase in operating revenue, as well as a decrease in operating expenses as a percentage of revenue. The comparable operating profit margin increased 430 basis points to 46.5%. Operating expenses as a percentage of revenue decreased 4.3%, with the largest decreases in salaries and benefits expenses of 3.4%, merchandise costs of 0.6%, and facilities and grounds expenses of 0.4%, which reflects the continued progress we have made successfully executing on our cost management initiatives this quarter.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and other adjusted operating profit, which consist of preneed cemetery trust revenue and preneed cemetery finance charges, both increased $0.1 million for the six months ended June 30, 2024, compared to the six months ended June 30, 2023, primarily due to an increase in finance charge revenue related to the increase in cemetery sales during the current year.</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Cemetery property amortization</w:t>
      </w:r>
      <w:r>
        <w:rPr>
          <w:rFonts w:ascii="Times New Roman;sans-serif" w:hAnsi="Times New Roman;sans-serif"/>
          <w:b w:val="false"/>
          <w:color w:val="000000"/>
          <w:sz w:val="20"/>
        </w:rPr>
        <w:t>. Cemetery property amortization totaled $2.6 million and $4.3 million for the three and six months ended June 30, 2024, respectively, an increase of $0.7 million and $1.2 million compared to the same periods in 2023, primarily driven by the increase in property sold across our cemetery portfolio.</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Field depreciation.</w:t>
      </w:r>
      <w:r>
        <w:rPr>
          <w:color w:val="000000"/>
        </w:rPr>
        <w:t xml:space="preserve"> </w:t>
      </w:r>
      <w:r>
        <w:rPr>
          <w:rFonts w:ascii="Times New Roman;sans-serif" w:hAnsi="Times New Roman;sans-serif"/>
          <w:b w:val="false"/>
          <w:color w:val="000000"/>
          <w:sz w:val="20"/>
        </w:rPr>
        <w:t xml:space="preserve">Depreciation expense for our field businesses totaled $3.4 million and $6.9 million for the three and six months ended June 30, 2024, respectively, a decrease of $0.2 million compared to the same quarter in the prior year, while the expense compared to the year-to-date period in the prior year remained flat, both were primarily driven by our business decision in 2023 to lease vehicles rather than purchase them.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Regional and unallocated funeral and cemetery costs.</w:t>
      </w:r>
      <w:r>
        <w:rPr>
          <w:color w:val="000000"/>
        </w:rPr>
        <w:t xml:space="preserve"> </w:t>
      </w:r>
      <w:r>
        <w:rPr>
          <w:rFonts w:ascii="Times New Roman;sans-serif" w:hAnsi="Times New Roman;sans-serif"/>
          <w:b w:val="false"/>
          <w:color w:val="000000"/>
          <w:sz w:val="20"/>
        </w:rPr>
        <w:t>Regional and unallocated funeral and cemetery costs consist of salaries and benefits for regional management, field incentive compensation and other related costs for field infrastructure. Regional and unallocated funeral and cemetery costs totaled $4.2 million for the three months ended June 30, 2024, an increase of $0.1 million compared to the same period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- 48 -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Regional and unallocated funeral and cemetery costs totaled $8.1 million for the six months ended June 30, 2024, a decrease of $1.5 million compared to the same period in 2023, primarily driven by a $1.0 million decrease in incentive compensation costs and a $0.5 million decrease in incentive award trip costs.</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Other Financial Statement Items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General, administrative and other.</w:t>
      </w:r>
      <w:r>
        <w:rPr>
          <w:color w:val="000000"/>
        </w:rPr>
        <w:t xml:space="preserve"> </w:t>
      </w:r>
      <w:r>
        <w:rPr>
          <w:rFonts w:ascii="Times New Roman;sans-serif" w:hAnsi="Times New Roman;sans-serif"/>
          <w:b w:val="false"/>
          <w:color w:val="000000"/>
          <w:sz w:val="20"/>
        </w:rPr>
        <w:t>General, administrative and other expenses, which include salaries and benefits and cash and equity incentive compensation for our Houston support office, totaled $18.6 million for the three months ended June 30, 2024, an increase of $8.4 million compared to the same period in 2023, primarily driven by the following: i) a $5.0 million increase related to our agreement to pay our financial advisor in connection with the Company's previously concluded review of strategic alternatives; ii) a $1.3 million expected increase in other professional fees primarily related to the development of our digital transformation project; iii) an $0.8 million increase in separation and severance expenses related to our former Chief Financial Officer pursuant to his Separation and Release Agreement dated June 6, 2024; iv) a $0.6 million increase in incentive and stock compensation; v) a $0.3 million increase related to consulting fees paid to our former Executive Chairman of the Board pursuant to his Transition Agreement; and vi) a $0.4 million increase in all other expenses.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General, administrative and other expenses totaled $34.8 million for the six months ended June 30, 2024, an increase of $14.5 million compared to the same period in 2023, primarily driven by the following: i) a $6.2 million increase primarily related to our agreement to pay our financial advisor in connection with the Company's previously concluded review of strategic alternatives; ii) a $5.7 million increase in salary and benefits expenses and cash and equity incentive compensation costs, primarily driven by the termination expense recorded during the first quarter of 2024 for our former Executive Chairman of the Board pursuant to his Transition Agreement effective February 22, 2024 and termination expense for our former Chief Financial Officer pursuant to his Separation and Release Agreement dated June 6, 2024 recorded in the second quarter of 2024; iii) a $2.0 million expected increase in other professional fees primarily related to the development of our digital transformation project; iv) a $0.2 million increase related to consulting fees paid to our former Executive Chairman of the Board pursuant to his Transition Agreement; and v) a $0.4 million increase in all other expenses.</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loss on divestitures, disposals and impairments charges. </w:t>
      </w:r>
      <w:r>
        <w:rPr>
          <w:rFonts w:ascii="Times New Roman;sans-serif" w:hAnsi="Times New Roman;sans-serif"/>
          <w:b w:val="false"/>
          <w:color w:val="000000"/>
          <w:sz w:val="20"/>
        </w:rPr>
        <w:t xml:space="preserve">The components of </w:t>
      </w:r>
      <w:r>
        <w:rPr>
          <w:rFonts w:ascii="Times New Roman;sans-serif" w:hAnsi="Times New Roman;sans-serif"/>
          <w:b w:val="false"/>
          <w:i/>
          <w:color w:val="000000"/>
          <w:sz w:val="20"/>
        </w:rPr>
        <w:t>Net loss on divestitures, disposals and impairment charges</w:t>
      </w:r>
      <w:r>
        <w:rPr>
          <w:color w:val="000000"/>
        </w:rPr>
        <w:t xml:space="preserve"> </w:t>
      </w:r>
      <w:r>
        <w:rPr>
          <w:rFonts w:ascii="Times New Roman;sans-serif" w:hAnsi="Times New Roman;sans-serif"/>
          <w:b w:val="false"/>
          <w:color w:val="000000"/>
          <w:sz w:val="20"/>
        </w:rPr>
        <w:t>are as follows (in thousands):</w:t>
      </w:r>
    </w:p>
    <w:tbl>
      <w:tblPr>
        <w:tblW w:w="8326" w:type="dxa"/>
        <w:jc w:val="left"/>
        <w:tblInd w:w="0" w:type="dxa"/>
        <w:tblLayout w:type="fixed"/>
        <w:tblCellMar>
          <w:top w:w="28" w:type="dxa"/>
          <w:left w:w="28" w:type="dxa"/>
          <w:bottom w:w="28" w:type="dxa"/>
          <w:right w:w="28" w:type="dxa"/>
        </w:tblCellMar>
      </w:tblPr>
      <w:tblGrid>
        <w:gridCol w:w="1233"/>
        <w:gridCol w:w="1082"/>
        <w:gridCol w:w="1089"/>
        <w:gridCol w:w="280"/>
        <w:gridCol w:w="480"/>
        <w:gridCol w:w="144"/>
        <w:gridCol w:w="144"/>
        <w:gridCol w:w="144"/>
        <w:gridCol w:w="144"/>
        <w:gridCol w:w="280"/>
        <w:gridCol w:w="619"/>
        <w:gridCol w:w="144"/>
        <w:gridCol w:w="109"/>
        <w:gridCol w:w="109"/>
        <w:gridCol w:w="109"/>
        <w:gridCol w:w="223"/>
        <w:gridCol w:w="653"/>
        <w:gridCol w:w="115"/>
        <w:gridCol w:w="115"/>
        <w:gridCol w:w="115"/>
        <w:gridCol w:w="115"/>
        <w:gridCol w:w="223"/>
        <w:gridCol w:w="494"/>
        <w:gridCol w:w="163"/>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divestitures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related to assets held for sale</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disposals of fixed assets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sold six funeral homes and one cemetery for an aggregate loss of $1.5 million.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sold one funeral home and two cemeteries for an aggregate loss of $0.1 million. We also recognized an impairment of $0.2 million related to property, plant and equipment for assets held for sale.</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related to its respective debt arrangement is as follows (in thousands):</w:t>
      </w:r>
    </w:p>
    <w:tbl>
      <w:tblPr>
        <w:tblW w:w="6647" w:type="dxa"/>
        <w:jc w:val="center"/>
        <w:tblInd w:w="0" w:type="dxa"/>
        <w:tblLayout w:type="fixed"/>
        <w:tblCellMar>
          <w:top w:w="28" w:type="dxa"/>
          <w:left w:w="28" w:type="dxa"/>
          <w:bottom w:w="28" w:type="dxa"/>
          <w:right w:w="28" w:type="dxa"/>
        </w:tblCellMar>
      </w:tblPr>
      <w:tblGrid>
        <w:gridCol w:w="538"/>
        <w:gridCol w:w="471"/>
        <w:gridCol w:w="475"/>
        <w:gridCol w:w="228"/>
        <w:gridCol w:w="668"/>
        <w:gridCol w:w="118"/>
        <w:gridCol w:w="118"/>
        <w:gridCol w:w="118"/>
        <w:gridCol w:w="118"/>
        <w:gridCol w:w="228"/>
        <w:gridCol w:w="668"/>
        <w:gridCol w:w="118"/>
        <w:gridCol w:w="109"/>
        <w:gridCol w:w="109"/>
        <w:gridCol w:w="109"/>
        <w:gridCol w:w="211"/>
        <w:gridCol w:w="721"/>
        <w:gridCol w:w="109"/>
        <w:gridCol w:w="109"/>
        <w:gridCol w:w="109"/>
        <w:gridCol w:w="109"/>
        <w:gridCol w:w="211"/>
        <w:gridCol w:w="721"/>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debt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Net (gain) loss on property damage, net of insurance claims. </w:t>
      </w:r>
      <w:r>
        <w:rPr>
          <w:rFonts w:ascii="Times New Roman;sans-serif" w:hAnsi="Times New Roman;sans-serif"/>
          <w:b w:val="false"/>
          <w:color w:val="000000"/>
          <w:sz w:val="20"/>
        </w:rPr>
        <w:t xml:space="preserve">During the three and six months ended June 30, 2024, we recorded a $0.4 million gain, net of insurance proceeds, for damages from Hurricane Ian, which occurred during the third quarter of 2022. During the three and six months ended June 30, 2023, we recorded a $0.2 million gain and $36,000 loss, respectively, net of insurance proceeds, for property damaged by a fire that occurred during first quarter of 2023.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 xml:space="preserve">Other, net. </w:t>
      </w:r>
      <w:r>
        <w:rPr>
          <w:rFonts w:ascii="Times New Roman;sans-serif" w:hAnsi="Times New Roman;sans-serif"/>
          <w:b w:val="false"/>
          <w:color w:val="000000"/>
          <w:sz w:val="20"/>
        </w:rPr>
        <w:t xml:space="preserve">During the three and six months ended June 30, 2023, we recorded a $0.1 million gain and a $0.6 million gain, respectively, on the sale of other real estate not used in business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- 49 -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ind w:left="0" w:right="0" w:firstLine="450"/>
        <w:jc w:val="both"/>
        <w:rPr/>
      </w:pP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Income tax expense totaled $4.2 million for the three months ended June 30, 2024, an increase of $0.8 million compared to the same period in 2023, primarily driven by an increase in tax expense on discrete items related to equity. Our operating tax rate before discrete items was 33.6% and 28.0% for the three months ended June 30, 2024 and 2023, respectively.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expense totaled $7.9 million for the six months ended June 30, 2024, an increase of $1.0 million compared to the same period in 2023, primarily driven by an increase in tax expense on discrete items related to equity. Our operating tax rate before discrete items was 33.2% and 28.5% for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requires us to make estimates and assumptions that affect the reported amounts of assets, liabilities, revenue and expenses. Understanding our accounting policies and the extent to which our management uses judgment, assumptions and estimates in applying these policies is integral to understanding our Consolidated Financial Statements. Our critical accounting policies are more fully described in Part II, Item 8 “Financial Statements and Supplementary Data” in Note 1 in our Annual Report on Form 10-K for the year ended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identified Business Combinations and Goodwill as those accounting policies that require significant judgments, assumptions and estimates and that have a significant impact on our financial condition and results of operations. These policies are considered critical because they may result in fluctuations in our reported results from period to period due to the significant judgments, estimates and assumptions about complex and inherently uncertain matters and because the use of different judgments, assumptions or estimates could have a material impact on our financial condition or results of operations. Actual results may differ from these estimates and such estimates may change if the underlying conditions or assumptions change. Historical performance should not be viewed as indicative of future performance because there can be no assurance the margins, operating income and net earnings, as a percentage of revenue, will be consistent from period to period. We evaluate our critical accounting estimates and judgments required by our policies on an ongoing basis and update them as appropriate based on changing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can be affected by seasonal fluctuations in the death rate, with number of deaths generally higher during the winter months due to the higher incidences of death from influenza and pneumonia as compared to other periods of the year. Seasonal fluctuations in the death rate may be further affected by epidemics and pandemics, like COVID-19, including any new or emerging public health threats. These unexpected fluctuations may not only increase death rates during the affected period, but also may subsequently decrease death rates following the affected period as a result of an acceleration of death rates (also referred to as a “pull forward effect”). As a result, we are unable to predict or forecast the duration or variation of the current death rate with any 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 other than those related to the impact of health and safety concerns from epidemics and pandemics and inflation, which are described in more detail in Part 1, Item 1A “Risk Factors” in our Annual Report on Form 10-K for the year ended December 31, 2023.</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quantitative and qualitative information is provided about financial instruments to which we are a party at June 30, 2024 and from which we may incur future gains or losses from changes in market conditions. We do not enter into derivative or other financial instruments for speculative or trading purposes.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about our market-sensitive financial instruments constitutes a “forward-looking statement.”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at June 30, 2024 are presented in Part 1, Item 1, Financial Statements,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- 50 -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 to our Consolidated Financial Statements in this Quarterly Report on Form 10-Q. The sensitivity of the fixed income securities is such that a 0.25% change in interest rates causes an approximate 0.88% change in the value of the fixed income securities.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current and forecasted interest rate risk in the ordinary course of business and seek to maintain optimal financial flexibility, quality and solvency. At June 30, 2024, we had outstanding borrowings under the Credit Facility of $155.0 million. Any further borrowings or voluntary prepayments against the Credit Facility or any change in the floating rate would cause a change in interest expense. Prior to our entry into the Credit Facility Amendment, we had the option to pay interest under the Credit Facility at either prime rate or the BSBY rate plus an applicable margin based on our leverage ratio. Pursuant to our Credit Facility, as amended, we have the option to pay interest under the Credit Facility at either prime rate or the Term SOFR rate plus an applicable margin based on our leverage ratio. At June 30, 2024, the prime rate margin was equivalent to 2.125% and the BSBY rate margin was 3.125%. Assuming the outstanding balance remains unchanged, a change of 100 basis points in our borrowing rate would result in a change in income before taxes of $1.6 million. We have not entered into interest rate hedging arrangements in the past. Management continually evaluates the cost and potential benefits of interest rate hedging arrangements.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Senior Notes bear interest at the fixed annual rate of 4.25%. We may redeem the Senior Notes, in whole or in part, at the redemption price of 102.13% on or after May 15, 2024, 101.06% on or after May 15, 2025 and 100% on or after May 15, 2026, plus accrued and unpaid interest, if any, to, but excluding, the redemption date. At any time before May 15, 2024, we may also redeem all or part of the Senior Notes at the redemption prices described in the Indenture, plus accrued and unpaid interest, if any, to (but excluding) the date of redemption. At June 30, 2024, the carrying value of the Senior Notes on our Consolidated Balance Sheet was $396.2 million and the fair value of the Senior Notes was $357.0 million based on the last traded or broker quoted price, reported by Financial Industry Regulatory Authority. Increases in market interest rates may cause the value of the Senior Notes to decrease, but such changes will not affect our interest costs.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lineRule="auto" w:line="288" w:before="180" w:after="120"/>
        <w:jc w:val="left"/>
        <w:rPr>
          <w:rFonts w:ascii="Times New Roman;sans-serif" w:hAnsi="Times New Roman;sans-serif"/>
          <w:b/>
          <w:i/>
          <w:color w:val="000000"/>
          <w:sz w:val="20"/>
        </w:rPr>
      </w:pPr>
      <w:r>
        <w:rPr>
          <w:rFonts w:ascii="Times New Roman;sans-serif" w:hAnsi="Times New Roman;sans-serif"/>
          <w:b/>
          <w:i/>
          <w:color w:val="000000"/>
          <w:sz w:val="20"/>
        </w:rPr>
        <w:t>Management’s Evaluation of Disclosure Controls and Procedures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and principal financial officers, has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SEC's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have concluded that our disclosure controls and procedures are effective at June 30, 2024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pStyle w:val="TextBody"/>
        <w:bidi w:val="0"/>
        <w:spacing w:lineRule="auto" w:line="288" w:before="180" w:after="12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- 51 -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 </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as previously disclosed in Part I, Item 1A “Risk Factors” in our Annual Report on Form 10-K for the year ended December 31, 2023. Readers should carefully consider the factors discussed in Part I, Item 1A “Risk Factors” in our Annual Report on Form 10-K for the year ended December 31, 2023, which could materially affect our business, financial condition or future results. The risks described in our Annual Report on Form 10-K for the year ended December 31, 2023 are not the only risks we face. Additional risks and uncertainties not currently known to us or that we currently deem to be immaterial also may materially adversely affect our business, financial condition or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repurchases of our common stock during the quarter ended June 30, 2024:</w:t>
      </w:r>
    </w:p>
    <w:tbl>
      <w:tblPr>
        <w:tblW w:w="10205" w:type="dxa"/>
        <w:jc w:val="center"/>
        <w:tblInd w:w="0" w:type="dxa"/>
        <w:tblLayout w:type="fixed"/>
        <w:tblCellMar>
          <w:top w:w="28" w:type="dxa"/>
          <w:left w:w="28" w:type="dxa"/>
          <w:bottom w:w="28" w:type="dxa"/>
          <w:right w:w="28" w:type="dxa"/>
        </w:tblCellMar>
      </w:tblPr>
      <w:tblGrid>
        <w:gridCol w:w="497"/>
        <w:gridCol w:w="408"/>
        <w:gridCol w:w="414"/>
        <w:gridCol w:w="109"/>
        <w:gridCol w:w="109"/>
        <w:gridCol w:w="109"/>
        <w:gridCol w:w="490"/>
        <w:gridCol w:w="490"/>
        <w:gridCol w:w="491"/>
        <w:gridCol w:w="109"/>
        <w:gridCol w:w="109"/>
        <w:gridCol w:w="109"/>
        <w:gridCol w:w="291"/>
        <w:gridCol w:w="851"/>
        <w:gridCol w:w="150"/>
        <w:gridCol w:w="109"/>
        <w:gridCol w:w="109"/>
        <w:gridCol w:w="109"/>
        <w:gridCol w:w="751"/>
        <w:gridCol w:w="751"/>
        <w:gridCol w:w="753"/>
        <w:gridCol w:w="109"/>
        <w:gridCol w:w="109"/>
        <w:gridCol w:w="109"/>
        <w:gridCol w:w="372"/>
        <w:gridCol w:w="1909"/>
        <w:gridCol w:w="279"/>
      </w:tblGrid>
      <w:tr>
        <w:trPr/>
        <w:tc>
          <w:tcPr>
            <w:tcW w:w="49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Dollar Value of Shares That May Yet Be Purchased Under the Program</w:t>
            </w:r>
            <w:r>
              <w:rPr>
                <w:rFonts w:ascii="Times New Roman;sans-serif" w:hAnsi="Times New Roman;sans-serif"/>
                <w:b/>
                <w:color w:val="000000"/>
                <w:sz w:val="12"/>
              </w:rPr>
              <w:t>(2)</w:t>
            </w:r>
          </w:p>
        </w:tc>
      </w:tr>
      <w:tr>
        <w:trPr/>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 2024 -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48,898,769 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for quarter ended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16" w:type="dxa"/>
        <w:jc w:val="center"/>
        <w:tblInd w:w="0" w:type="dxa"/>
        <w:tblLayout w:type="fixed"/>
        <w:tblCellMar>
          <w:top w:w="28" w:type="dxa"/>
          <w:left w:w="28" w:type="dxa"/>
          <w:bottom w:w="28" w:type="dxa"/>
          <w:right w:w="28" w:type="dxa"/>
        </w:tblCellMar>
      </w:tblPr>
      <w:tblGrid>
        <w:gridCol w:w="124"/>
        <w:gridCol w:w="109"/>
        <w:gridCol w:w="109"/>
        <w:gridCol w:w="739"/>
        <w:gridCol w:w="739"/>
        <w:gridCol w:w="739"/>
        <w:gridCol w:w="739"/>
        <w:gridCol w:w="739"/>
        <w:gridCol w:w="739"/>
        <w:gridCol w:w="739"/>
        <w:gridCol w:w="739"/>
        <w:gridCol w:w="739"/>
        <w:gridCol w:w="739"/>
        <w:gridCol w:w="739"/>
        <w:gridCol w:w="1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174"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Represents shares surrendered by employees to pay taxes withheld upon the vesting of restricted stock awards.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174"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See Part I, Item 1, Financial Statements, Note 14 for additional information on our publicly announced share repurchase program.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Times New Roman;sans-serif" w:hAnsi="Times New Roman;sans-serif"/>
          <w:b/>
          <w:color w:val="000000"/>
          <w:sz w:val="20"/>
        </w:rPr>
        <w:t>Item 3.Defaults Upon Senior Securities</w:t>
      </w:r>
      <w:r>
        <w:rPr>
          <w:rFonts w:ascii="Times New Roman;sans-serif" w:hAnsi="Times New Roman;sans-serif"/>
          <w:b w:val="false"/>
          <w:color w:val="000000"/>
          <w:sz w:val="20"/>
        </w:rPr>
        <w:t>.</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20" w:after="283"/>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 xml:space="preserve">Rule 10b5-1 and Non-Rule 10b5-1 Trading Arrangements </w:t>
      </w:r>
    </w:p>
    <w:p>
      <w:pPr>
        <w:pStyle w:val="TextBody"/>
        <w:bidi w:val="0"/>
        <w:spacing w:lineRule="auto" w:line="288" w:before="120" w:after="283"/>
        <w:ind w:left="0" w:right="0" w:firstLine="450"/>
        <w:jc w:val="both"/>
        <w:rPr/>
      </w:pPr>
      <w:r>
        <w:rPr>
          <w:rFonts w:ascii="Times New Roman;sans-serif" w:hAnsi="Times New Roman;sans-serif"/>
          <w:b w:val="false"/>
          <w:color w:val="000000"/>
          <w:sz w:val="20"/>
        </w:rPr>
        <w:t>During the fiscal quarter ended June 30, 2024, no director or officer (as determined in Rule 16a-1(f) of the Securities Exchange Act of 1934, as amended) of the Company adopted or terminated any Rule 10b5-1 trading arrangements or non-Rule 10b5-1 trading arrangements as such term is defined in Item 408(a) of Regulation S-K.</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6.Exhibits.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required to be filed pursuant to the requirements of Item 601 of Regulation S-K are set forth in the Exhibit Index accompanying this Quarterly Report on Form 10-Q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- 52 -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7529"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647"/>
        <w:gridCol w:w="1647"/>
        <w:gridCol w:w="23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CARRIAGE SERVICES,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42424"/>
                <w:sz w:val="20"/>
              </w:rPr>
            </w:pPr>
            <w:r>
              <w:rPr>
                <w:rFonts w:ascii="Times New Roman;sans-serif" w:hAnsi="Times New Roman;sans-serif"/>
                <w:b w:val="false"/>
                <w:color w:val="242424"/>
                <w:sz w:val="20"/>
              </w:rPr>
              <w:t>August 2, 2024</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Kathryn Shanley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Kathryn Shanley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&amp; Interim Principal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- 53 -</w:t>
                      </w:r>
                    </w:p>
                  </w:txbxContent>
                </v:textbox>
                <w10:wrap type="none"/>
              </v:rect>
            </w:pict>
          </mc:Fallback>
        </mc:AlternateConten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CARRIAGE SERVICES, INC.</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INDEX OF EXHIBITS</w:t>
      </w:r>
    </w:p>
    <w:tbl>
      <w:tblPr>
        <w:tblW w:w="10205" w:type="dxa"/>
        <w:jc w:val="left"/>
        <w:tblInd w:w="0" w:type="dxa"/>
        <w:tblLayout w:type="fixed"/>
        <w:tblCellMar>
          <w:top w:w="28" w:type="dxa"/>
          <w:left w:w="28" w:type="dxa"/>
          <w:bottom w:w="28" w:type="dxa"/>
          <w:right w:w="28" w:type="dxa"/>
        </w:tblCellMar>
      </w:tblPr>
      <w:tblGrid>
        <w:gridCol w:w="283"/>
        <w:gridCol w:w="249"/>
        <w:gridCol w:w="251"/>
        <w:gridCol w:w="109"/>
        <w:gridCol w:w="109"/>
        <w:gridCol w:w="109"/>
        <w:gridCol w:w="2701"/>
        <w:gridCol w:w="2632"/>
        <w:gridCol w:w="3762"/>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Description </w:t>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as amended, of the Company. Incorporated by reference to Exhibit 3.1 to the Company’s Annual Report on Form 10-K for its fiscal year ended December 31, 1996, filed on March 20, 1997.</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Amendment dated May 7, 1997. Incorporated by reference to Exhibit 10.2 to the Company’s Quarterly Report on Form 10-Q for its fiscal quarter ended September 30, 1997, filed on November 14, 1997.</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Certificate of Amendment dated May 7, 2002. Incorporated by reference to Exhibit 3.1 to the Company’s Quarterly Report on Form 10-Q for its fiscal quarter ended June 30, 2002, filed on August 13,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ans-serif" w:hAnsi="Times New Roman;sans-serif"/>
                  <w:b w:val="false"/>
                  <w:color w:val="0000FF"/>
                  <w:sz w:val="20"/>
                  <w:u w:val="single"/>
                </w:rPr>
                <w:t xml:space="preserve">Amended and Restated By-Laws of Carriage Services, Inc. dated June 21, 2023. Incorporated by reference to Exhibit 3.1 to the Company’s Current Report on Form 8-K filed on June 22, 2023. </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Second Amendment to Employment Agreement dated April 29, 2024, by and between the Company and Paul D. Elliott. Incorporated by reference to Exhibit 10.1 to the Company’s Current Report on Form 8-K filed on May 1, 2024.</w:t>
              </w:r>
            </w:hyperlink>
            <w:r>
              <w:rPr>
                <w:color w:val="000000"/>
              </w:rPr>
              <w:t xml:space="preserve">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Second Amendment to Employment Agreement dated April 30, 2024, by and between the Company and L. Kian Granmayeh. Incorporated by reference to Exhibit 10.2 to the Company’s Current Report on Form 8-K filed on May 1, 2024.</w:t>
              </w:r>
            </w:hyperlink>
            <w:r>
              <w:rPr>
                <w:color w:val="000000"/>
              </w:rPr>
              <w:t xml:space="preserve">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Third Amendment to Employment Agreement dated April 30, 2024, by and between the Company and Paul D. Elliott. Incorporated by reference to Exhibit 10.3 to the Company’s Current Report on Form 8-K filed on May 1, 2024.</w:t>
              </w:r>
            </w:hyperlink>
            <w:r>
              <w:rPr>
                <w:color w:val="000000"/>
              </w:rPr>
              <w:t xml:space="preserve"> †</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 xml:space="preserve">Release and Separation Agreement, dated June 6, 2024, by and between the Company and L. Kian Granmayeh. Incorporated by reference to Exhibit 10.1 to the Company’s Current Report on Form 8-K filed on June 7, 2024 </w:t>
              </w:r>
            </w:hyperlink>
            <w:r>
              <w:rPr>
                <w:color w:val="000000"/>
              </w:rPr>
              <w: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directorcompensationpoli.htm">
              <w:r>
                <w:rPr>
                  <w:rStyle w:val="InternetLink"/>
                  <w:rFonts w:ascii="Times New Roman;sans-serif" w:hAnsi="Times New Roman;sans-serif"/>
                  <w:b w:val="false"/>
                  <w:color w:val="0000FF"/>
                  <w:sz w:val="20"/>
                  <w:u w:val="single"/>
                </w:rPr>
                <w:t>Director Compensation Policy dated effective April 2, 2024.</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csvx20240630q2.htm">
              <w:r>
                <w:rPr>
                  <w:rStyle w:val="InternetLink"/>
                  <w:rFonts w:ascii="Times New Roman;sans-serif" w:hAnsi="Times New Roman;sans-serif"/>
                  <w:b w:val="false"/>
                  <w:color w:val="0000FF"/>
                  <w:sz w:val="20"/>
                  <w:u w:val="single"/>
                </w:rPr>
                <w:t>Certification of Periodic Financial Reports by Carlos R. Quezada in satisfaction of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csvx20240630q2.htm">
              <w:r>
                <w:rPr>
                  <w:rStyle w:val="InternetLink"/>
                  <w:rFonts w:ascii="Times New Roman;sans-serif" w:hAnsi="Times New Roman;sans-serif"/>
                  <w:b w:val="false"/>
                  <w:color w:val="0000FF"/>
                  <w:sz w:val="20"/>
                  <w:u w:val="single"/>
                </w:rPr>
                <w:t>Certification of Periodic Financial Reports by Kathryn Shanley in satisfaction of Section 302 of the Sarbanes-Oxley Act of 2002.</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csvx20240630q2.htm">
              <w:r>
                <w:rPr>
                  <w:rStyle w:val="InternetLink"/>
                  <w:rFonts w:ascii="Times New Roman;sans-serif" w:hAnsi="Times New Roman;sans-serif"/>
                  <w:b w:val="false"/>
                  <w:color w:val="0000FF"/>
                  <w:sz w:val="20"/>
                  <w:u w:val="single"/>
                </w:rPr>
                <w:t>Certification of Periodic Financial Reports by Carlos R. Quezada and Kathryn Shanley in satisfaction of Section 906 of the Sarbanes-Oxley Act of 2002 and 18 U.S.C. Section 1350.</w:t>
              </w:r>
            </w:hyperlink>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XBRL tags are embedded within the Inline XBRL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Documents.</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5471" w:type="dxa"/>
        <w:jc w:val="left"/>
        <w:tblInd w:w="0" w:type="dxa"/>
        <w:tblLayout w:type="fixed"/>
        <w:tblCellMar>
          <w:top w:w="28" w:type="dxa"/>
          <w:left w:w="28" w:type="dxa"/>
          <w:bottom w:w="28" w:type="dxa"/>
          <w:right w:w="28" w:type="dxa"/>
        </w:tblCellMar>
      </w:tblPr>
      <w:tblGrid>
        <w:gridCol w:w="163"/>
        <w:gridCol w:w="143"/>
        <w:gridCol w:w="143"/>
        <w:gridCol w:w="780"/>
        <w:gridCol w:w="780"/>
        <w:gridCol w:w="780"/>
        <w:gridCol w:w="780"/>
        <w:gridCol w:w="780"/>
        <w:gridCol w:w="1122"/>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pStyle w:val="TextBody"/>
        <w:bidi w:val="0"/>
        <w:spacing w:before="0" w:after="0"/>
        <w:jc w:val="center"/>
        <w:rPr/>
      </w:pPr>
      <w:bookmarkStart w:id="0" w:name="directorcompensationpoli.htm"/>
      <w:bookmarkStart w:id="1" w:name="ksdirectorcompensationpoli"/>
      <w:bookmarkEnd w:id="0"/>
      <w:bookmarkEnd w:id="1"/>
      <w:r>
        <w:rPr/>
        <w:drawing>
          <wp:inline distT="0" distB="0" distL="0" distR="0">
            <wp:extent cx="10048875" cy="13001625"/>
            <wp:effectExtent l="0" t="0" r="0" b="0"/>
            <wp:docPr id="5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- 54 -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- 54 -</w:t>
                      </w:r>
                    </w:p>
                  </w:txbxContent>
                </v:textbox>
                <w10:wrap type="none"/>
              </v:rect>
            </w:pict>
          </mc:Fallback>
        </mc:AlternateContent>
      </w:r>
    </w:p>
    <w:p>
      <w:pPr>
        <w:pStyle w:val="TextBody"/>
        <w:bidi w:val="0"/>
        <w:jc w:val="center"/>
        <w:rPr>
          <w:color w:val="FFFFFF"/>
          <w:sz w:val="2"/>
        </w:rPr>
      </w:pPr>
      <w:r>
        <w:rPr>
          <w:color w:val="FFFFFF"/>
          <w:sz w:val="2"/>
        </w:rPr>
        <w:t xml:space="preserve">Page 1 of 2 Director Compensation Policy Effective April 2, 2024 CARRIAGE SERVICES, INC. DIRECTOR COMPENSATION POLICY (Revised and Effective April 2, 2024) 1. Definitions. A. Independent Director – Any Carriage Services Inc. (“Carriage”) director who meets the independence requirements of the New York Stock Exchange (or such other exchange or quotation system upon which the shares of its Common Stock are listed or quoted). B. Management Director - Any Carriage director who does not qualify as an Independent Director. No Management Director shall receive compensation pursuant to this policy. 2. Retainer. A. Generally. Each Independent Director is entitled to an annual retainer of $150,000, payable in quarterly installments of $37,500 each at the end of each quarter. The amount of the retainer is subject to proration if the individual is an Independent Director eligible to receive the retainer for less than the full period in question. B. Board Chair. The Board Chair, so long as he or she is an Independent Director, shall be entitled to an additional annual retainer of $20,000, payable in quarterly installments of $5,000 each at the end of each quarter. The amount of the retainer is subject to proration if the individual is eligible to receive the retainer for less than the full period in question. C. Committee Chair. The Chair of the Audit Committee shall be entitled to an additional annual retainer of $20,000, payable in quarterly installments of $5,000 each at the end of each quarter. The Chair of the Corporate Governance/Nominating Committee shall be entitled to an additional annual retainer of $10,000, payable in quarterly installments of $2,500 each at the end of each quarter. The Chair of the Compensation Committee shall be entitled to an additional annual retainer of $15,000 payable in quarterly installments of $3,750 each at the end of each quarter. The amount of each retainer is subject to proration if the individual is eligible to receive the retainer for less than the full period in question. D. Common Stock Election. Any Carriage director entitled to a retainer as set forth under A, B, and C, shall receive 60% of the retainer in unrestricted shares of Carriage's Common Stock, $.01 par value ("Common Stock") and 40% of the retainer in cash. A Carriage director may elect to receive more than 60% of his or her retainer in Common Exhibit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2 Director Compensation Policy Effective April 2, 2024 Stock by providing the Company with written or electronic notice indicating the percentage of the retainer he or she would like to receive in Common Stock. If a Carriage director has attained the target stock ownership requirement, as outlined in the Carriage Services, Inc. Share Ownership Guidelines and Share Retention Policy (the “Stock Ownership Policy”), then he or she may elect to receive retainers in any allocation of Common Stock or cash as may be preferred by the director, for as long as the director maintains ownership of Common Stock in accordance with the required target. The number of shares of such Common Stock shall be determined by dividing the elected amount by the closing price of Carriage’s Common Stock on the date of grant, which shall be the last business day of each quarter. Such Common Stock shall vest immediately. Any electronic or written notice regarding retainers paid in Common Stock shall remain effective until notice otherwise is made electronically or in writing to Carriage. E. The measurement period for the services provided under A, B &amp; C commences on the date of the Annual Meeting of Stockholders. 3. Attendance at Board Meetings. A. Reimbursement. All Directors are entitled to be reimbursed for reasonable out-of- pocket travel and lodging expenses in attending Board and Committee meetings in person, in accordance with Carriage's travel and entertainment policies. B. All meeting fees and reimbursement shall be made at the end of the quarter in which the meeting was held and the request for reimbursement made. 4. New Directorship. Any new Independent Director will receive, upon admission to the Board, a grant of $25,000 (in addition to the independent director annual retainer prorated at the time the new director is admitted to the Board) which grant can be taken in cash, unrestricted shares of Common Stock, or a combination thereof. The number of shares of such Common Stock shall be determined by dividing the cash amount by the closing price of Carriage’s Common Stock on the date of grant, which shall be the date of admission to the Board. Such Common Stock shall vest immediately. 5. Registration. It is intended that Common Stock issued under Paragraphs 4 hereof will be registered under federal and state securities laws in accordance with any Registration Statement which is filed and becomes effective in connection with any Incentive Plan under which such Common Stock is issued. 6. Effectiveness. This Policy becomes effective immediately and applies to meetings attended after April 2, 2024.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31.1</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Carlos R. Quezada, certify that: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734"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380"/>
        <w:gridCol w:w="1380"/>
        <w:gridCol w:w="19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2024</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Kathryn Shanley, certify that: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Carriage Services, Inc. (the “registrant”);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633"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643"/>
        <w:gridCol w:w="1643"/>
        <w:gridCol w:w="2338"/>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2024</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Kathryn Shanley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Kathryn Shanley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&amp; Interim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1"/>
        </w:rPr>
      </w:pPr>
      <w:r>
        <w:rPr>
          <w:rFonts w:ascii="Times New Roman;sans-serif" w:hAnsi="Times New Roman;sans-serif"/>
          <w:b/>
          <w:color w:val="000000"/>
          <w:sz w:val="21"/>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Chief Executive Officer and Interim Principal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 18 U.S.C. §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Carriage Services, Inc. (the “Company”), as filed with the Securities and Exchange Commission on the date hereof (the “Report”), Carlos R. Quezada, Chief Executive Officer of the Company, and Kathryn Shanley, Chief Accounting Officer, Principal Accounting Officer &amp; Interim Principal Financial Officer, each certify, pursuant to 18 U.S.C. Section 1350, as adopted pursuant to Section 906 of the Sarbanes-Oxley Act of 2002, that, to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tbl>
      <w:tblPr>
        <w:tblW w:w="7634"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643"/>
        <w:gridCol w:w="1643"/>
        <w:gridCol w:w="233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 2024</w:t>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Carlos R. Quezada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Vice Chairman of the Board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Kathryn Shanley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Kathryn Shanley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&amp; Interim 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6281/0000890566-97-000478.txt" TargetMode="External"/><Relationship Id="rId3" Type="http://schemas.openxmlformats.org/officeDocument/2006/relationships/hyperlink" Target="https://www.sec.gov/Archives/edgar/data/1016281/0000890566-97-002454.txt" TargetMode="External"/><Relationship Id="rId4" Type="http://schemas.openxmlformats.org/officeDocument/2006/relationships/hyperlink" Target="https://www.sec.gov/Archives/edgar/data/1016281/000091205702031617/a2085940zex-1.htm" TargetMode="External"/><Relationship Id="rId5" Type="http://schemas.openxmlformats.org/officeDocument/2006/relationships/hyperlink" Target="https://www.sec.gov/Archives/edgar/data/1016281/000119312523172574/d523780dex31.htm" TargetMode="External"/><Relationship Id="rId6" Type="http://schemas.openxmlformats.org/officeDocument/2006/relationships/hyperlink" Target="https://www.sec.gov/ix?doc=/Archives/edgar/data/1016281/000101628124000086/csv-20240501.htm" TargetMode="External"/><Relationship Id="rId7" Type="http://schemas.openxmlformats.org/officeDocument/2006/relationships/hyperlink" Target="https://www.sec.gov/ix?doc=/Archives/edgar/data/1016281/000101628124000086/csv-20240501.htm" TargetMode="External"/><Relationship Id="rId8" Type="http://schemas.openxmlformats.org/officeDocument/2006/relationships/hyperlink" Target="https://www.sec.gov/ix?doc=/Archives/edgar/data/1016281/000101628124000086/csv-20240501.htm" TargetMode="External"/><Relationship Id="rId9" Type="http://schemas.openxmlformats.org/officeDocument/2006/relationships/hyperlink" Target="https://www.sec.gov/ix?doc=/Archives/edgar/data/1016281/000101628124000110/csv-20240607.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27708</Words>
  <Characters>148406</Characters>
  <CharactersWithSpaces>175837</CharactersWithSpaces>
  <Paragraphs>5004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directorcompensationpoli</dc:title>
</cp:coreProperties>
</file>