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Carriage Services,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1-11961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76-0423828</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3040 Post Oak Boulevard, Suite 300</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(713) 332-8400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9"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CSV</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On April 5, 2021, Carriage Services, Inc. (the “</w:t>
      </w:r>
      <w:r>
        <w:rPr>
          <w:rFonts w:ascii="Arial" w:cs="Arial" w:eastAsia="Arial" w:hAnsi="Arial"/>
          <w:sz w:val="17"/>
          <w:szCs w:val="17"/>
          <w:u w:val="single" w:color="auto"/>
          <w:color w:val="auto"/>
        </w:rPr>
        <w:t>Company</w:t>
      </w:r>
      <w:r>
        <w:rPr>
          <w:rFonts w:ascii="Arial" w:cs="Arial" w:eastAsia="Arial" w:hAnsi="Arial"/>
          <w:sz w:val="17"/>
          <w:szCs w:val="17"/>
          <w:color w:val="auto"/>
        </w:rPr>
        <w:t>”) issued a letter to shareholders (the “</w:t>
      </w:r>
      <w:r>
        <w:rPr>
          <w:rFonts w:ascii="Arial" w:cs="Arial" w:eastAsia="Arial" w:hAnsi="Arial"/>
          <w:sz w:val="17"/>
          <w:szCs w:val="17"/>
          <w:u w:val="single" w:color="auto"/>
          <w:color w:val="auto"/>
        </w:rPr>
        <w:t>Annual Shareholder Letter</w:t>
      </w:r>
      <w:r>
        <w:rPr>
          <w:rFonts w:ascii="Arial" w:cs="Arial" w:eastAsia="Arial" w:hAnsi="Arial"/>
          <w:sz w:val="17"/>
          <w:szCs w:val="17"/>
          <w:color w:val="auto"/>
        </w:rPr>
        <w:t>”), which is attached hereto as Exhibit 99.1, and issued a press release in connection with the Annual Shareholder Letter, which is attached hereto as Exhibit 99.2. The Company undertakes no obligation to update, supplement or amend the materials attached hereto as Exhibits 99.1 and 99.2.</w:t>
      </w:r>
    </w:p>
    <w:p>
      <w:pPr>
        <w:spacing w:after="0" w:line="165" w:lineRule="exact"/>
        <w:rPr>
          <w:sz w:val="20"/>
          <w:szCs w:val="20"/>
          <w:color w:val="auto"/>
        </w:rPr>
      </w:pPr>
    </w:p>
    <w:p>
      <w:pPr>
        <w:jc w:val="both"/>
        <w:ind w:left="4" w:firstLine="440"/>
        <w:spacing w:after="0" w:line="271" w:lineRule="auto"/>
        <w:rPr>
          <w:sz w:val="20"/>
          <w:szCs w:val="20"/>
          <w:color w:val="auto"/>
        </w:rPr>
      </w:pPr>
      <w:r>
        <w:rPr>
          <w:rFonts w:ascii="Arial" w:cs="Arial" w:eastAsia="Arial" w:hAnsi="Arial"/>
          <w:sz w:val="17"/>
          <w:szCs w:val="17"/>
          <w:color w:val="auto"/>
        </w:rPr>
        <w:t>The information contained in Item 7.01 of this Current Report on Form 8-K and the exhibits furnished hereto contain forward-looking statements regarding the Company and cautionary statements identifying important factors that could cause actual results to differ materially from those anticipated. Additionally, the information in Item 7.01 of this Current Report on Form 8-K, including Exhibits 99.1 and 99.2, shall not be deemed “filed” for the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nor shall it be deemed incorporated by reference in any filing under the Exchange Act or the Securities Act of 1933, as amended, except as shall be expressly set forth by specific reference in such a filing. Furthermore, the furnishing of information under Item 7.01 of this Current Report on Form 8-K is not intended to constitute a determination by the Company that the information contained herein, including the exhibits hereto, are material or that the dissemination of such information is required by Regulation FD.</w:t>
      </w:r>
    </w:p>
    <w:p>
      <w:pPr>
        <w:spacing w:after="0" w:line="323"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are furnished as part of this Current Report on Form 8-K:</w:t>
      </w:r>
    </w:p>
    <w:p>
      <w:pPr>
        <w:spacing w:after="0" w:line="252"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Carriage Services, Inc., dated April 5, 2021 (furnished herewith pursuant to Item 7.01)</w:t>
        </w:r>
      </w:hyperlink>
    </w:p>
    <w:p>
      <w:pPr>
        <w:spacing w:after="0" w:line="117"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0000EE"/>
          </w:rPr>
          <w:t>Annual Shareholder Letter, dated April 5, 2021 (furnished herewith pursuant to Item 7.01)</w:t>
        </w:r>
      </w:hyperlink>
    </w:p>
    <w:p>
      <w:pPr>
        <w:spacing w:after="0" w:line="117" w:lineRule="exact"/>
        <w:rPr>
          <w:sz w:val="20"/>
          <w:szCs w:val="20"/>
          <w:color w:val="auto"/>
        </w:rPr>
      </w:pPr>
    </w:p>
    <w:p>
      <w:pPr>
        <w:ind w:left="664" w:hanging="664"/>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17" w:lineRule="exact"/>
        <w:rPr>
          <w:rFonts w:ascii="Arial" w:cs="Arial" w:eastAsia="Arial" w:hAnsi="Arial"/>
          <w:sz w:val="18"/>
          <w:szCs w:val="18"/>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as Inline XBRL</w:t>
      </w:r>
    </w:p>
    <w:p>
      <w:pPr>
        <w:sectPr>
          <w:pgSz w:w="11900" w:h="16838" w:orient="portrait"/>
          <w:cols w:equalWidth="0" w:num="1">
            <w:col w:w="11004"/>
          </w:cols>
          <w:pgMar w:left="436" w:top="297" w:right="459" w:bottom="1440" w:gutter="0" w:footer="0" w:header="0"/>
        </w:sectPr>
      </w:pPr>
    </w:p>
    <w:bookmarkStart w:id="2" w:name="page3"/>
    <w:bookmarkEnd w:id="2"/>
    <w:p>
      <w:pPr>
        <w:ind w:left="46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INDEX TO EXHIBITS</w:t>
      </w:r>
    </w:p>
    <w:p>
      <w:pPr>
        <w:spacing w:after="0" w:line="252" w:lineRule="exact"/>
        <w:rPr>
          <w:sz w:val="20"/>
          <w:szCs w:val="20"/>
          <w:color w:val="auto"/>
        </w:rPr>
      </w:pPr>
    </w:p>
    <w:p>
      <w:pPr>
        <w:ind w:left="4"/>
        <w:spacing w:after="0"/>
        <w:tabs>
          <w:tab w:leader="none" w:pos="824"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1"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Carriage Services, Inc., dated April 5, 2021 (furnished herewith pursuant to Item 7.01)</w:t>
        </w:r>
      </w:hyperlink>
    </w:p>
    <w:p>
      <w:pPr>
        <w:spacing w:after="0" w:line="101" w:lineRule="exact"/>
        <w:rPr>
          <w:sz w:val="20"/>
          <w:szCs w:val="20"/>
          <w:color w:val="auto"/>
        </w:rPr>
      </w:pPr>
    </w:p>
    <w:p>
      <w:pPr>
        <w:ind w:left="4"/>
        <w:spacing w:after="0"/>
        <w:tabs>
          <w:tab w:leader="none" w:pos="82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2">
        <w:r>
          <w:rPr>
            <w:rFonts w:ascii="Arial" w:cs="Arial" w:eastAsia="Arial" w:hAnsi="Arial"/>
            <w:sz w:val="16"/>
            <w:szCs w:val="16"/>
            <w:u w:val="single" w:color="auto"/>
            <w:color w:val="0000EE"/>
          </w:rPr>
          <w:t>Annual Shareholder Letter, dated April 5, 2021 (furnished herewith pursuant to Item 7.01)</w:t>
        </w:r>
      </w:hyperlink>
    </w:p>
    <w:p>
      <w:pPr>
        <w:spacing w:after="0" w:line="117" w:lineRule="exact"/>
        <w:rPr>
          <w:sz w:val="20"/>
          <w:szCs w:val="20"/>
          <w:color w:val="auto"/>
        </w:rPr>
      </w:pPr>
    </w:p>
    <w:p>
      <w:pPr>
        <w:ind w:left="844" w:hanging="844"/>
        <w:spacing w:after="0"/>
        <w:tabs>
          <w:tab w:leader="none" w:pos="844" w:val="left"/>
        </w:tabs>
        <w:numPr>
          <w:ilvl w:val="0"/>
          <w:numId w:val="4"/>
        </w:numPr>
        <w:rPr>
          <w:rFonts w:ascii="Arial" w:cs="Arial" w:eastAsia="Arial" w:hAnsi="Arial"/>
          <w:sz w:val="16"/>
          <w:szCs w:val="16"/>
          <w:color w:val="auto"/>
        </w:rPr>
      </w:pPr>
      <w:r>
        <w:rPr>
          <w:rFonts w:ascii="Arial" w:cs="Arial" w:eastAsia="Arial" w:hAnsi="Arial"/>
          <w:sz w:val="16"/>
          <w:szCs w:val="16"/>
          <w:color w:val="auto"/>
        </w:rPr>
        <w:t>Cover Page Interactive Data File - the cover page XBRL tags are embedded within the Inline XBRL document</w:t>
      </w:r>
    </w:p>
    <w:p>
      <w:pPr>
        <w:spacing w:after="0" w:line="140" w:lineRule="exact"/>
        <w:rPr>
          <w:rFonts w:ascii="Arial" w:cs="Arial" w:eastAsia="Arial" w:hAnsi="Arial"/>
          <w:sz w:val="16"/>
          <w:szCs w:val="16"/>
          <w:color w:val="auto"/>
        </w:rPr>
      </w:pPr>
    </w:p>
    <w:p>
      <w:pPr>
        <w:ind w:left="844" w:hanging="844"/>
        <w:spacing w:after="0"/>
        <w:tabs>
          <w:tab w:leader="none" w:pos="8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as Inline XBRL</w:t>
      </w:r>
    </w:p>
    <w:p>
      <w:pPr>
        <w:sectPr>
          <w:pgSz w:w="11900" w:h="16838" w:orient="portrait"/>
          <w:cols w:equalWidth="0" w:num="1">
            <w:col w:w="10023"/>
          </w:cols>
          <w:pgMar w:left="436" w:top="297" w:right="1440"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CARRIAGE SERVICES,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April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D.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D. Metzger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&amp; Secretary</w:t>
      </w:r>
    </w:p>
    <w:p>
      <w:pPr>
        <w:sectPr>
          <w:pgSz w:w="11900" w:h="16838" w:orient="portrait"/>
          <w:cols w:equalWidth="0" w:num="1">
            <w:col w:w="10660"/>
          </w:cols>
          <w:pgMar w:left="440" w:top="297" w:right="7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1996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99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Carriage Services Announces Release of Annual Shareholder Letter</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HOUSTON - April 5, 2021 - Mel Payne, Chairman and CEO of Carriage Services, Inc. (NYSE: CSV), issued the following statement, “Today after the market closed, we released my Annual Shareholder Letter, along with filing a related Current Report on Form 8-K with the Securities and Exchange Commission, as my Shareholder Letter contains our Year to Date February 2021 Comparative Performance Highlights (shown below), as well as highly transparent individual performance data on the four large acquisitions we made during the last quarter of 2019/early 2020. The Cover Theme for my 50 page Shareholder Letter is, “A Tale of High Performance Transformation.”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YTD February 2021 Compared to YTD February 2020</w:t>
      </w:r>
    </w:p>
    <w:p>
      <w:pPr>
        <w:spacing w:after="0" w:line="135" w:lineRule="exact"/>
        <w:rPr>
          <w:sz w:val="20"/>
          <w:szCs w:val="20"/>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Same Store Funeral Contracts of 7,734, an increase of 29.2%;</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Total Revenue of $65.7 million, an increase of 26.9%;</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Total Field EBITDA of $32.2 million, an increase of 58.9%;</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Total Field EBITDA Margin of 49.0%, an increase of 980 basis points;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Adjusted Consolidated EBITDA of $25.2 million, an increase of 77.2%;</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Adjusted Consolidated EBITDA Margin of 38.3%, an increase of 1,090 basis points;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Adjusted Net Income of $11.7 million, an increase of 212.9%;</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 Adjusted Diluted Earnings Per Share of $0.64, an increase of 220.0%;</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Adjusted Free Cash Flow of $13.8 million, an increase of 91.4%;</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Adjusted Free Cash Flow Margin of 21.1%, an increase of 710 basis points;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Total Net Debt outstanding as of March 19, 2021 of $441.8 million; and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Total Net Debt to Rolling Twelve Month Adjusted Consolidated EBITDA of $115.2 million, equal to 3.83 times.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report our record first quarter results in late April, we will include an updated and increased “Two Year Scenario” for 2021 and 2022 that reflects continued performance momentum in all areas of our funeral and cemetery portfolios, as well as continued rapid progress in deleveraging our balance sheet. We also expect to be in a position to refinance our $400 million of 6 5/8% senior notes on what we expect will be substantially better terms given the transformation in our credit profile over the last fifteen months,” concluded Mr. Payne.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Carriage Services is a leading provider of funeral and cemetery services and merchandise in the United States. Carriage operates 174 funeral homes in 26 states and 32 cemeteries in 12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contact Ben Brink at 713-332-8441 or email InvestorRelations@carriageservices.com.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Carriage Services,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NON-GAAP FINANCIAL MEASURES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press release uses Non-GAAP financial measures to present the financial performance of the Company. Our non-GAAP reporting provides a transparent framework of our operating and financial performance that reflects the earning power of the Company as an operating and consolidation platform.</w:t>
      </w:r>
    </w:p>
    <w:p>
      <w:pPr>
        <w:spacing w:after="0" w:line="18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Non-GAAP financial measures should be viewed in addition to, and not as an alternative for, the Company’s reported operating results or cash flow from operations or any other measure of performance as determined in accordance with GAAP. We believe the Non-GAAP results are useful to investors to compare our results to previous periods, to provide insight into the underlying long-term performance trends in our business and to provide the opportunity to differentiate ourselves as the best consolidation platform in the industry against the performance of other funeral and cemetery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Non-GAAP financial measures to GAAP measures are also provided in this press release.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include “Special Items”, “Adjusted Net Income”, “Consolidated EBITDA”, “Adjusted Consolidated EBITDA”, “Adjusted Consolidated EBITDA Margin”, “Adjusted Free Cash Flow”, “Funeral Field, Cemetery Field and Financial EBITDA”, “Total Field EBITDA”, “Total Field EBITDA Margin”, “Other Funeral Revenue”, “Other Funeral EBITDA”, “Divested/Planned Divested Revenue”, “Divested/Planned Divested EBITDA”, “Divested/Planned Divested EBITDA Margin”, “Adjusted Basic Earnings Per Share”, “Adjusted Diluted Earnings Per Share”, “Total Net Debt Outstanding” and “Total Net Debt to EBITDA Multiple” in this press release. These financial measurements are defined as similar GAAP items adjusted for Special Items and are reconciled to GAAP in this press release. In addition, the Company’s presentation of these measures may not be comparable to similarly titled measures in other companies’ reports. The definitions used by the Company for our internal management purposes and in this press release are as follows:</w:t>
      </w:r>
    </w:p>
    <w:p>
      <w:pPr>
        <w:spacing w:after="0" w:line="97" w:lineRule="exact"/>
        <w:rPr>
          <w:sz w:val="20"/>
          <w:szCs w:val="20"/>
          <w:color w:val="auto"/>
        </w:rPr>
      </w:pPr>
    </w:p>
    <w:p>
      <w:pPr>
        <w:jc w:val="both"/>
        <w:ind w:left="960" w:right="20" w:hanging="424"/>
        <w:spacing w:after="0" w:line="28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Special Items are defined as charges or credits included in our GAAP financial statements that can vary from period to period and are not reflective of costs incurred in the ordinary course of our operations. Special Items are typically taxed at the federal statutory rate of 21.0%, except for the Accretion of Discount on Convertible Subordinated Notes, as this is a non-tax deductible item.</w:t>
      </w:r>
    </w:p>
    <w:p>
      <w:pPr>
        <w:spacing w:after="0" w:line="70"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 is defined as net income after adjustments for Special Items that we believe do not directly reflect our core operations and may not be indicative of our normal business operations.</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Consolidated EBITDA is defined as net income before income taxes, interest expenses, non-cash stock compensation, depreciation and amortization, and interest income and other, net.</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Consolidated EBITDA is defined as Consolidated EBITDA after adjustments for Special Items that we believe do not directly reflect our core operations and may not be indicative of our normal business operations.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Consolidated EBITDA Margin is defined as Adjusted Consolidated EBITDA as a percentage of revenue.</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Free Cash Flow is defined as net cash provided by operations, adjusted by Special Items as deemed necessary, less cash for maintenance capital expenditures.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Free Cash Flow Margin is defined as Adjusted Free Cash Flow as a percentage of revenue.</w:t>
      </w:r>
    </w:p>
    <w:p>
      <w:pPr>
        <w:spacing w:after="0" w:line="130"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Funeral Field EBITDA is defined as funeral operating income, excluding depreciation and amortization, regional and unallocated costs, gain/loss on divestitures and impairment charges, Financial EBITDA, Other EBITDA and Divested/Planned Divested EBITDA related to the Funeral Home segment.</w:t>
      </w:r>
    </w:p>
    <w:p>
      <w:pPr>
        <w:spacing w:after="0" w:line="89"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Cemetery Field EBITDA is defined as cemetery operating income, excluding depreciation and amortization, regional and unallocated costs, gain/loss on divestitures and impairment charges, Financial EBITDA and Divested/Planned Divested EBITDA related to the Cemetery segment.</w:t>
      </w:r>
    </w:p>
    <w:p>
      <w:pPr>
        <w:spacing w:after="0" w:line="89"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Funeral Financial EBITDA is defined as Funeral Financial Revenue (preneed funeral insurance commissions and preneed funeral trust and insurance) less the related expenses. Funeral Financial Revenue and the related expenses are presented within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respectively, on the Condensed Consolidated Statement of Operations.</w:t>
      </w:r>
    </w:p>
    <w:p>
      <w:pPr>
        <w:spacing w:after="0" w:line="89" w:lineRule="exact"/>
        <w:rPr>
          <w:rFonts w:ascii="Arial" w:cs="Arial" w:eastAsia="Arial" w:hAnsi="Arial"/>
          <w:sz w:val="18"/>
          <w:szCs w:val="18"/>
          <w:color w:val="auto"/>
        </w:rPr>
      </w:pPr>
    </w:p>
    <w:p>
      <w:pPr>
        <w:jc w:val="both"/>
        <w:ind w:left="960" w:right="2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Cemetery Financial EBITDA is defined as Cemetery Financial Revenue (preneed cemetery trust earnings and preneed cemetery finance charges) less the related expenses. Cemetery Financial Revenue and the related expenses are presented within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respectively, on the Condensed Consolidated Statement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left="964" w:right="20"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Total Field EBITDA is defined as funeral and cemetery operating income, excluding field depreciation and cemetery property amortization, regional and unallocated funeral and cemetery costs and gain/loss on divestitures and impairment charges.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Field EBITDA Margin is defined as Total Field EBITDA as a percentage of revenue.</w:t>
      </w:r>
    </w:p>
    <w:p>
      <w:pPr>
        <w:spacing w:after="0" w:line="130" w:lineRule="exact"/>
        <w:rPr>
          <w:rFonts w:ascii="Arial" w:cs="Arial" w:eastAsia="Arial" w:hAnsi="Arial"/>
          <w:sz w:val="18"/>
          <w:szCs w:val="18"/>
          <w:color w:val="auto"/>
        </w:rPr>
      </w:pPr>
    </w:p>
    <w:p>
      <w:pPr>
        <w:ind w:left="964" w:right="20"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Funeral Revenue is defined as revenues from our ancillary businesses, which include a flower shop, pet cremation business and online cremation business.</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Funeral EBITDA is defined as Other Funeral Revenue, less expenses related to our ancillary businesses noted above.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Divested/Planned Divested Revenue is defined as revenues from certain funeral home and cemetery businesses we intend to divest.</w:t>
      </w:r>
    </w:p>
    <w:p>
      <w:pPr>
        <w:spacing w:after="0" w:line="142" w:lineRule="exact"/>
        <w:rPr>
          <w:rFonts w:ascii="Arial" w:cs="Arial" w:eastAsia="Arial" w:hAnsi="Arial"/>
          <w:sz w:val="17"/>
          <w:szCs w:val="17"/>
          <w:color w:val="auto"/>
        </w:rPr>
      </w:pPr>
    </w:p>
    <w:p>
      <w:pPr>
        <w:ind w:left="964" w:right="20"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Divested/Planned Divested EBITDA is defined as Divested Revenue, less field level and financial expenses related to the divested/planned divested businesses noted above.</w:t>
      </w:r>
    </w:p>
    <w:p>
      <w:pPr>
        <w:spacing w:after="0" w:line="75" w:lineRule="exact"/>
        <w:rPr>
          <w:rFonts w:ascii="Arial" w:cs="Arial" w:eastAsia="Arial" w:hAnsi="Arial"/>
          <w:sz w:val="18"/>
          <w:szCs w:val="18"/>
          <w:color w:val="auto"/>
        </w:rPr>
      </w:pPr>
    </w:p>
    <w:p>
      <w:pPr>
        <w:ind w:left="964"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Divested/Planned Divested EBITDA Margin is defined as Divested/Planned Divested EBITDA as a percentage of Divested/Planned Divested Revenue.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Basic Earnings Per Share is defined as GAAP basic earnings per share, adjusted for Special Items.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Earnings Per Share is defined as GAAP diluted earnings per share, adjusted for Special Items.</w:t>
      </w:r>
    </w:p>
    <w:p>
      <w:pPr>
        <w:spacing w:after="0" w:line="130" w:lineRule="exact"/>
        <w:rPr>
          <w:rFonts w:ascii="Arial" w:cs="Arial" w:eastAsia="Arial" w:hAnsi="Arial"/>
          <w:sz w:val="18"/>
          <w:szCs w:val="18"/>
          <w:color w:val="auto"/>
        </w:rPr>
      </w:pPr>
    </w:p>
    <w:p>
      <w:pPr>
        <w:ind w:left="964" w:right="20" w:hanging="424"/>
        <w:spacing w:after="0" w:line="277"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Net Debt Outstanding is defined as indebtedness under our bank credit facility, Convertible Subordinated Notes due 2021 and Senior Notes due 2026, acquisition debt and finance leases, less cash on hand.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Net Debt to EBITDA Multiple is defined as Total Net Debt Outstanding to Adjusted Consolidated EBITDA.</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Funeral Field EBITDA and Cemetery Field EBITDA</w:t>
      </w:r>
    </w:p>
    <w:p>
      <w:pPr>
        <w:spacing w:after="0" w:line="11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Our operations are reported in two business segments: Funeral Home Operations and Cemetery Operations. Our Field level results highlight trends in volumes, Revenue, Field EBITDA (the individual business’ cash earning power/locally controllable business profit) and Field EBITDA Margin (the individual business’ controllable profit margin).</w:t>
      </w:r>
    </w:p>
    <w:p>
      <w:pPr>
        <w:spacing w:after="0" w:line="184" w:lineRule="exact"/>
        <w:rPr>
          <w:sz w:val="20"/>
          <w:szCs w:val="20"/>
          <w:color w:val="auto"/>
        </w:rPr>
      </w:pPr>
    </w:p>
    <w:p>
      <w:pPr>
        <w:jc w:val="both"/>
        <w:ind w:left="4" w:right="20"/>
        <w:spacing w:after="0" w:line="291" w:lineRule="auto"/>
        <w:rPr>
          <w:sz w:val="20"/>
          <w:szCs w:val="20"/>
          <w:color w:val="auto"/>
        </w:rPr>
      </w:pPr>
      <w:r>
        <w:rPr>
          <w:rFonts w:ascii="Arial" w:cs="Arial" w:eastAsia="Arial" w:hAnsi="Arial"/>
          <w:sz w:val="16"/>
          <w:szCs w:val="16"/>
          <w:color w:val="auto"/>
        </w:rPr>
        <w:t>Funeral Field EBITDA and Cemetery Field EBITDA are defined above. Funeral and Cemetery Operating Income is defined as Revenue less “Field costs and expenses” - a line item encompassing these areas of costs: i) Funeral and cemetery field costs, ii) Field depreciation and amortization expense,</w:t>
      </w:r>
    </w:p>
    <w:p>
      <w:pPr>
        <w:ind w:left="4" w:right="20" w:hanging="4"/>
        <w:spacing w:after="0" w:line="323" w:lineRule="auto"/>
        <w:tabs>
          <w:tab w:leader="none" w:pos="276"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Regional and unallocated funeral and cemetery costs, and iv) Gain/loss on divestitures and impairment charges. Funeral and cemetery field costs include cost of service, funeral and cemetery merchandise costs, operating expenses, labor and other related expenses incurred at the business level.</w:t>
      </w:r>
    </w:p>
    <w:p>
      <w:pPr>
        <w:spacing w:after="0" w:line="138"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Regional and unallocated funeral and cemetery costs presented in our GAAP statement consist primarily of salaries and benefits of our Regional leadership, incentive compensation opportunity to our Field employees and other related costs for field infrastructure. These costs, while necessary to operate our businesses as currently operated within our unique, decentralized platform, are not controllable operating expenses at the Field level as the composition, structure and function of these costs are determined by executive leadership in the Houston Support Center. These costs are components of our overall overhead platform presented within Consolidated EBITDA and Adjusted Consolidated EBITDA. We do not openly or indirectly “push down” any of these expenses to the individual business’ field level margins.</w:t>
      </w:r>
    </w:p>
    <w:p>
      <w:pPr>
        <w:spacing w:after="0" w:line="178"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We believe that our “Regional and unallocated funeral and cemetery costs” are necessary to support our decentralized, high performance culture operating framework, and as such, are included in Consolidated EBITDA and Adjusted Consolidated EBITDA, which more accurately reflects the cash earning power of the Company as an operating and consolidation platform.</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Consolidated EBITDA and Adjusted Consolidated EBITDA</w:t>
      </w:r>
    </w:p>
    <w:p>
      <w:pPr>
        <w:spacing w:after="0" w:line="11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Consolidated EBITDA and Adjusted Consolidated EBITDA are defined above. Our Adjusted Consolidated EBITDA include adjustments for Special Items that we believe do not directly reflect our core operations and may not be indicative of our normal business operations.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These Measures Are Useful</w:t>
      </w:r>
    </w:p>
    <w:p>
      <w:pPr>
        <w:spacing w:after="0" w:line="117"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When used in conjunction with GAAP financial measures, our Total Field EBITDA, Consolidated EBITDA and Adjusted Consolidated EBITDA are supplemental measures of operating performance that we believe are useful measures to facilitate comparisons to our historical consolidated and business level performance and operating results.</w:t>
      </w:r>
    </w:p>
    <w:p>
      <w:pPr>
        <w:spacing w:after="0" w:line="184"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We believe our presentation of Adjusted Consolidated EBITDA, a key metric used internally by our management, provides investors with a supplemental view of our operating performance that facilitates analysis and comparisons of our ongoing business operations because it excludes items that may not be indicative of our ongoing operating performance.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Limitations of the Usefulness of These Measures</w:t>
      </w:r>
    </w:p>
    <w:p>
      <w:pPr>
        <w:spacing w:after="0" w:line="117"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Our Total Field EBITDA, Consolidated EBITDA and Adjusted Consolidated EBITDA are not necessarily comparable to similarly titled measures used by other companies due to different methods of calculation. Our presentation is not intended to be considered in isolation or as a substitute for, or superior to, the financial information prepared and presented in accordance with GAAP. Funeral Field EBITDA, Cemetery Field EBITDA, Funeral Financial EBITDA, Cemetery Financial EBITDA, Other Funeral EBITDA and Divested/Planned Divested EBITDA are not consolidated measures of profitability.</w:t>
      </w:r>
    </w:p>
    <w:p>
      <w:pPr>
        <w:spacing w:after="0" w:line="188"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Funeral and Cemetery Field EBITDA excludes certain costs presented in our GAAP statement that we do not allocate to the individual business’ field level margins, as noted above. A reconciliation to Funeral and Cemetery Operating Income, the most directly comparable GAAP measure, is set forth below.</w:t>
      </w:r>
    </w:p>
    <w:p>
      <w:pPr>
        <w:spacing w:after="0" w:line="18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Consolidated EBITDA excludes certain items that we believe do not directly reflect our core operations and may not be indicative of our normal business operations. A reconciliation to Net Income, the most directly comparable GAAP measure, is set forth below.</w:t>
      </w:r>
    </w:p>
    <w:p>
      <w:pPr>
        <w:spacing w:after="0" w:line="17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Therefore, these measures may not provide a complete understanding of our performance and should be reviewed in conjunction with our GAAP financial measures. Carriage Services strongly encourages investors to review the Company’s consolidated financial statements and publicly filed reports in their entirety and not rely on any single financial measure.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7"/>
          <w:szCs w:val="17"/>
          <w:color w:val="auto"/>
        </w:rPr>
        <w:t>This press release includes the use of certain financial measures that are not GAAP measures. The Non-GAAP financial measures are presented for additional information and are reconciled to their most comparable GAAP measures, all of which are reflected in the tables below.</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Reconciliation of Net Income to Adjusted Net Income (in thousands):</w:t>
      </w:r>
    </w:p>
    <w:p>
      <w:pPr>
        <w:spacing w:after="0" w:line="11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9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6"/>
              </w:rPr>
              <w:t>For the Two Months Ended</w:t>
            </w:r>
          </w:p>
        </w:tc>
      </w:tr>
      <w:tr>
        <w:trPr>
          <w:trHeight w:val="171"/>
        </w:trPr>
        <w:tc>
          <w:tcPr>
            <w:tcW w:w="6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February</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CCEEFF"/>
            </w:tcBorders>
          </w:tcPr>
          <w:p>
            <w:pPr>
              <w:spacing w:after="0"/>
              <w:rPr>
                <w:sz w:val="12"/>
                <w:szCs w:val="12"/>
                <w:color w:val="auto"/>
              </w:rPr>
            </w:pPr>
          </w:p>
        </w:tc>
      </w:tr>
      <w:tr>
        <w:trPr>
          <w:trHeight w:val="22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99"/>
              </w:rPr>
              <w:t>3,380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w w:val="71"/>
              </w:rPr>
              <w:t>$</w:t>
            </w:r>
          </w:p>
        </w:tc>
        <w:tc>
          <w:tcPr>
            <w:tcW w:w="6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10,405</w:t>
            </w:r>
          </w:p>
        </w:tc>
        <w:tc>
          <w:tcPr>
            <w:tcW w:w="40" w:type="dxa"/>
            <w:vAlign w:val="bottom"/>
            <w:shd w:val="clear" w:color="auto" w:fill="CCEEFF"/>
          </w:tcPr>
          <w:p>
            <w:pPr>
              <w:spacing w:after="0"/>
              <w:rPr>
                <w:sz w:val="19"/>
                <w:szCs w:val="19"/>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Special Items, Net of Tax</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Divestiture Expenses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Severance and Separation Costs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Awards Cancellation and Exchange</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Accretion of Discount on Convertible Subordinated Notes</w:t>
            </w:r>
            <w:r>
              <w:rPr>
                <w:rFonts w:ascii="Arial" w:cs="Arial" w:eastAsia="Arial" w:hAnsi="Arial"/>
                <w:sz w:val="15"/>
                <w:szCs w:val="15"/>
                <w:color w:val="auto"/>
              </w:rPr>
              <w:t>(1)</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Disaster and Pandemic Costs</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37"/>
        </w:trPr>
        <w:tc>
          <w:tcPr>
            <w:tcW w:w="6460" w:type="dxa"/>
            <w:vAlign w:val="bottom"/>
          </w:tcPr>
          <w:p>
            <w:pPr>
              <w:spacing w:after="0"/>
              <w:rPr>
                <w:sz w:val="20"/>
                <w:szCs w:val="20"/>
                <w:color w:val="auto"/>
              </w:rPr>
            </w:pPr>
            <w:r>
              <w:rPr>
                <w:rFonts w:ascii="Arial" w:cs="Arial" w:eastAsia="Arial" w:hAnsi="Arial"/>
                <w:sz w:val="18"/>
                <w:szCs w:val="18"/>
                <w:color w:val="auto"/>
              </w:rPr>
              <w:t>Adjusted 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9"/>
              </w:rPr>
              <w:t>3,741</w:t>
            </w:r>
          </w:p>
        </w:tc>
        <w:tc>
          <w:tcPr>
            <w:tcW w:w="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4"/>
              </w:rPr>
              <w:t>11,704</w:t>
            </w:r>
          </w:p>
        </w:tc>
        <w:tc>
          <w:tcPr>
            <w:tcW w:w="4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2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 Items are typically taxed at the federal statutory rate of 21.0%, except for the Accretion of Discount on Convertible Subordinated Notes, as this is a non-tax deductible item.</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Reconciliation of Net Income to Consolidated EBITDA, Adjusted Consolidated EBITDA (in thousands) and Adjusted Consolidated EBITDA Margin:</w:t>
      </w:r>
    </w:p>
    <w:p>
      <w:pPr>
        <w:spacing w:after="0" w:line="189"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For the Two Months Ended</w:t>
      </w:r>
    </w:p>
    <w:p>
      <w:pPr>
        <w:jc w:val="center"/>
        <w:ind w:left="6020"/>
        <w:spacing w:after="0" w:line="236" w:lineRule="auto"/>
        <w:rPr>
          <w:sz w:val="20"/>
          <w:szCs w:val="20"/>
          <w:color w:val="auto"/>
        </w:rPr>
      </w:pPr>
      <w:r>
        <w:rPr>
          <w:rFonts w:ascii="Arial" w:cs="Arial" w:eastAsia="Arial" w:hAnsi="Arial"/>
          <w:sz w:val="14"/>
          <w:szCs w:val="14"/>
          <w:b w:val="1"/>
          <w:bCs w:val="1"/>
          <w:color w:val="auto"/>
        </w:rPr>
        <w:t>February</w:t>
      </w:r>
    </w:p>
    <w:tbl>
      <w:tblPr>
        <w:tblLayout w:type="fixed"/>
        <w:tblInd w:w="1320" w:type="dxa"/>
        <w:tblCellMar>
          <w:top w:w="0" w:type="dxa"/>
          <w:left w:w="0" w:type="dxa"/>
          <w:bottom w:w="0" w:type="dxa"/>
          <w:right w:w="0" w:type="dxa"/>
        </w:tblCellMar>
      </w:tblPr>
      <w:tr>
        <w:trPr>
          <w:trHeight w:val="142"/>
        </w:trPr>
        <w:tc>
          <w:tcPr>
            <w:tcW w:w="6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3,380</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7"/>
              </w:rPr>
              <w:t>$ 10,405</w:t>
            </w:r>
          </w:p>
        </w:tc>
        <w:tc>
          <w:tcPr>
            <w:tcW w:w="200" w:type="dxa"/>
            <w:vAlign w:val="bottom"/>
            <w:shd w:val="clear" w:color="auto" w:fill="CCEEFF"/>
          </w:tcPr>
          <w:p>
            <w:pPr>
              <w:spacing w:after="0"/>
              <w:rPr>
                <w:sz w:val="19"/>
                <w:szCs w:val="19"/>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Expense for Income Taxes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1,449</w:t>
            </w:r>
          </w:p>
        </w:tc>
        <w:tc>
          <w:tcPr>
            <w:tcW w:w="5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4,459</w:t>
            </w:r>
          </w:p>
        </w:tc>
      </w:tr>
      <w:tr>
        <w:trPr>
          <w:trHeight w:val="27"/>
        </w:trPr>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4,829</w:t>
            </w: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w w:val="87"/>
              </w:rPr>
              <w:t>$ 14,864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5,616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5,063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Discount on Convertible Subordinated Notes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r>
        <w:trPr>
          <w:trHeight w:val="27"/>
        </w:trPr>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Consolidated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13,791</w:t>
            </w:r>
          </w:p>
        </w:tc>
        <w:tc>
          <w:tcPr>
            <w:tcW w:w="5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w w:val="87"/>
              </w:rPr>
              <w:t>$ 23,604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Adjusted For: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Divestiture Expenses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Severance and Separation Costs</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288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Disaster and Pandemic Costs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Adjusted Consolidated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14,193</w:t>
            </w:r>
          </w:p>
        </w:tc>
        <w:tc>
          <w:tcPr>
            <w:tcW w:w="5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$ 25,152</w:t>
            </w:r>
          </w:p>
        </w:tc>
        <w:tc>
          <w:tcPr>
            <w:tcW w:w="2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line="224" w:lineRule="exact"/>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CEEFF"/>
          </w:tcPr>
          <w:p>
            <w:pPr>
              <w:jc w:val="right"/>
              <w:ind w:right="520"/>
              <w:spacing w:after="0" w:line="224" w:lineRule="exact"/>
              <w:rPr>
                <w:sz w:val="20"/>
                <w:szCs w:val="20"/>
                <w:color w:val="auto"/>
              </w:rPr>
            </w:pPr>
            <w:r>
              <w:rPr>
                <w:rFonts w:ascii="Arial" w:cs="Arial" w:eastAsia="Arial" w:hAnsi="Arial"/>
                <w:sz w:val="20"/>
                <w:szCs w:val="20"/>
                <w:color w:val="auto"/>
                <w:w w:val="91"/>
              </w:rPr>
              <w:t>51,790</w:t>
            </w:r>
          </w:p>
        </w:tc>
        <w:tc>
          <w:tcPr>
            <w:tcW w:w="900" w:type="dxa"/>
            <w:vAlign w:val="bottom"/>
            <w:gridSpan w:val="2"/>
            <w:shd w:val="clear" w:color="auto" w:fill="CCEEFF"/>
          </w:tcPr>
          <w:p>
            <w:pPr>
              <w:jc w:val="right"/>
              <w:ind w:right="200"/>
              <w:spacing w:after="0" w:line="224" w:lineRule="exact"/>
              <w:rPr>
                <w:sz w:val="20"/>
                <w:szCs w:val="20"/>
                <w:color w:val="auto"/>
              </w:rPr>
            </w:pPr>
            <w:r>
              <w:rPr>
                <w:rFonts w:ascii="Arial" w:cs="Arial" w:eastAsia="Arial" w:hAnsi="Arial"/>
                <w:sz w:val="20"/>
                <w:szCs w:val="20"/>
                <w:color w:val="auto"/>
                <w:w w:val="87"/>
              </w:rPr>
              <w:t>$ 65,707</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Adjusted Consolidated EBITDA Margin</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Funeral and Cemetery Operating Income to Funeral and Cemetery Field EBITDA (in thousands):</w:t>
      </w:r>
    </w:p>
    <w:p>
      <w:pPr>
        <w:spacing w:after="0" w:line="244" w:lineRule="exact"/>
        <w:rPr>
          <w:sz w:val="20"/>
          <w:szCs w:val="20"/>
          <w:color w:val="auto"/>
        </w:rPr>
      </w:pPr>
    </w:p>
    <w:p>
      <w:pPr>
        <w:jc w:val="center"/>
        <w:ind w:left="6320"/>
        <w:spacing w:after="0"/>
        <w:rPr>
          <w:sz w:val="20"/>
          <w:szCs w:val="20"/>
          <w:color w:val="auto"/>
        </w:rPr>
      </w:pPr>
      <w:r>
        <w:rPr>
          <w:rFonts w:ascii="Arial" w:cs="Arial" w:eastAsia="Arial" w:hAnsi="Arial"/>
          <w:sz w:val="14"/>
          <w:szCs w:val="14"/>
          <w:b w:val="1"/>
          <w:bCs w:val="1"/>
          <w:color w:val="auto"/>
        </w:rPr>
        <w:t>For the Two Months Ended</w:t>
      </w:r>
    </w:p>
    <w:p>
      <w:pPr>
        <w:jc w:val="center"/>
        <w:ind w:left="6320"/>
        <w:spacing w:after="0" w:line="236" w:lineRule="auto"/>
        <w:rPr>
          <w:sz w:val="20"/>
          <w:szCs w:val="20"/>
          <w:color w:val="auto"/>
        </w:rPr>
      </w:pPr>
      <w:r>
        <w:rPr>
          <w:rFonts w:ascii="Arial" w:cs="Arial" w:eastAsia="Arial" w:hAnsi="Arial"/>
          <w:sz w:val="14"/>
          <w:szCs w:val="14"/>
          <w:b w:val="1"/>
          <w:bCs w:val="1"/>
          <w:color w:val="auto"/>
        </w:rPr>
        <w:t>February</w:t>
      </w:r>
    </w:p>
    <w:tbl>
      <w:tblPr>
        <w:tblLayout w:type="fixed"/>
        <w:tblInd w:w="1320" w:type="dxa"/>
        <w:tblCellMar>
          <w:top w:w="0" w:type="dxa"/>
          <w:left w:w="0" w:type="dxa"/>
          <w:bottom w:w="0" w:type="dxa"/>
          <w:right w:w="0" w:type="dxa"/>
        </w:tblCellMar>
      </w:tblPr>
      <w:tr>
        <w:trPr>
          <w:trHeight w:val="142"/>
        </w:trPr>
        <w:tc>
          <w:tcPr>
            <w:tcW w:w="39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Funeral Operating Income (GAAP)</w:t>
            </w:r>
          </w:p>
        </w:tc>
        <w:tc>
          <w:tcPr>
            <w:tcW w:w="248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3"/>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$ 12,622</w:t>
            </w:r>
          </w:p>
        </w:tc>
        <w:tc>
          <w:tcPr>
            <w:tcW w:w="3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7"/>
              <w:spacing w:after="0" w:line="223" w:lineRule="exact"/>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91"/>
              </w:rPr>
              <w:t>19,135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Regional &amp; Unallocated Costs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Less: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Funeral Financial EBITDA</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Other Funeral EBITDA</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Funeral Divested/Planned Divested EBITDA</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Arial" w:cs="Arial" w:eastAsia="Arial" w:hAnsi="Arial"/>
                <w:sz w:val="18"/>
                <w:szCs w:val="18"/>
                <w:color w:val="auto"/>
              </w:rPr>
              <w:t>Funeral Field EBITDA</w:t>
            </w:r>
          </w:p>
        </w:tc>
        <w:tc>
          <w:tcPr>
            <w:tcW w:w="248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w w:val="89"/>
              </w:rPr>
              <w:t>$ 14,536</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22,058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5"/>
              </w:rPr>
              <w:t>For the Two Months Ended</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February</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Cemetery Operating Income (GAAP)</w:t>
            </w:r>
          </w:p>
        </w:tc>
        <w:tc>
          <w:tcPr>
            <w:tcW w:w="25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757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Regional &amp; Unallocated Costs</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Less: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Cemetery Financial EBITDA</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w w:val="96"/>
              </w:rPr>
              <w:t>Cemetery Divested/Planned Divested EBITDA</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Cemetery Field EBITDA</w:t>
            </w:r>
          </w:p>
        </w:tc>
        <w:tc>
          <w:tcPr>
            <w:tcW w:w="250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2,502</w:t>
            </w:r>
          </w:p>
        </w:tc>
        <w:tc>
          <w:tcPr>
            <w:tcW w:w="3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6,376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80" w:type="dxa"/>
            <w:vAlign w:val="bottom"/>
            <w:vMerge w:val="restart"/>
          </w:tcPr>
          <w:p>
            <w:pPr>
              <w:jc w:val="right"/>
              <w:ind w:right="2130"/>
              <w:spacing w:after="0"/>
              <w:rPr>
                <w:sz w:val="20"/>
                <w:szCs w:val="20"/>
                <w:color w:val="auto"/>
              </w:rPr>
            </w:pPr>
            <w:r>
              <w:rPr>
                <w:rFonts w:ascii="Arial" w:cs="Arial" w:eastAsia="Arial" w:hAnsi="Arial"/>
                <w:sz w:val="18"/>
                <w:szCs w:val="18"/>
                <w:color w:val="auto"/>
              </w:rPr>
              <w:t>5</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Components of Total Field EBITDA (in thousands):</w:t>
      </w:r>
    </w:p>
    <w:p>
      <w:pPr>
        <w:spacing w:after="0" w:line="24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For the Two Months Ended</w:t>
      </w:r>
    </w:p>
    <w:p>
      <w:pPr>
        <w:jc w:val="center"/>
        <w:ind w:left="6400"/>
        <w:spacing w:after="0" w:line="236" w:lineRule="auto"/>
        <w:rPr>
          <w:sz w:val="20"/>
          <w:szCs w:val="20"/>
          <w:color w:val="auto"/>
        </w:rPr>
      </w:pPr>
      <w:r>
        <w:rPr>
          <w:rFonts w:ascii="Arial" w:cs="Arial" w:eastAsia="Arial" w:hAnsi="Arial"/>
          <w:sz w:val="14"/>
          <w:szCs w:val="14"/>
          <w:b w:val="1"/>
          <w:bCs w:val="1"/>
          <w:color w:val="auto"/>
        </w:rPr>
        <w:t>February</w:t>
      </w:r>
    </w:p>
    <w:tbl>
      <w:tblPr>
        <w:tblLayout w:type="fixed"/>
        <w:tblInd w:w="1320" w:type="dxa"/>
        <w:tblCellMar>
          <w:top w:w="0" w:type="dxa"/>
          <w:left w:w="0" w:type="dxa"/>
          <w:bottom w:w="0" w:type="dxa"/>
          <w:right w:w="0" w:type="dxa"/>
        </w:tblCellMar>
      </w:tblPr>
      <w:tr>
        <w:trPr>
          <w:trHeight w:val="142"/>
        </w:trPr>
        <w:tc>
          <w:tcPr>
            <w:tcW w:w="6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2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Funeral Field EBITDA</w:t>
            </w:r>
          </w:p>
        </w:tc>
        <w:tc>
          <w:tcPr>
            <w:tcW w:w="1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600" w:type="dxa"/>
            <w:vAlign w:val="bottom"/>
            <w:shd w:val="clear" w:color="auto" w:fill="CCEEFF"/>
          </w:tcPr>
          <w:p>
            <w:pPr>
              <w:ind w:left="60"/>
              <w:spacing w:after="0" w:line="223" w:lineRule="exact"/>
              <w:rPr>
                <w:sz w:val="20"/>
                <w:szCs w:val="20"/>
                <w:color w:val="auto"/>
              </w:rPr>
            </w:pPr>
            <w:r>
              <w:rPr>
                <w:rFonts w:ascii="Arial" w:cs="Arial" w:eastAsia="Arial" w:hAnsi="Arial"/>
                <w:sz w:val="20"/>
                <w:szCs w:val="20"/>
                <w:color w:val="auto"/>
                <w:w w:val="84"/>
              </w:rPr>
              <w:t>14,536</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600" w:type="dxa"/>
            <w:vAlign w:val="bottom"/>
            <w:shd w:val="clear" w:color="auto" w:fill="CCEEFF"/>
          </w:tcPr>
          <w:p>
            <w:pPr>
              <w:ind w:left="60"/>
              <w:spacing w:after="0" w:line="223" w:lineRule="exact"/>
              <w:rPr>
                <w:sz w:val="20"/>
                <w:szCs w:val="20"/>
                <w:color w:val="auto"/>
              </w:rPr>
            </w:pPr>
            <w:r>
              <w:rPr>
                <w:rFonts w:ascii="Arial" w:cs="Arial" w:eastAsia="Arial" w:hAnsi="Arial"/>
                <w:sz w:val="20"/>
                <w:szCs w:val="20"/>
                <w:color w:val="auto"/>
                <w:w w:val="84"/>
              </w:rPr>
              <w:t>22,058</w:t>
            </w:r>
          </w:p>
        </w:tc>
        <w:tc>
          <w:tcPr>
            <w:tcW w:w="40" w:type="dxa"/>
            <w:vAlign w:val="bottom"/>
            <w:shd w:val="clear" w:color="auto" w:fill="CCEEFF"/>
          </w:tcPr>
          <w:p>
            <w:pPr>
              <w:spacing w:after="0"/>
              <w:rPr>
                <w:sz w:val="19"/>
                <w:szCs w:val="19"/>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Cemetery Field EBITDA</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2,502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6,376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Funeral Financial EBITDA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Cemetery Financial EBITDA</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1,239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1,882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Funeral EBITDA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Divested/Planned Divested EBITDA</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7"/>
        </w:trPr>
        <w:tc>
          <w:tcPr>
            <w:tcW w:w="6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Field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w w:val="94"/>
              </w:rPr>
              <w:t>20,282</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94"/>
              </w:rPr>
              <w:t>32,220</w:t>
            </w:r>
          </w:p>
        </w:tc>
      </w:tr>
      <w:tr>
        <w:trPr>
          <w:trHeight w:val="20"/>
        </w:trPr>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Basic Earnings Per Share to Adjusted Basic Earnings Per Share:</w:t>
      </w:r>
    </w:p>
    <w:p>
      <w:pPr>
        <w:spacing w:after="0" w:line="24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Two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February</w:t>
      </w:r>
    </w:p>
    <w:tbl>
      <w:tblPr>
        <w:tblLayout w:type="fixed"/>
        <w:tblInd w:w="132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2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GAAP Basic Earnings Per Share</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0.18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0.58</w:t>
            </w:r>
          </w:p>
        </w:tc>
        <w:tc>
          <w:tcPr>
            <w:tcW w:w="40" w:type="dxa"/>
            <w:vAlign w:val="bottom"/>
            <w:shd w:val="clear" w:color="auto" w:fill="CCEEFF"/>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Special Items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r>
      <w:tr>
        <w:trPr>
          <w:trHeight w:val="27"/>
        </w:trPr>
        <w:tc>
          <w:tcPr>
            <w:tcW w:w="6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0.20</w:t>
            </w: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0.65</w:t>
            </w:r>
          </w:p>
        </w:tc>
      </w:tr>
      <w:tr>
        <w:trPr>
          <w:trHeight w:val="20"/>
        </w:trPr>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Diluted Earnings Per Share to Adjusted Diluted Earnings Per Share:</w:t>
      </w:r>
    </w:p>
    <w:p>
      <w:pPr>
        <w:spacing w:after="0" w:line="244"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Two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February</w:t>
      </w:r>
    </w:p>
    <w:tbl>
      <w:tblPr>
        <w:tblLayout w:type="fixed"/>
        <w:tblInd w:w="132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23"/>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GAAP Diluted Earnings Per Share</w:t>
            </w: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0.18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0.57</w:t>
            </w:r>
          </w:p>
        </w:tc>
        <w:tc>
          <w:tcPr>
            <w:tcW w:w="40" w:type="dxa"/>
            <w:vAlign w:val="bottom"/>
            <w:shd w:val="clear" w:color="auto" w:fill="CCEEFF"/>
          </w:tcPr>
          <w:p>
            <w:pPr>
              <w:spacing w:after="0"/>
              <w:rPr>
                <w:sz w:val="19"/>
                <w:szCs w:val="19"/>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Special Items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r>
      <w:tr>
        <w:trPr>
          <w:trHeight w:val="27"/>
        </w:trPr>
        <w:tc>
          <w:tcPr>
            <w:tcW w:w="6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0.20</w:t>
            </w:r>
          </w:p>
        </w:tc>
        <w:tc>
          <w:tcPr>
            <w:tcW w:w="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0.64</w:t>
            </w:r>
          </w:p>
        </w:tc>
      </w:tr>
      <w:tr>
        <w:trPr>
          <w:trHeight w:val="20"/>
        </w:trPr>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Reconciliation of Cash Flow Provided by Operations to Adjusted Free Cash Flow (in thousands) and Adjusted Free Cash Flow Margin:</w:t>
      </w:r>
    </w:p>
    <w:p>
      <w:pPr>
        <w:spacing w:after="0" w:line="278" w:lineRule="exact"/>
        <w:rPr>
          <w:sz w:val="20"/>
          <w:szCs w:val="20"/>
          <w:color w:val="auto"/>
        </w:rPr>
      </w:pPr>
    </w:p>
    <w:p>
      <w:pPr>
        <w:jc w:val="center"/>
        <w:ind w:left="6020"/>
        <w:spacing w:after="0"/>
        <w:rPr>
          <w:sz w:val="20"/>
          <w:szCs w:val="20"/>
          <w:color w:val="auto"/>
        </w:rPr>
      </w:pPr>
      <w:r>
        <w:rPr>
          <w:rFonts w:ascii="Arial" w:cs="Arial" w:eastAsia="Arial" w:hAnsi="Arial"/>
          <w:sz w:val="14"/>
          <w:szCs w:val="14"/>
          <w:b w:val="1"/>
          <w:bCs w:val="1"/>
          <w:color w:val="auto"/>
        </w:rPr>
        <w:t>For the Two Months Ended</w:t>
      </w:r>
    </w:p>
    <w:p>
      <w:pPr>
        <w:jc w:val="center"/>
        <w:ind w:left="6020"/>
        <w:spacing w:after="0" w:line="236" w:lineRule="auto"/>
        <w:rPr>
          <w:sz w:val="20"/>
          <w:szCs w:val="20"/>
          <w:color w:val="auto"/>
        </w:rPr>
      </w:pPr>
      <w:r>
        <w:rPr>
          <w:rFonts w:ascii="Arial" w:cs="Arial" w:eastAsia="Arial" w:hAnsi="Arial"/>
          <w:sz w:val="14"/>
          <w:szCs w:val="14"/>
          <w:b w:val="1"/>
          <w:bCs w:val="1"/>
          <w:color w:val="auto"/>
        </w:rPr>
        <w:t>February</w:t>
      </w:r>
    </w:p>
    <w:tbl>
      <w:tblPr>
        <w:tblLayout w:type="fixed"/>
        <w:tblInd w:w="1320" w:type="dxa"/>
        <w:tblCellMar>
          <w:top w:w="0" w:type="dxa"/>
          <w:left w:w="0" w:type="dxa"/>
          <w:bottom w:w="0" w:type="dxa"/>
          <w:right w:w="0" w:type="dxa"/>
        </w:tblCellMar>
      </w:tblPr>
      <w:tr>
        <w:trPr>
          <w:trHeight w:val="142"/>
        </w:trPr>
        <w:tc>
          <w:tcPr>
            <w:tcW w:w="38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Operations</w:t>
            </w: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7,859</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7"/>
              </w:rPr>
              <w:t>$ 13,761</w:t>
            </w:r>
          </w:p>
        </w:tc>
        <w:tc>
          <w:tcPr>
            <w:tcW w:w="200" w:type="dxa"/>
            <w:vAlign w:val="bottom"/>
            <w:shd w:val="clear" w:color="auto" w:fill="CCEEFF"/>
          </w:tcPr>
          <w:p>
            <w:pPr>
              <w:spacing w:after="0"/>
              <w:rPr>
                <w:sz w:val="19"/>
                <w:szCs w:val="19"/>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7"/>
              </w:rPr>
              <w:t>Cash Used for Maintenance Capital Expenditures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(1,031)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(1,471)</w:t>
            </w:r>
          </w:p>
        </w:tc>
      </w:tr>
      <w:tr>
        <w:trPr>
          <w:trHeight w:val="27"/>
        </w:trPr>
        <w:tc>
          <w:tcPr>
            <w:tcW w:w="3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20"/>
                <w:szCs w:val="20"/>
                <w:color w:val="auto"/>
              </w:rPr>
              <w:t>6,828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w w:val="87"/>
              </w:rPr>
              <w:t>$ 12,290</w:t>
            </w:r>
          </w:p>
        </w:tc>
      </w:tr>
      <w:tr>
        <w:trPr>
          <w:trHeight w:val="216"/>
        </w:trPr>
        <w:tc>
          <w:tcPr>
            <w:tcW w:w="3860" w:type="dxa"/>
            <w:vAlign w:val="bottom"/>
          </w:tcPr>
          <w:p>
            <w:pPr>
              <w:spacing w:after="0"/>
              <w:rPr>
                <w:sz w:val="20"/>
                <w:szCs w:val="20"/>
                <w:color w:val="auto"/>
              </w:rPr>
            </w:pPr>
            <w:r>
              <w:rPr>
                <w:rFonts w:ascii="Arial" w:cs="Arial" w:eastAsia="Arial" w:hAnsi="Arial"/>
                <w:sz w:val="18"/>
                <w:szCs w:val="18"/>
                <w:i w:val="1"/>
                <w:iCs w:val="1"/>
                <w:color w:val="auto"/>
              </w:rPr>
              <w:t>Plus: Incremental Special Items: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Divestiture Costs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Severance and Separation Costs</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288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919</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Natural Disaster and Pandemic Costs</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Adjusted Free Cash Flow</w:t>
            </w:r>
          </w:p>
        </w:tc>
        <w:tc>
          <w:tcPr>
            <w:tcW w:w="23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7,230</w:t>
            </w:r>
          </w:p>
        </w:tc>
        <w:tc>
          <w:tcPr>
            <w:tcW w:w="5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7"/>
              </w:rPr>
              <w:t>$ 13,838</w:t>
            </w:r>
          </w:p>
        </w:tc>
        <w:tc>
          <w:tcPr>
            <w:tcW w:w="2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gridSpan w:val="2"/>
            <w:shd w:val="clear" w:color="auto" w:fill="CCEEFF"/>
          </w:tcPr>
          <w:p>
            <w:pPr>
              <w:jc w:val="right"/>
              <w:spacing w:after="0" w:line="224" w:lineRule="exact"/>
              <w:rPr>
                <w:sz w:val="20"/>
                <w:szCs w:val="20"/>
                <w:color w:val="auto"/>
              </w:rPr>
            </w:pPr>
            <w:r>
              <w:rPr>
                <w:rFonts w:ascii="Arial" w:cs="Arial" w:eastAsia="Arial" w:hAnsi="Arial"/>
                <w:sz w:val="20"/>
                <w:szCs w:val="20"/>
                <w:color w:val="auto"/>
              </w:rPr>
              <w:t>$</w:t>
            </w:r>
          </w:p>
        </w:tc>
        <w:tc>
          <w:tcPr>
            <w:tcW w:w="1100" w:type="dxa"/>
            <w:vAlign w:val="bottom"/>
            <w:gridSpan w:val="2"/>
            <w:shd w:val="clear" w:color="auto" w:fill="CCEEFF"/>
          </w:tcPr>
          <w:p>
            <w:pPr>
              <w:jc w:val="right"/>
              <w:ind w:right="520"/>
              <w:spacing w:after="0" w:line="224" w:lineRule="exact"/>
              <w:rPr>
                <w:sz w:val="20"/>
                <w:szCs w:val="20"/>
                <w:color w:val="auto"/>
              </w:rPr>
            </w:pPr>
            <w:r>
              <w:rPr>
                <w:rFonts w:ascii="Arial" w:cs="Arial" w:eastAsia="Arial" w:hAnsi="Arial"/>
                <w:sz w:val="20"/>
                <w:szCs w:val="20"/>
                <w:color w:val="auto"/>
                <w:w w:val="91"/>
              </w:rPr>
              <w:t>51,790</w:t>
            </w:r>
          </w:p>
        </w:tc>
        <w:tc>
          <w:tcPr>
            <w:tcW w:w="900" w:type="dxa"/>
            <w:vAlign w:val="bottom"/>
            <w:gridSpan w:val="2"/>
            <w:shd w:val="clear" w:color="auto" w:fill="CCEEFF"/>
          </w:tcPr>
          <w:p>
            <w:pPr>
              <w:jc w:val="right"/>
              <w:ind w:right="200"/>
              <w:spacing w:after="0" w:line="224" w:lineRule="exact"/>
              <w:rPr>
                <w:sz w:val="20"/>
                <w:szCs w:val="20"/>
                <w:color w:val="auto"/>
              </w:rPr>
            </w:pPr>
            <w:r>
              <w:rPr>
                <w:rFonts w:ascii="Arial" w:cs="Arial" w:eastAsia="Arial" w:hAnsi="Arial"/>
                <w:sz w:val="20"/>
                <w:szCs w:val="20"/>
                <w:color w:val="auto"/>
                <w:w w:val="87"/>
              </w:rPr>
              <w:t>$ 65,707</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Adjusted Free Cash Flow Margin</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350"/>
        </w:trPr>
        <w:tc>
          <w:tcPr>
            <w:tcW w:w="3860" w:type="dxa"/>
            <w:vAlign w:val="bottom"/>
          </w:tcPr>
          <w:p>
            <w:pPr>
              <w:spacing w:after="0"/>
              <w:rPr>
                <w:sz w:val="24"/>
                <w:szCs w:val="24"/>
                <w:color w:val="auto"/>
              </w:rPr>
            </w:pPr>
          </w:p>
        </w:tc>
        <w:tc>
          <w:tcPr>
            <w:tcW w:w="2380" w:type="dxa"/>
            <w:vAlign w:val="bottom"/>
          </w:tcPr>
          <w:p>
            <w:pPr>
              <w:jc w:val="right"/>
              <w:ind w:right="192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080"/>
          </w:cols>
          <w:pgMar w:left="440" w:top="274" w:right="1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ON FORWARD-LOOKING STATEMENTS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made herein or elsewhere by, or on behalf of, the Company that are not historical facts are intended to be forward-looking statements within the meaning of Section 27A of the Securities Act of 1933, as amended, and Section 21E of the Securities Exchange Act of 1934, as amended. In addition to historical information, this Press Release contains certain statements and information that may constitute forward-looking statements within the safe harbor provisions of the Private Securities Litigation Reform Act of 1995. All statements, other than statements of historical information, should be deemed to be forward-looking statements. These statements include, but are not limited to, statements regarding any projections of earnings, revenue, asset sales, cash flow, capital allocation, debt levels, interest costs or other financial items; any statements of the plans, strategies and objectives of management for future operations or financing activities; any statements regarding future economic conditions or performance; any statements of belief; and any statements of assumptions underlying any of the foregoing and are based on our current expectations and beliefs concerning future developments and their potential effect on us. The words “may”, “will”, “estimate”, “intend”, “believe”, “expect”, “seek”, “project”, “forecast”, “foresee”, “should”, “would”, “could”, “plan”, “anticipate” and other similar words or expressions are intended to identify forward-looking statements, which are generally not historical in nature.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Factors that could cause actual results to differ materially from those made or suggested by the forward-looking statements contained herein include those identified in the Company’s Annual Report on Form 10-K for the year ended December 31, 2020, and other public filings and press releases, available at www.carriageservices.com. 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except to the extent required by law.</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1" w:name="page12"/>
    <w:bookmarkEnd w:id="11"/>
    <w:p>
      <w:pPr>
        <w:ind w:left="90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9129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912939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4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9241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1"/>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decimal"/>
      <w:start w:val="101"/>
    </w:lvl>
  </w:abstractNum>
  <w:abstractNum w:abstractNumId="4">
    <w:nsid w:val="79E2A9E3"/>
    <w:multiLevelType w:val="hybridMultilevel"/>
    <w:lvl w:ilvl="0">
      <w:lvlJc w:val="left"/>
      <w:lvlText w:val="%1"/>
      <w:numFmt w:val="decimal"/>
      <w:start w:val="10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2021-04-05T16:09:33Z</dcterms:created>
  <dcterms:modified xsi:type="dcterms:W3CDTF">2021-04-05T16:09:33Z</dcterms:modified>
</cp:coreProperties>
</file>