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770" w:type="dxa"/>
        <w:jc w:val="center"/>
        <w:tblInd w:w="0" w:type="dxa"/>
        <w:tblLayout w:type="fixed"/>
        <w:tblCellMar>
          <w:top w:w="28" w:type="dxa"/>
          <w:left w:w="28" w:type="dxa"/>
          <w:bottom w:w="28" w:type="dxa"/>
          <w:right w:w="28" w:type="dxa"/>
        </w:tblCellMar>
      </w:tblPr>
      <w:tblGrid>
        <w:gridCol w:w="364"/>
        <w:gridCol w:w="320"/>
        <w:gridCol w:w="322"/>
        <w:gridCol w:w="223"/>
        <w:gridCol w:w="223"/>
        <w:gridCol w:w="3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1-11961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CARRIAGE SERVICES,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3040 Post Oak Boulevard,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(713) 332-8400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erif" w:hAnsi="Times New Roman;serif"/>
          <w:b w:val="false"/>
          <w:color w:val="211D1E"/>
          <w:sz w:val="20"/>
        </w:rPr>
        <w:t xml:space="preserve">§ </w:t>
      </w:r>
      <w:r>
        <w:rPr>
          <w:rFonts w:ascii="Times New Roman;serif" w:hAnsi="Times New Roman;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$.01 par value per share, outstanding as of July 31, 2026 was 15,882,296.</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80" w:after="283"/>
        <w:jc w:val="center"/>
        <w:rPr/>
      </w:pPr>
      <w:r>
        <w:rPr>
          <w:rFonts w:ascii="Times New Roman;serif" w:hAnsi="Times New Roman;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3512"/>
        <w:gridCol w:w="3084"/>
        <w:gridCol w:w="3096"/>
        <w:gridCol w:w="149"/>
        <w:gridCol w:w="149"/>
        <w:gridCol w:w="215"/>
      </w:tblGrid>
      <w:tr>
        <w:trPr/>
        <w:tc>
          <w:tcPr>
            <w:tcW w:w="3512"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959">
              <w:r>
                <w:rPr>
                  <w:rStyle w:val="InternetLink"/>
                  <w:rFonts w:ascii="Times New Roman;serif" w:hAnsi="Times New Roman;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4443665aa8f84fa09ac7bee378fd43ca_4988">
              <w:r>
                <w:rPr>
                  <w:rStyle w:val="InternetLink"/>
                  <w:rFonts w:ascii="Times New Roman;serif" w:hAnsi="Times New Roman;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988">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6">
              <w:r>
                <w:rPr>
                  <w:rStyle w:val="InternetLink"/>
                  <w:rFonts w:ascii="Times New Roman;serif" w:hAnsi="Times New Roman;serif"/>
                  <w:b w:val="false"/>
                  <w:color w:val="000080"/>
                  <w:sz w:val="20"/>
                  <w:u w:val="single"/>
                </w:rPr>
                <w:t xml:space="preserve">Unaudited Condensed Consolidated Statements of Operations for the Three </w:t>
              </w:r>
            </w:hyperlink>
            <w:hyperlink w:anchor="i4443665aa8f84fa09ac7bee378fd43ca_76">
              <w:r>
                <w:rPr>
                  <w:rStyle w:val="InternetLink"/>
                  <w:rFonts w:ascii="Times New Roman;serif" w:hAnsi="Times New Roman;serif"/>
                  <w:b w:val="false"/>
                  <w:color w:val="000080"/>
                  <w:sz w:val="20"/>
                  <w:u w:val="single"/>
                </w:rPr>
                <w:t xml:space="preserve">and Six </w:t>
              </w:r>
            </w:hyperlink>
            <w:hyperlink w:anchor="i4443665aa8f84fa09ac7bee378fd43ca_76">
              <w:r>
                <w:rPr>
                  <w:rStyle w:val="InternetLink"/>
                  <w:rFonts w:ascii="Times New Roman;serif" w:hAnsi="Times New Roman;serif"/>
                  <w:b w:val="false"/>
                  <w:color w:val="000080"/>
                  <w:sz w:val="20"/>
                  <w:u w:val="single"/>
                </w:rPr>
                <w:t xml:space="preserve">Months ended </w:t>
              </w:r>
            </w:hyperlink>
            <w:hyperlink w:anchor="i4443665aa8f84fa09ac7bee378fd43ca_76">
              <w:r>
                <w:rPr>
                  <w:rStyle w:val="InternetLink"/>
                  <w:rFonts w:ascii="Times New Roman;serif" w:hAnsi="Times New Roman;serif"/>
                  <w:b w:val="false"/>
                  <w:color w:val="000080"/>
                  <w:sz w:val="20"/>
                  <w:u w:val="single"/>
                </w:rPr>
                <w:t>June</w:t>
              </w:r>
            </w:hyperlink>
            <w:hyperlink w:anchor="i4443665aa8f84fa09ac7bee378fd43ca_76">
              <w:r>
                <w:rPr>
                  <w:rStyle w:val="InternetLink"/>
                  <w:rFonts w:ascii="Times New Roman;serif" w:hAnsi="Times New Roman;serif"/>
                  <w:b w:val="false"/>
                  <w:color w:val="000080"/>
                  <w:sz w:val="20"/>
                  <w:u w:val="single"/>
                </w:rPr>
                <w:t xml:space="preserve"> 3</w:t>
              </w:r>
            </w:hyperlink>
            <w:hyperlink w:anchor="i4443665aa8f84fa09ac7bee378fd43ca_76">
              <w:r>
                <w:rPr>
                  <w:rStyle w:val="InternetLink"/>
                  <w:rFonts w:ascii="Times New Roman;serif" w:hAnsi="Times New Roman;serif"/>
                  <w:b w:val="false"/>
                  <w:color w:val="000080"/>
                  <w:sz w:val="20"/>
                  <w:u w:val="single"/>
                </w:rPr>
                <w:t>0</w:t>
              </w:r>
            </w:hyperlink>
            <w:hyperlink w:anchor="i4443665aa8f84fa09ac7bee378fd43ca_76">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6">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3">
              <w:r>
                <w:rPr>
                  <w:rStyle w:val="InternetLink"/>
                  <w:rFonts w:ascii="Times New Roman;serif" w:hAnsi="Times New Roman;serif"/>
                  <w:b w:val="false"/>
                  <w:color w:val="000080"/>
                  <w:sz w:val="20"/>
                  <w:u w:val="single"/>
                </w:rPr>
                <w:t xml:space="preserve">Unaudited Condensed Consolidated Balance Sheets as of </w:t>
              </w:r>
            </w:hyperlink>
            <w:hyperlink w:anchor="i4443665aa8f84fa09ac7bee378fd43ca_73">
              <w:r>
                <w:rPr>
                  <w:rStyle w:val="InternetLink"/>
                  <w:rFonts w:ascii="Times New Roman;serif" w:hAnsi="Times New Roman;serif"/>
                  <w:b w:val="false"/>
                  <w:color w:val="000080"/>
                  <w:sz w:val="20"/>
                  <w:u w:val="single"/>
                </w:rPr>
                <w:t>June</w:t>
              </w:r>
            </w:hyperlink>
            <w:hyperlink w:anchor="i4443665aa8f84fa09ac7bee378fd43ca_73">
              <w:r>
                <w:rPr>
                  <w:rStyle w:val="InternetLink"/>
                  <w:rFonts w:ascii="Times New Roman;serif" w:hAnsi="Times New Roman;serif"/>
                  <w:b w:val="false"/>
                  <w:color w:val="000080"/>
                  <w:sz w:val="20"/>
                  <w:u w:val="single"/>
                </w:rPr>
                <w:t xml:space="preserve"> 3</w:t>
              </w:r>
            </w:hyperlink>
            <w:hyperlink w:anchor="i4443665aa8f84fa09ac7bee378fd43ca_73">
              <w:r>
                <w:rPr>
                  <w:rStyle w:val="InternetLink"/>
                  <w:rFonts w:ascii="Times New Roman;serif" w:hAnsi="Times New Roman;serif"/>
                  <w:b w:val="false"/>
                  <w:color w:val="000080"/>
                  <w:sz w:val="20"/>
                  <w:u w:val="single"/>
                </w:rPr>
                <w:t>0</w:t>
              </w:r>
            </w:hyperlink>
            <w:hyperlink w:anchor="i4443665aa8f84fa09ac7bee378fd43ca_73">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3">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2">
              <w:r>
                <w:rPr>
                  <w:rStyle w:val="InternetLink"/>
                  <w:rFonts w:ascii="Times New Roman;serif" w:hAnsi="Times New Roman;serif"/>
                  <w:b w:val="false"/>
                  <w:color w:val="000080"/>
                  <w:sz w:val="20"/>
                  <w:u w:val="single"/>
                </w:rPr>
                <w:t xml:space="preserve">Unaudited </w:t>
              </w:r>
            </w:hyperlink>
            <w:hyperlink w:anchor="i4443665aa8f84fa09ac7bee378fd43ca_82">
              <w:r>
                <w:rPr>
                  <w:rStyle w:val="InternetLink"/>
                  <w:rFonts w:ascii="Times New Roman;serif" w:hAnsi="Times New Roman;serif"/>
                  <w:b w:val="false"/>
                  <w:color w:val="000080"/>
                  <w:sz w:val="20"/>
                  <w:u w:val="single"/>
                </w:rPr>
                <w:t xml:space="preserve">Condensed </w:t>
              </w:r>
            </w:hyperlink>
            <w:hyperlink w:anchor="i4443665aa8f84fa09ac7bee378fd43ca_82">
              <w:r>
                <w:rPr>
                  <w:rStyle w:val="InternetLink"/>
                  <w:rFonts w:ascii="Times New Roman;serif" w:hAnsi="Times New Roman;serif"/>
                  <w:b w:val="false"/>
                  <w:color w:val="000080"/>
                  <w:sz w:val="20"/>
                  <w:u w:val="single"/>
                </w:rPr>
                <w:t xml:space="preserve">Consolidated Statements of Cash Flows for the </w:t>
              </w:r>
            </w:hyperlink>
            <w:hyperlink w:anchor="i4443665aa8f84fa09ac7bee378fd43ca_82">
              <w:r>
                <w:rPr>
                  <w:rStyle w:val="InternetLink"/>
                  <w:rFonts w:ascii="Times New Roman;serif" w:hAnsi="Times New Roman;serif"/>
                  <w:b w:val="false"/>
                  <w:color w:val="000080"/>
                  <w:sz w:val="20"/>
                  <w:u w:val="single"/>
                </w:rPr>
                <w:t>Six</w:t>
              </w:r>
            </w:hyperlink>
            <w:hyperlink w:anchor="i4443665aa8f84fa09ac7bee378fd43ca_82">
              <w:r>
                <w:rPr>
                  <w:rStyle w:val="InternetLink"/>
                  <w:rFonts w:ascii="Times New Roman;serif" w:hAnsi="Times New Roman;serif"/>
                  <w:b w:val="false"/>
                  <w:color w:val="000080"/>
                  <w:sz w:val="20"/>
                  <w:u w:val="single"/>
                </w:rPr>
                <w:t xml:space="preserve"> Months ended </w:t>
              </w:r>
            </w:hyperlink>
            <w:hyperlink w:anchor="i4443665aa8f84fa09ac7bee378fd43ca_82">
              <w:r>
                <w:rPr>
                  <w:rStyle w:val="InternetLink"/>
                  <w:rFonts w:ascii="Times New Roman;serif" w:hAnsi="Times New Roman;serif"/>
                  <w:b w:val="false"/>
                  <w:color w:val="000080"/>
                  <w:sz w:val="20"/>
                  <w:u w:val="single"/>
                </w:rPr>
                <w:t>June</w:t>
              </w:r>
            </w:hyperlink>
            <w:hyperlink w:anchor="i4443665aa8f84fa09ac7bee378fd43ca_82">
              <w:r>
                <w:rPr>
                  <w:rStyle w:val="InternetLink"/>
                  <w:rFonts w:ascii="Times New Roman;serif" w:hAnsi="Times New Roman;serif"/>
                  <w:b w:val="false"/>
                  <w:color w:val="000080"/>
                  <w:sz w:val="20"/>
                  <w:u w:val="single"/>
                </w:rPr>
                <w:t xml:space="preserve"> 3</w:t>
              </w:r>
            </w:hyperlink>
            <w:hyperlink w:anchor="i4443665aa8f84fa09ac7bee378fd43ca_82">
              <w:r>
                <w:rPr>
                  <w:rStyle w:val="InternetLink"/>
                  <w:rFonts w:ascii="Times New Roman;serif" w:hAnsi="Times New Roman;serif"/>
                  <w:b w:val="false"/>
                  <w:color w:val="000080"/>
                  <w:sz w:val="20"/>
                  <w:u w:val="single"/>
                </w:rPr>
                <w:t>0</w:t>
              </w:r>
            </w:hyperlink>
            <w:hyperlink w:anchor="i4443665aa8f84fa09ac7bee378fd43ca_82">
              <w:r>
                <w:rPr>
                  <w:rStyle w:val="InternetLink"/>
                  <w:rFonts w:ascii="Times New Roman;serif" w:hAnsi="Times New Roman;serif"/>
                  <w:b w:val="false"/>
                  <w:color w:val="000080"/>
                  <w:sz w:val="20"/>
                  <w:u w:val="single"/>
                </w:rPr>
                <w:t>, 202</w:t>
              </w:r>
            </w:hyperlink>
            <w:hyperlink w:anchor="i4443665aa8f84fa09ac7bee378fd43ca_82">
              <w:r>
                <w:rPr>
                  <w:rStyle w:val="InternetLink"/>
                  <w:rFonts w:ascii="Times New Roman;serif" w:hAnsi="Times New Roman;serif"/>
                  <w:b w:val="false"/>
                  <w:color w:val="000080"/>
                  <w:sz w:val="20"/>
                  <w:u w:val="single"/>
                </w:rPr>
                <w:t>6</w:t>
              </w:r>
            </w:hyperlink>
            <w:hyperlink w:anchor="i4443665aa8f84fa09ac7bee378fd43ca_82">
              <w:r>
                <w:rPr>
                  <w:rStyle w:val="InternetLink"/>
                  <w:rFonts w:ascii="Times New Roman;serif" w:hAnsi="Times New Roman;serif"/>
                  <w:b w:val="false"/>
                  <w:color w:val="000080"/>
                  <w:sz w:val="20"/>
                  <w:u w:val="single"/>
                </w:rPr>
                <w:t xml:space="preserve"> and 202</w:t>
              </w:r>
            </w:hyperlink>
            <w:hyperlink w:anchor="i4443665aa8f84fa09ac7bee378fd43ca_82">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2">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9">
              <w:r>
                <w:rPr>
                  <w:rStyle w:val="InternetLink"/>
                  <w:rFonts w:ascii="Times New Roman;serif" w:hAnsi="Times New Roman;serif"/>
                  <w:b w:val="false"/>
                  <w:color w:val="000080"/>
                  <w:sz w:val="20"/>
                  <w:u w:val="single"/>
                </w:rPr>
                <w:t xml:space="preserve">Unaudited Condensed Consolidated Statements of Changes in Stockholders' Equity for the Three </w:t>
              </w:r>
            </w:hyperlink>
            <w:hyperlink w:anchor="i4443665aa8f84fa09ac7bee378fd43ca_79">
              <w:r>
                <w:rPr>
                  <w:rStyle w:val="InternetLink"/>
                  <w:rFonts w:ascii="Times New Roman;serif" w:hAnsi="Times New Roman;serif"/>
                  <w:b w:val="false"/>
                  <w:color w:val="000080"/>
                  <w:sz w:val="20"/>
                  <w:u w:val="single"/>
                </w:rPr>
                <w:t xml:space="preserve">and Six </w:t>
              </w:r>
            </w:hyperlink>
            <w:hyperlink w:anchor="i4443665aa8f84fa09ac7bee378fd43ca_79">
              <w:r>
                <w:rPr>
                  <w:rStyle w:val="InternetLink"/>
                  <w:rFonts w:ascii="Times New Roman;serif" w:hAnsi="Times New Roman;serif"/>
                  <w:b w:val="false"/>
                  <w:color w:val="000080"/>
                  <w:sz w:val="20"/>
                  <w:u w:val="single"/>
                </w:rPr>
                <w:t xml:space="preserve">Months ended </w:t>
              </w:r>
            </w:hyperlink>
            <w:hyperlink w:anchor="i4443665aa8f84fa09ac7bee378fd43ca_79">
              <w:r>
                <w:rPr>
                  <w:rStyle w:val="InternetLink"/>
                  <w:rFonts w:ascii="Times New Roman;serif" w:hAnsi="Times New Roman;serif"/>
                  <w:b w:val="false"/>
                  <w:color w:val="000080"/>
                  <w:sz w:val="20"/>
                  <w:u w:val="single"/>
                </w:rPr>
                <w:t>June</w:t>
              </w:r>
            </w:hyperlink>
            <w:hyperlink w:anchor="i4443665aa8f84fa09ac7bee378fd43ca_79">
              <w:r>
                <w:rPr>
                  <w:rStyle w:val="InternetLink"/>
                  <w:rFonts w:ascii="Times New Roman;serif" w:hAnsi="Times New Roman;serif"/>
                  <w:b w:val="false"/>
                  <w:color w:val="000080"/>
                  <w:sz w:val="20"/>
                  <w:u w:val="single"/>
                </w:rPr>
                <w:t xml:space="preserve"> 3</w:t>
              </w:r>
            </w:hyperlink>
            <w:hyperlink w:anchor="i4443665aa8f84fa09ac7bee378fd43ca_79">
              <w:r>
                <w:rPr>
                  <w:rStyle w:val="InternetLink"/>
                  <w:rFonts w:ascii="Times New Roman;serif" w:hAnsi="Times New Roman;serif"/>
                  <w:b w:val="false"/>
                  <w:color w:val="000080"/>
                  <w:sz w:val="20"/>
                  <w:u w:val="single"/>
                </w:rPr>
                <w:t>0</w:t>
              </w:r>
            </w:hyperlink>
            <w:hyperlink w:anchor="i4443665aa8f84fa09ac7bee378fd43ca_79">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9">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Unaudited </w:t>
            </w:r>
            <w:hyperlink w:anchor="i4443665aa8f84fa09ac7bee378fd43ca_85">
              <w:r>
                <w:rPr>
                  <w:rStyle w:val="InternetLink"/>
                  <w:rFonts w:ascii="Times New Roman;serif" w:hAnsi="Times New Roman;serif"/>
                  <w:b w:val="false"/>
                  <w:color w:val="000080"/>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5">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8">
              <w:r>
                <w:rPr>
                  <w:rStyle w:val="InternetLink"/>
                  <w:rFonts w:ascii="Times New Roman;serif" w:hAnsi="Times New Roman;serif"/>
                  <w:b w:val="false"/>
                  <w:color w:val="0000FF"/>
                  <w:sz w:val="20"/>
                  <w:u w:val="single"/>
                </w:rPr>
                <w:t>1. Basis of Presentation and Summary of Significant Accounting Policies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8">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94">
              <w:r>
                <w:rPr>
                  <w:rStyle w:val="InternetLink"/>
                  <w:rFonts w:ascii="Times New Roman;serif" w:hAnsi="Times New Roman;serif"/>
                  <w:b w:val="false"/>
                  <w:color w:val="000080"/>
                  <w:sz w:val="20"/>
                  <w:u w:val="single"/>
                </w:rPr>
                <w:t>2.</w:t>
              </w:r>
            </w:hyperlink>
            <w:hyperlink w:anchor="i4443665aa8f84fa09ac7bee378fd43ca_94">
              <w:r>
                <w:rPr>
                  <w:rStyle w:val="InternetLink"/>
                  <w:rFonts w:ascii="Times New Roman;serif" w:hAnsi="Times New Roman;serif"/>
                  <w:b w:val="false"/>
                  <w:color w:val="000080"/>
                  <w:sz w:val="20"/>
                  <w:u w:val="single"/>
                </w:rPr>
                <w:t xml:space="preserve"> Recently Issued Accounting Standards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4">
              <w:r>
                <w:rPr>
                  <w:rStyle w:val="InternetLink"/>
                  <w:rFonts w:ascii="Times New Roman;serif" w:hAnsi="Times New Roman;serif"/>
                  <w:b w:val="false"/>
                  <w:color w:val="0000FF"/>
                  <w:sz w:val="20"/>
                  <w:u w:val="single"/>
                </w:rPr>
                <w:t>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57">
              <w:r>
                <w:rPr>
                  <w:rStyle w:val="InternetLink"/>
                  <w:rFonts w:ascii="Times New Roman;serif" w:hAnsi="Times New Roman;serif"/>
                  <w:b w:val="false"/>
                  <w:color w:val="0000FF"/>
                  <w:sz w:val="20"/>
                  <w:u w:val="single"/>
                </w:rPr>
                <w:t>3. Segment Reporting</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7">
              <w:r>
                <w:rPr>
                  <w:rStyle w:val="InternetLink"/>
                  <w:rFonts w:ascii="Times New Roman;serif" w:hAnsi="Times New Roman;serif"/>
                  <w:b w:val="false"/>
                  <w:color w:val="0000FF"/>
                  <w:sz w:val="20"/>
                  <w:u w:val="single"/>
                </w:rPr>
                <w:t>10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54">
              <w:r>
                <w:rPr>
                  <w:rStyle w:val="InternetLink"/>
                  <w:rFonts w:ascii="Times New Roman;serif" w:hAnsi="Times New Roman;serif"/>
                  <w:b w:val="false"/>
                  <w:color w:val="0000FF"/>
                  <w:sz w:val="20"/>
                  <w:u w:val="single"/>
                </w:rPr>
                <w:t>4. Earnings Per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4">
              <w:r>
                <w:rPr>
                  <w:rStyle w:val="InternetLink"/>
                  <w:rFonts w:ascii="Times New Roman;serif" w:hAnsi="Times New Roman;serif"/>
                  <w:b w:val="false"/>
                  <w:color w:val="0000FF"/>
                  <w:sz w:val="20"/>
                  <w:u w:val="single"/>
                </w:rPr>
                <w:t>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0">
              <w:r>
                <w:rPr>
                  <w:rStyle w:val="InternetLink"/>
                  <w:rFonts w:ascii="Times New Roman;serif" w:hAnsi="Times New Roman;serif"/>
                  <w:b w:val="false"/>
                  <w:color w:val="0000FF"/>
                  <w:sz w:val="20"/>
                  <w:u w:val="single"/>
                </w:rPr>
                <w:t>5. Goodwill</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0">
              <w:r>
                <w:rPr>
                  <w:rStyle w:val="InternetLink"/>
                  <w:rFonts w:ascii="Times New Roman;serif" w:hAnsi="Times New Roman;serif"/>
                  <w:b w:val="false"/>
                  <w:color w:val="0000FF"/>
                  <w:sz w:val="20"/>
                  <w:u w:val="single"/>
                </w:rPr>
                <w:t>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6">
              <w:r>
                <w:rPr>
                  <w:rStyle w:val="InternetLink"/>
                  <w:rFonts w:ascii="Times New Roman;serif" w:hAnsi="Times New Roman;serif"/>
                  <w:b w:val="false"/>
                  <w:color w:val="0000FF"/>
                  <w:sz w:val="20"/>
                  <w:u w:val="single"/>
                </w:rPr>
                <w:t>6. Receivables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6">
              <w:r>
                <w:rPr>
                  <w:rStyle w:val="InternetLink"/>
                  <w:rFonts w:ascii="Times New Roman;serif" w:hAnsi="Times New Roman;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9">
              <w:r>
                <w:rPr>
                  <w:rStyle w:val="InternetLink"/>
                  <w:rFonts w:ascii="Times New Roman;serif" w:hAnsi="Times New Roman;serif"/>
                  <w:b w:val="false"/>
                  <w:color w:val="0000FF"/>
                  <w:sz w:val="20"/>
                  <w:u w:val="single"/>
                </w:rPr>
                <w:t>7. Fair Value Measurements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9">
              <w:r>
                <w:rPr>
                  <w:rStyle w:val="InternetLink"/>
                  <w:rFonts w:ascii="Times New Roman;serif" w:hAnsi="Times New Roman;serif"/>
                  <w:b w:val="false"/>
                  <w:color w:val="0000FF"/>
                  <w:sz w:val="20"/>
                  <w:u w:val="single"/>
                </w:rPr>
                <w:t>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12">
              <w:r>
                <w:rPr>
                  <w:rStyle w:val="InternetLink"/>
                  <w:rFonts w:ascii="Times New Roman;serif" w:hAnsi="Times New Roman;serif"/>
                  <w:b w:val="false"/>
                  <w:color w:val="0000FF"/>
                  <w:sz w:val="20"/>
                  <w:u w:val="single"/>
                </w:rPr>
                <w:t>8. Trust Investments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2">
              <w:r>
                <w:rPr>
                  <w:rStyle w:val="InternetLink"/>
                  <w:rFonts w:ascii="Times New Roman;serif" w:hAnsi="Times New Roman;serif"/>
                  <w:b w:val="false"/>
                  <w:color w:val="0000FF"/>
                  <w:sz w:val="20"/>
                  <w:u w:val="single"/>
                </w:rPr>
                <w:t>18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15">
              <w:r>
                <w:rPr>
                  <w:rStyle w:val="InternetLink"/>
                  <w:rFonts w:ascii="Times New Roman;serif" w:hAnsi="Times New Roman;serif"/>
                  <w:b w:val="false"/>
                  <w:color w:val="0000FF"/>
                  <w:sz w:val="20"/>
                  <w:u w:val="single"/>
                </w:rPr>
                <w:t>9. Receivables from Preneed Trusts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5">
              <w:r>
                <w:rPr>
                  <w:rStyle w:val="InternetLink"/>
                  <w:rFonts w:ascii="Times New Roman;serif" w:hAnsi="Times New Roman;serif"/>
                  <w:b w:val="false"/>
                  <w:color w:val="0000FF"/>
                  <w:sz w:val="20"/>
                  <w:u w:val="single"/>
                </w:rPr>
                <w:t>24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24">
              <w:r>
                <w:rPr>
                  <w:rStyle w:val="InternetLink"/>
                  <w:rFonts w:ascii="Times New Roman;serif" w:hAnsi="Times New Roman;serif"/>
                  <w:b w:val="false"/>
                  <w:color w:val="0000FF"/>
                  <w:sz w:val="20"/>
                  <w:u w:val="single"/>
                </w:rPr>
                <w:t>10. Long-term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24">
              <w:r>
                <w:rPr>
                  <w:rStyle w:val="InternetLink"/>
                  <w:rFonts w:ascii="Times New Roman;serif" w:hAnsi="Times New Roman;serif"/>
                  <w:b w:val="false"/>
                  <w:color w:val="0000FF"/>
                  <w:sz w:val="20"/>
                  <w:u w:val="single"/>
                </w:rPr>
                <w:t>25</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97">
              <w:r>
                <w:rPr>
                  <w:rStyle w:val="InternetLink"/>
                  <w:rFonts w:ascii="Times New Roman;serif" w:hAnsi="Times New Roman;serif"/>
                  <w:b w:val="false"/>
                  <w:color w:val="000080"/>
                  <w:sz w:val="20"/>
                  <w:u w:val="single"/>
                </w:rPr>
                <w:t>1</w:t>
              </w:r>
            </w:hyperlink>
            <w:hyperlink w:anchor="i4443665aa8f84fa09ac7bee378fd43ca_97">
              <w:r>
                <w:rPr>
                  <w:rStyle w:val="InternetLink"/>
                  <w:rFonts w:ascii="Times New Roman;serif" w:hAnsi="Times New Roman;serif"/>
                  <w:b w:val="false"/>
                  <w:color w:val="000080"/>
                  <w:sz w:val="20"/>
                  <w:u w:val="single"/>
                </w:rPr>
                <w:t>1</w:t>
              </w:r>
            </w:hyperlink>
            <w:hyperlink w:anchor="i4443665aa8f84fa09ac7bee378fd43ca_97">
              <w:r>
                <w:rPr>
                  <w:rStyle w:val="InternetLink"/>
                  <w:rFonts w:ascii="Times New Roman;serif" w:hAnsi="Times New Roman;serif"/>
                  <w:b w:val="false"/>
                  <w:color w:val="000080"/>
                  <w:sz w:val="20"/>
                  <w:u w:val="single"/>
                </w:rPr>
                <w:t>. Business Combinations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7">
              <w:r>
                <w:rPr>
                  <w:rStyle w:val="InternetLink"/>
                  <w:rFonts w:ascii="Times New Roman;serif" w:hAnsi="Times New Roman;serif"/>
                  <w:b w:val="false"/>
                  <w:color w:val="0000FF"/>
                  <w:sz w:val="20"/>
                  <w:u w:val="single"/>
                </w:rPr>
                <w:t>27</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75">
              <w:r>
                <w:rPr>
                  <w:rStyle w:val="InternetLink"/>
                  <w:rFonts w:ascii="Times New Roman;serif" w:hAnsi="Times New Roman;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75">
              <w:r>
                <w:rPr>
                  <w:rStyle w:val="InternetLink"/>
                  <w:rFonts w:ascii="Times New Roman;serif" w:hAnsi="Times New Roman;serif"/>
                  <w:b w:val="false"/>
                  <w:color w:val="0000FF"/>
                  <w:sz w:val="20"/>
                  <w:u w:val="single"/>
                </w:rPr>
                <w:t>29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3">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3">
              <w:r>
                <w:rPr>
                  <w:rStyle w:val="InternetLink"/>
                  <w:rFonts w:ascii="Times New Roman;serif" w:hAnsi="Times New Roman;serif"/>
                  <w:b w:val="false"/>
                  <w:color w:val="0000FF"/>
                  <w:sz w:val="20"/>
                  <w:u w:val="single"/>
                </w:rPr>
                <w:t>31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58">
              <w:r>
                <w:rPr>
                  <w:rStyle w:val="InternetLink"/>
                  <w:rFonts w:ascii="Times New Roman;serif" w:hAnsi="Times New Roman;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58">
              <w:r>
                <w:rPr>
                  <w:rStyle w:val="InternetLink"/>
                  <w:rFonts w:ascii="Times New Roman;serif" w:hAnsi="Times New Roman;serif"/>
                  <w:b w:val="false"/>
                  <w:color w:val="0000FF"/>
                  <w:sz w:val="20"/>
                  <w:u w:val="single"/>
                </w:rPr>
                <w:t>41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75">
              <w:r>
                <w:rPr>
                  <w:rStyle w:val="InternetLink"/>
                  <w:rFonts w:ascii="Times New Roman;serif" w:hAnsi="Times New Roman;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75">
              <w:r>
                <w:rPr>
                  <w:rStyle w:val="InternetLink"/>
                  <w:rFonts w:ascii="Times New Roman;serif" w:hAnsi="Times New Roman;serif"/>
                  <w:b w:val="false"/>
                  <w:color w:val="0000FF"/>
                  <w:sz w:val="20"/>
                  <w:u w:val="single"/>
                </w:rPr>
                <w:t>41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997">
              <w:r>
                <w:rPr>
                  <w:rStyle w:val="InternetLink"/>
                  <w:rFonts w:ascii="Times New Roman;serif" w:hAnsi="Times New Roman;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07">
              <w:r>
                <w:rPr>
                  <w:rStyle w:val="InternetLink"/>
                  <w:rFonts w:ascii="Times New Roman;serif" w:hAnsi="Times New Roman;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07">
              <w:r>
                <w:rPr>
                  <w:rStyle w:val="InternetLink"/>
                  <w:rFonts w:ascii="Times New Roman;serif" w:hAnsi="Times New Roman;serif"/>
                  <w:b w:val="false"/>
                  <w:color w:val="0000FF"/>
                  <w:sz w:val="20"/>
                  <w:u w:val="single"/>
                </w:rPr>
                <w:t>42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0">
              <w:r>
                <w:rPr>
                  <w:rStyle w:val="InternetLink"/>
                  <w:rFonts w:ascii="Times New Roman;serif" w:hAnsi="Times New Roman;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0">
              <w:r>
                <w:rPr>
                  <w:rStyle w:val="InternetLink"/>
                  <w:rFonts w:ascii="Times New Roman;serif" w:hAnsi="Times New Roman;serif"/>
                  <w:b w:val="false"/>
                  <w:color w:val="0000FF"/>
                  <w:sz w:val="20"/>
                  <w:u w:val="single"/>
                </w:rPr>
                <w:t>42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9">
              <w:r>
                <w:rPr>
                  <w:rStyle w:val="InternetLink"/>
                  <w:rFonts w:ascii="Times New Roman;serif" w:hAnsi="Times New Roman;serif"/>
                  <w:b/>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9">
              <w:r>
                <w:rPr>
                  <w:rStyle w:val="InternetLink"/>
                  <w:rFonts w:ascii="Times New Roman;serif" w:hAnsi="Times New Roman;serif"/>
                  <w:b w:val="false"/>
                  <w:color w:val="0000FF"/>
                  <w:sz w:val="20"/>
                  <w:u w:val="single"/>
                </w:rPr>
                <w:t>42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38">
              <w:r>
                <w:rPr>
                  <w:rStyle w:val="InternetLink"/>
                  <w:rFonts w:ascii="Times New Roman;serif" w:hAnsi="Times New Roman;serif"/>
                  <w:b/>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38">
              <w:r>
                <w:rPr>
                  <w:rStyle w:val="InternetLink"/>
                  <w:rFonts w:ascii="Times New Roman;serif" w:hAnsi="Times New Roman;serif"/>
                  <w:b w:val="false"/>
                  <w:color w:val="0000FF"/>
                  <w:sz w:val="20"/>
                  <w:u w:val="single"/>
                </w:rPr>
                <w:t>43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47">
              <w:r>
                <w:rPr>
                  <w:rStyle w:val="InternetLink"/>
                  <w:rFonts w:ascii="Times New Roman;serif" w:hAnsi="Times New Roman;serif"/>
                  <w:b/>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47">
              <w:r>
                <w:rPr>
                  <w:rStyle w:val="InternetLink"/>
                  <w:rFonts w:ascii="Times New Roman;serif" w:hAnsi="Times New Roman;serif"/>
                  <w:b w:val="false"/>
                  <w:color w:val="0000FF"/>
                  <w:sz w:val="20"/>
                  <w:u w:val="single"/>
                </w:rPr>
                <w:t>43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56">
              <w:r>
                <w:rPr>
                  <w:rStyle w:val="InternetLink"/>
                  <w:rFonts w:ascii="Times New Roman;serif" w:hAnsi="Times New Roman;serif"/>
                  <w:b/>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56">
              <w:r>
                <w:rPr>
                  <w:rStyle w:val="InternetLink"/>
                  <w:rFonts w:ascii="Times New Roman;serif" w:hAnsi="Times New Roman;serif"/>
                  <w:b w:val="false"/>
                  <w:color w:val="0000FF"/>
                  <w:sz w:val="20"/>
                  <w:u w:val="single"/>
                </w:rPr>
                <w:t>43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64">
              <w:r>
                <w:rPr>
                  <w:rStyle w:val="InternetLink"/>
                  <w:rFonts w:ascii="Times New Roman;serif" w:hAnsi="Times New Roman;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64">
              <w:r>
                <w:rPr>
                  <w:rStyle w:val="InternetLink"/>
                  <w:rFonts w:ascii="Times New Roman;serif" w:hAnsi="Times New Roman;serif"/>
                  <w:b w:val="false"/>
                  <w:color w:val="0000FF"/>
                  <w:sz w:val="20"/>
                  <w:u w:val="single"/>
                </w:rPr>
                <w:t>43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6">
              <w:r>
                <w:rPr>
                  <w:rStyle w:val="InternetLink"/>
                  <w:rFonts w:ascii="Times New Roman;serif" w:hAnsi="Times New Roman;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26">
              <w:r>
                <w:rPr>
                  <w:rStyle w:val="InternetLink"/>
                  <w:rFonts w:ascii="Times New Roman;serif" w:hAnsi="Times New Roman;serif"/>
                  <w:b w:val="false"/>
                  <w:color w:val="0000FF"/>
                  <w:sz w:val="20"/>
                  <w:u w:val="single"/>
                </w:rPr>
                <w:t>44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146825585829">
              <w:r>
                <w:rPr>
                  <w:rStyle w:val="InternetLink"/>
                  <w:rFonts w:ascii="Times New Roman;serif" w:hAnsi="Times New Roman;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146825585829">
              <w:r>
                <w:rPr>
                  <w:rStyle w:val="InternetLink"/>
                  <w:rFonts w:ascii="Times New Roman;serif" w:hAnsi="Times New Roman;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data)</w:t>
      </w:r>
    </w:p>
    <w:tbl>
      <w:tblPr>
        <w:tblW w:w="10205" w:type="dxa"/>
        <w:jc w:val="center"/>
        <w:tblInd w:w="0" w:type="dxa"/>
        <w:tblLayout w:type="fixed"/>
        <w:tblCellMar>
          <w:top w:w="28" w:type="dxa"/>
          <w:left w:w="28" w:type="dxa"/>
          <w:bottom w:w="28" w:type="dxa"/>
          <w:right w:w="28" w:type="dxa"/>
        </w:tblCellMar>
      </w:tblPr>
      <w:tblGrid>
        <w:gridCol w:w="1702"/>
        <w:gridCol w:w="1462"/>
        <w:gridCol w:w="1430"/>
        <w:gridCol w:w="218"/>
        <w:gridCol w:w="748"/>
        <w:gridCol w:w="113"/>
        <w:gridCol w:w="113"/>
        <w:gridCol w:w="113"/>
        <w:gridCol w:w="113"/>
        <w:gridCol w:w="218"/>
        <w:gridCol w:w="748"/>
        <w:gridCol w:w="113"/>
        <w:gridCol w:w="109"/>
        <w:gridCol w:w="109"/>
        <w:gridCol w:w="109"/>
        <w:gridCol w:w="211"/>
        <w:gridCol w:w="721"/>
        <w:gridCol w:w="109"/>
        <w:gridCol w:w="109"/>
        <w:gridCol w:w="109"/>
        <w:gridCol w:w="109"/>
        <w:gridCol w:w="211"/>
        <w:gridCol w:w="721"/>
        <w:gridCol w:w="109"/>
        <w:gridCol w:w="109"/>
        <w:gridCol w:w="109"/>
        <w:gridCol w:w="160"/>
      </w:tblGrid>
      <w:tr>
        <w:trPr/>
        <w:tc>
          <w:tcPr>
            <w:tcW w:w="170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6"/>
            <w:tcBorders/>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merchandise revenue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costs and expenses: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field costs and expenses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 and impairment charges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income taxes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related to discrete income tax items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for income taxes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689"/>
        <w:gridCol w:w="2246"/>
        <w:gridCol w:w="2196"/>
        <w:gridCol w:w="211"/>
        <w:gridCol w:w="976"/>
        <w:gridCol w:w="109"/>
        <w:gridCol w:w="109"/>
        <w:gridCol w:w="109"/>
        <w:gridCol w:w="109"/>
        <w:gridCol w:w="211"/>
        <w:gridCol w:w="976"/>
        <w:gridCol w:w="109"/>
        <w:gridCol w:w="155"/>
      </w:tblGrid>
      <w:tr>
        <w:trPr/>
        <w:tc>
          <w:tcPr>
            <w:tcW w:w="268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4"/>
            <w:tcBorders/>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 shares authorized and 27,510,114 and 27,378,870 shares issued, respectively and 15,882,296 and 15,751,052 shares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11,627,818 shares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2692"/>
        <w:gridCol w:w="2362"/>
        <w:gridCol w:w="2369"/>
        <w:gridCol w:w="211"/>
        <w:gridCol w:w="721"/>
        <w:gridCol w:w="109"/>
        <w:gridCol w:w="109"/>
        <w:gridCol w:w="109"/>
        <w:gridCol w:w="109"/>
        <w:gridCol w:w="211"/>
        <w:gridCol w:w="721"/>
        <w:gridCol w:w="109"/>
        <w:gridCol w:w="109"/>
        <w:gridCol w:w="109"/>
        <w:gridCol w:w="155"/>
      </w:tblGrid>
      <w:tr>
        <w:trPr/>
        <w:tc>
          <w:tcPr>
            <w:tcW w:w="269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and accretion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(gain) on divestitures and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sale of excess real property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that provided (used)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preneed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prepaid,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and 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Preneed funeral and cemetery trust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receipts held in trust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divestitures and sale of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from the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against the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acquisition debt and obligations under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exercise of stock options and employee stock purchase plan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on restricted stock, performance award vestings, and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 on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 and financing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45"/>
        <w:gridCol w:w="474"/>
        <w:gridCol w:w="476"/>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1"/>
      </w:tblGrid>
      <w:tr>
        <w:trPr/>
        <w:tc>
          <w:tcPr>
            <w:tcW w:w="94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5"/>
        <w:gridCol w:w="474"/>
        <w:gridCol w:w="476"/>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1"/>
      </w:tblGrid>
      <w:tr>
        <w:trPr/>
        <w:tc>
          <w:tcPr>
            <w:tcW w:w="94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8"/>
        <w:gridCol w:w="551"/>
        <w:gridCol w:w="555"/>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2"/>
      </w:tblGrid>
      <w:tr>
        <w:trPr/>
        <w:tc>
          <w:tcPr>
            <w:tcW w:w="7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($0.2250 per share)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8"/>
        <w:gridCol w:w="551"/>
        <w:gridCol w:w="555"/>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2"/>
      </w:tblGrid>
      <w:tr>
        <w:trPr/>
        <w:tc>
          <w:tcPr>
            <w:tcW w:w="7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($0.2250 per share)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Carriage Services, Inc. (“Carriage,” the “Company,” “we,” “us,” or “our”) is a leading provider of funeral and cemetery services and merchandise in the United States (“U.S.”). Our operations are reported in two business segments: Funeral Home Operations, which currently accounts for approximately 66% of our total revenue and Cemetery Operations, which currently accounts for approximately 34% of our total revenue. At June 30, 2026,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include the Company and its subsidiaries. All intercompany balances and transactions have been eliminated. Our interim Condensed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2025. In addition, our unaudited Condensed Consolidated Financial Statements have been prepared in a manner consistent with the accounting principles described in our Annual Report on Form 10-K for the year ended December 31, 2025, unless otherwise disclosed herein, and should be read in conjunction therewith.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purchased with an original maturity of three months or less to be cash equivalents.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Held for Sale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assets and liabilities (disposal groups) to be sold as held for sale (“HFS”) in the period in which all of the following criteria are met: (1) management, having the authority to approve the action, commits to a plan to sell the disposal group; (2) the disposal group is available for immediate sale in its present condition subject only to terms that are usual and customary for sales of such disposal groups; (3) an active program to locate a buyer and other actions required to complete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 to sell the disposal group have been initiated; (4)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(5) the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initially measures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the date of sale. The Company assesses the fair value of a disposal group, less any costs to sell, each reporting period it remains classified as held for sale and reports any subsequent changes as an adjustment to the carrying value of the disposal group, as long as the new carrying value does not exceed the carrying value of the disposal group at the time it was initially classified as held for sale. Additionally, depreciation is not recorded during the period in which the long-lived assets, included in the disposal group, are classified as held for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determining that a disposal group meets the criteria to be classified as held for sale, the Company reports the assets and liabilities of the disposal group, if material, in the line items current and non-current assets held for sale and current and long-term liabilities held for sale in the Condensed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Held for sale balances on our Condensed Consolidated Balance Sheets primarily consist of $0.3 million of property, plant and equipment as of June 30, 2026, and December 31, 2025,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10, 2026, we completed the sale of excess land that was classified as held for sale on our Condensed Consolidated Balance Sheets as of June 30, 2026.</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three months ended June 30, 2026, we sold one funeral home for an aggregate of $0.3 million. We recorded an impairment of $0.1 million and $0.3 million, for the three and six months ended June 30, 2026, respectively, resulting in an immaterial loss recorded in </w:t>
      </w: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on our Condensed Consolidated Statements of Operations.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three months ended June 30, 2025, we merged one funeral home with another business we own in an existing market. During the six months ended June 30, 2025, we sold two funeral homes and three cemeteries for an aggregate of $15.8 million and merged one funeral home with another business we own in an existing market. We recorded an impairment of $0.1 million during the six months ended June 30, 2025, resulting in a gain of $5.9 million recorded in </w:t>
      </w: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on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$4.9 million and $5.1 million for the three months ended June 30, 2026 and 2025, respectively, and $9.8 million and $10.4 million for the six months ended June 30, 2026 and 2025, respectively. Our operating tax rate before discrete items was 28.8% and 31.2% for the three months ended June 30, 2026 and 2025, respectively, and 28.4% and 31.2%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Additionally, in January 2025, the FASB issued ASU 2025-01 to clarify the effective date of ASU 2024-03. The standard provides guidance to expand disclosures related to the disaggregation of income statement expenses. The amendments in this update require,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expect the adoption will have no material impact on our consolidated financial statements as it modifies disclosure requirements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Under the new guidance, costs associated with software developed for internal use will now be capitalized when management authorizes a project and when it is probable the project will be completed and used to perform the function intended, rather than when a project reaches the application development stage under existing guidance. The guidance is effective beginning January 1, 2028, with early adoption permitted, and can be applied prospectively, retrospectively, or on a modified retrospective basis. We have not determined the transition method, timing for adoption, or estimated the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(the “CODM”), who is the Chief Executive Officer, utilizes segment adjusted operating profit for resource allocation across segments, particularly during the annual budgeting and forecasting processes. The CODM examines variances on a monthly basis to make informed decisions regarding capital and personnel distribution among segments. Additionally, the CODM employs segment gross profit for product pricing evaluation and uses segment adjusted operating profit to assess each segment’s performance by comparing results and return on assets against expected outcomes. The CODM does not review disaggregated assets by segment; therefore assets by segment are not provided.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revenue, disaggregated by major source for each of our reportable segments, as well as, significant segment expenses, other segment expenses, operating income (loss), depreciation and amortization, regional and unallocated funeral and cemetery costs, and gross profit by segment as follows: (in thousands) for the three and six months ended June 30, 2026 and 2025, respectively:</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2012"/>
        <w:gridCol w:w="1340"/>
        <w:gridCol w:w="1351"/>
        <w:gridCol w:w="311"/>
        <w:gridCol w:w="1064"/>
        <w:gridCol w:w="160"/>
        <w:gridCol w:w="160"/>
        <w:gridCol w:w="160"/>
        <w:gridCol w:w="160"/>
        <w:gridCol w:w="311"/>
        <w:gridCol w:w="1064"/>
        <w:gridCol w:w="160"/>
        <w:gridCol w:w="160"/>
        <w:gridCol w:w="160"/>
        <w:gridCol w:w="160"/>
        <w:gridCol w:w="160"/>
        <w:gridCol w:w="109"/>
        <w:gridCol w:w="211"/>
        <w:gridCol w:w="826"/>
        <w:gridCol w:w="166"/>
      </w:tblGrid>
      <w:tr>
        <w:trPr/>
        <w:tc>
          <w:tcPr>
            <w:tcW w:w="201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margin to Gross profit</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5502" w:type="dxa"/>
            <w:gridSpan w:val="17"/>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12" w:type="dxa"/>
            <w:gridSpan w:val="4"/>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12" w:type="dxa"/>
            <w:gridSpan w:val="4"/>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12" w:type="dxa"/>
            <w:gridSpan w:val="4"/>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12"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2012"/>
        <w:gridCol w:w="1340"/>
        <w:gridCol w:w="1351"/>
        <w:gridCol w:w="311"/>
        <w:gridCol w:w="1064"/>
        <w:gridCol w:w="160"/>
        <w:gridCol w:w="160"/>
        <w:gridCol w:w="160"/>
        <w:gridCol w:w="160"/>
        <w:gridCol w:w="311"/>
        <w:gridCol w:w="1064"/>
        <w:gridCol w:w="160"/>
        <w:gridCol w:w="160"/>
        <w:gridCol w:w="160"/>
        <w:gridCol w:w="160"/>
        <w:gridCol w:w="160"/>
        <w:gridCol w:w="109"/>
        <w:gridCol w:w="211"/>
        <w:gridCol w:w="826"/>
        <w:gridCol w:w="166"/>
      </w:tblGrid>
      <w:tr>
        <w:trPr/>
        <w:tc>
          <w:tcPr>
            <w:tcW w:w="201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margin to Gross profit</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5502" w:type="dxa"/>
            <w:gridSpan w:val="17"/>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12" w:type="dxa"/>
            <w:gridSpan w:val="4"/>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12" w:type="dxa"/>
            <w:gridSpan w:val="4"/>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12" w:type="dxa"/>
            <w:gridSpan w:val="4"/>
            <w:tcBorders/>
          </w:tcPr>
          <w:p>
            <w:pPr>
              <w:pStyle w:val="TableContents"/>
              <w:bidi w:val="0"/>
              <w:spacing w:before="0" w:after="283"/>
              <w:jc w:val="left"/>
              <w:rPr>
                <w:sz w:val="4"/>
                <w:szCs w:val="4"/>
              </w:rPr>
            </w:pPr>
            <w:r>
              <w:rPr>
                <w:sz w:val="4"/>
                <w:szCs w:val="4"/>
              </w:rPr>
            </w:r>
          </w:p>
        </w:tc>
      </w:tr>
      <w:tr>
        <w:trPr/>
        <w:tc>
          <w:tcPr>
            <w:tcW w:w="8893"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12"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922"/>
        <w:gridCol w:w="1259"/>
        <w:gridCol w:w="1269"/>
        <w:gridCol w:w="318"/>
        <w:gridCol w:w="1247"/>
        <w:gridCol w:w="164"/>
        <w:gridCol w:w="164"/>
        <w:gridCol w:w="164"/>
        <w:gridCol w:w="164"/>
        <w:gridCol w:w="318"/>
        <w:gridCol w:w="1089"/>
        <w:gridCol w:w="164"/>
        <w:gridCol w:w="164"/>
        <w:gridCol w:w="164"/>
        <w:gridCol w:w="164"/>
        <w:gridCol w:w="164"/>
        <w:gridCol w:w="109"/>
        <w:gridCol w:w="211"/>
        <w:gridCol w:w="826"/>
        <w:gridCol w:w="161"/>
      </w:tblGrid>
      <w:tr>
        <w:trPr/>
        <w:tc>
          <w:tcPr>
            <w:tcW w:w="192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to Gross profit</w:t>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5755" w:type="dxa"/>
            <w:gridSpan w:val="17"/>
            <w:tcBorders/>
          </w:tcPr>
          <w:p>
            <w:pPr>
              <w:pStyle w:val="TableContents"/>
              <w:bidi w:val="0"/>
              <w:spacing w:before="0" w:after="283"/>
              <w:jc w:val="left"/>
              <w:rPr>
                <w:sz w:val="4"/>
                <w:szCs w:val="4"/>
              </w:rPr>
            </w:pPr>
            <w:r>
              <w:rPr>
                <w:sz w:val="4"/>
                <w:szCs w:val="4"/>
              </w:rPr>
            </w:r>
          </w:p>
        </w:tc>
      </w:tr>
      <w:tr>
        <w:trP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307" w:type="dxa"/>
            <w:gridSpan w:val="4"/>
            <w:tcBorders/>
          </w:tcPr>
          <w:p>
            <w:pPr>
              <w:pStyle w:val="TableContents"/>
              <w:bidi w:val="0"/>
              <w:spacing w:before="0" w:after="283"/>
              <w:jc w:val="left"/>
              <w:rPr>
                <w:sz w:val="4"/>
                <w:szCs w:val="4"/>
              </w:rPr>
            </w:pPr>
            <w:r>
              <w:rPr>
                <w:sz w:val="4"/>
                <w:szCs w:val="4"/>
              </w:rPr>
            </w:r>
          </w:p>
        </w:tc>
      </w:tr>
      <w:tr>
        <w:trP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307" w:type="dxa"/>
            <w:gridSpan w:val="4"/>
            <w:tcBorders/>
          </w:tcPr>
          <w:p>
            <w:pPr>
              <w:pStyle w:val="TableContents"/>
              <w:bidi w:val="0"/>
              <w:spacing w:before="0" w:after="283"/>
              <w:jc w:val="left"/>
              <w:rPr>
                <w:sz w:val="4"/>
                <w:szCs w:val="4"/>
              </w:rPr>
            </w:pPr>
            <w:r>
              <w:rPr>
                <w:sz w:val="4"/>
                <w:szCs w:val="4"/>
              </w:rPr>
            </w:r>
          </w:p>
        </w:tc>
      </w:tr>
      <w:tr>
        <w:trP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307" w:type="dxa"/>
            <w:gridSpan w:val="4"/>
            <w:tcBorders/>
          </w:tcPr>
          <w:p>
            <w:pPr>
              <w:pStyle w:val="TableContents"/>
              <w:bidi w:val="0"/>
              <w:spacing w:before="0" w:after="283"/>
              <w:jc w:val="left"/>
              <w:rPr>
                <w:sz w:val="4"/>
                <w:szCs w:val="4"/>
              </w:rPr>
            </w:pPr>
            <w:r>
              <w:rPr>
                <w:sz w:val="4"/>
                <w:szCs w:val="4"/>
              </w:rPr>
            </w:r>
          </w:p>
        </w:tc>
      </w:tr>
      <w:tr>
        <w:trPr/>
        <w:tc>
          <w:tcPr>
            <w:tcW w:w="8898"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307"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2038"/>
        <w:gridCol w:w="1365"/>
        <w:gridCol w:w="1375"/>
        <w:gridCol w:w="313"/>
        <w:gridCol w:w="1072"/>
        <w:gridCol w:w="162"/>
        <w:gridCol w:w="162"/>
        <w:gridCol w:w="162"/>
        <w:gridCol w:w="162"/>
        <w:gridCol w:w="313"/>
        <w:gridCol w:w="1072"/>
        <w:gridCol w:w="162"/>
        <w:gridCol w:w="162"/>
        <w:gridCol w:w="162"/>
        <w:gridCol w:w="162"/>
        <w:gridCol w:w="162"/>
        <w:gridCol w:w="109"/>
        <w:gridCol w:w="211"/>
        <w:gridCol w:w="721"/>
        <w:gridCol w:w="158"/>
      </w:tblGrid>
      <w:tr>
        <w:trPr/>
        <w:tc>
          <w:tcPr>
            <w:tcW w:w="203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margin to Gross profit</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costs and expenses:</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vAlign w:val="center"/>
          </w:tcPr>
          <w:p>
            <w:pPr>
              <w:pStyle w:val="TableContents"/>
              <w:bidi w:val="0"/>
              <w:spacing w:before="0" w:after="283"/>
              <w:jc w:val="left"/>
              <w:rPr>
                <w:sz w:val="4"/>
                <w:szCs w:val="4"/>
              </w:rPr>
            </w:pPr>
            <w:r>
              <w:rPr>
                <w:sz w:val="4"/>
                <w:szCs w:val="4"/>
              </w:rPr>
            </w:r>
          </w:p>
        </w:tc>
        <w:tc>
          <w:tcPr>
            <w:tcW w:w="5427" w:type="dxa"/>
            <w:gridSpan w:val="17"/>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199" w:type="dxa"/>
            <w:gridSpan w:val="4"/>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199" w:type="dxa"/>
            <w:gridSpan w:val="4"/>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199" w:type="dxa"/>
            <w:gridSpan w:val="4"/>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199"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1749"/>
        <w:gridCol w:w="1465"/>
        <w:gridCol w:w="147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5"/>
      </w:tblGrid>
      <w:tr>
        <w:trPr/>
        <w:tc>
          <w:tcPr>
            <w:tcW w:w="174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earnings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restricted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 – weighted average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weighted average shares outstanding</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7409" w:type="dxa"/>
        <w:jc w:val="left"/>
        <w:tblInd w:w="0" w:type="dxa"/>
        <w:tblLayout w:type="fixed"/>
        <w:tblCellMar>
          <w:top w:w="28" w:type="dxa"/>
          <w:left w:w="28" w:type="dxa"/>
          <w:bottom w:w="28" w:type="dxa"/>
          <w:right w:w="28" w:type="dxa"/>
        </w:tblCellMar>
      </w:tblPr>
      <w:tblGrid>
        <w:gridCol w:w="821"/>
        <w:gridCol w:w="720"/>
        <w:gridCol w:w="724"/>
        <w:gridCol w:w="265"/>
        <w:gridCol w:w="265"/>
        <w:gridCol w:w="265"/>
        <w:gridCol w:w="265"/>
        <w:gridCol w:w="265"/>
        <w:gridCol w:w="265"/>
        <w:gridCol w:w="265"/>
        <w:gridCol w:w="265"/>
        <w:gridCol w:w="265"/>
        <w:gridCol w:w="109"/>
        <w:gridCol w:w="109"/>
        <w:gridCol w:w="109"/>
        <w:gridCol w:w="241"/>
        <w:gridCol w:w="241"/>
        <w:gridCol w:w="241"/>
        <w:gridCol w:w="241"/>
        <w:gridCol w:w="241"/>
        <w:gridCol w:w="241"/>
        <w:gridCol w:w="241"/>
        <w:gridCol w:w="241"/>
        <w:gridCol w:w="241"/>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the former owners and staff of our acquired funeral home and cemetery businesses have provided high quality service to families for generations, which often represents a substantial portion of the value of a business. The excess of the purchase price over the fair value of identifiable net assets of acquired funeral home and cemetery businesses is recorded as goodwill.</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changes in goodwill in the accompanying Condensed Consolidated Balance Sheets (in thousands):</w:t>
      </w:r>
      <w:r>
        <w:rPr>
          <w:color w:val="000000"/>
        </w:rPr>
        <w:t> </w:t>
      </w:r>
    </w:p>
    <w:tbl>
      <w:tblPr>
        <w:tblW w:w="6810" w:type="dxa"/>
        <w:jc w:val="left"/>
        <w:tblInd w:w="0" w:type="dxa"/>
        <w:tblLayout w:type="fixed"/>
        <w:tblCellMar>
          <w:top w:w="28" w:type="dxa"/>
          <w:left w:w="28" w:type="dxa"/>
          <w:bottom w:w="28" w:type="dxa"/>
          <w:right w:w="28" w:type="dxa"/>
        </w:tblCellMar>
      </w:tblPr>
      <w:tblGrid>
        <w:gridCol w:w="1315"/>
        <w:gridCol w:w="1156"/>
        <w:gridCol w:w="1159"/>
        <w:gridCol w:w="212"/>
        <w:gridCol w:w="833"/>
        <w:gridCol w:w="109"/>
        <w:gridCol w:w="109"/>
        <w:gridCol w:w="109"/>
        <w:gridCol w:w="109"/>
        <w:gridCol w:w="284"/>
        <w:gridCol w:w="1114"/>
        <w:gridCol w:w="147"/>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beginning of the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acquisitions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goodwill related to divestitures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end of the period</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six months ended June 30, 2026, we allocated $0.3 million of goodwill to the sale of one funeral home which was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Condensed Consolidated Statements of Operations, allocated to our funeral home segment.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six months ended June 30, 2025, we allocated $4.2 million of goodwill to the sale of two funeral homes and three cemeteries which was recorded in </w:t>
      </w:r>
      <w:r>
        <w:rPr>
          <w:rFonts w:ascii="Times New Roman;serif" w:hAnsi="Times New Roman;serif"/>
          <w:b w:val="false"/>
          <w:i/>
          <w:color w:val="000000"/>
          <w:sz w:val="20"/>
        </w:rPr>
        <w:t xml:space="preserve">Net loss (gain) on divestitures and impairment charges </w:t>
      </w:r>
      <w:r>
        <w:rPr>
          <w:rFonts w:ascii="Times New Roman;serif" w:hAnsi="Times New Roman;serif"/>
          <w:b w:val="false"/>
          <w:color w:val="000000"/>
          <w:sz w:val="20"/>
        </w:rPr>
        <w:t xml:space="preserve">on our Condensed Consolidated Statements of Operations, of which $2.6 million was allocated to our funeral home segment and $1.6 million was allocated to our cemetery segment.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implemented an executive leadership restructuring that changed the manner in which certain funeral home operations are managed and reviewed. As a result, the Company reassessed its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structure under ASC 350, Intangibles—Goodwill and Other and determined that certain reporting units within the funeral home segment no longer met the criteria to be considered separate reporting units. Accordingly, the Company combined these reporting units into a single reporting unit. This change did not affect the Company’s operating segments under ASC 280, Segment Reporting. In connection with the change in reporting unit structure, the Company performed a qualitative goodwill impairment assessment and concluded that it was not more likely than not that the fair value of the combined reporting unit was less than its carrying amount. Accordingly, no quantitative impairment test was required, and no goodwill impairment charge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RECEIVABLES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funeral receivables are recorded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erif" w:hAnsi="Times New Roman;serif"/>
          <w:b w:val="false"/>
          <w:i/>
          <w:color w:val="000000"/>
          <w:sz w:val="20"/>
        </w:rPr>
        <w:t>Accounts receivable, net</w:t>
      </w:r>
      <w:r>
        <w:rPr>
          <w:rFonts w:ascii="Times New Roman;serif" w:hAnsi="Times New Roman;serif"/>
          <w:b w:val="false"/>
          <w:color w:val="000000"/>
          <w:sz w:val="20"/>
        </w:rPr>
        <w:t xml:space="preserve">. Preneed cemetery receivables with payments expected to be received beyond one year from the balance sheet date are recorded in </w:t>
      </w:r>
      <w:r>
        <w:rPr>
          <w:rFonts w:ascii="Times New Roman;serif" w:hAnsi="Times New Roman;serif"/>
          <w:b w:val="false"/>
          <w:i/>
          <w:color w:val="000000"/>
          <w:sz w:val="20"/>
        </w:rPr>
        <w:t>Preneed cemetery receivables, net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are comprised of the following (in thousands):</w:t>
      </w:r>
    </w:p>
    <w:tbl>
      <w:tblPr>
        <w:tblW w:w="7837"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95" w:type="dxa"/>
            <w:gridSpan w:val="4"/>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7837"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95" w:type="dxa"/>
            <w:gridSpan w:val="4"/>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receivables include supplier rebates, commissions due from third-party insurance companies and perpetual care income receivables.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allowance for credit losses by portfolio segment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1189"/>
        <w:gridCol w:w="1047"/>
        <w:gridCol w:w="1049"/>
        <w:gridCol w:w="244"/>
        <w:gridCol w:w="773"/>
        <w:gridCol w:w="126"/>
        <w:gridCol w:w="109"/>
        <w:gridCol w:w="109"/>
        <w:gridCol w:w="109"/>
        <w:gridCol w:w="375"/>
        <w:gridCol w:w="945"/>
        <w:gridCol w:w="193"/>
        <w:gridCol w:w="109"/>
        <w:gridCol w:w="109"/>
        <w:gridCol w:w="109"/>
        <w:gridCol w:w="211"/>
        <w:gridCol w:w="616"/>
        <w:gridCol w:w="109"/>
        <w:gridCol w:w="109"/>
        <w:gridCol w:w="109"/>
        <w:gridCol w:w="109"/>
        <w:gridCol w:w="241"/>
        <w:gridCol w:w="550"/>
        <w:gridCol w:w="125"/>
        <w:gridCol w:w="109"/>
        <w:gridCol w:w="109"/>
        <w:gridCol w:w="109"/>
        <w:gridCol w:w="225"/>
        <w:gridCol w:w="708"/>
        <w:gridCol w:w="171"/>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trade and financed receivables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Receivables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cemetery receivables are comprised of the following (in thousands): </w:t>
      </w:r>
    </w:p>
    <w:tbl>
      <w:tblPr>
        <w:tblW w:w="5274" w:type="dxa"/>
        <w:jc w:val="center"/>
        <w:tblInd w:w="0" w:type="dxa"/>
        <w:tblLayout w:type="fixed"/>
        <w:tblCellMar>
          <w:top w:w="28" w:type="dxa"/>
          <w:left w:w="28" w:type="dxa"/>
          <w:bottom w:w="28" w:type="dxa"/>
          <w:right w:w="28" w:type="dxa"/>
        </w:tblCellMar>
      </w:tblPr>
      <w:tblGrid>
        <w:gridCol w:w="797"/>
        <w:gridCol w:w="702"/>
        <w:gridCol w:w="705"/>
        <w:gridCol w:w="212"/>
        <w:gridCol w:w="833"/>
        <w:gridCol w:w="109"/>
        <w:gridCol w:w="109"/>
        <w:gridCol w:w="109"/>
        <w:gridCol w:w="109"/>
        <w:gridCol w:w="281"/>
        <w:gridCol w:w="1103"/>
        <w:gridCol w:w="20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Interment rights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and services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finance charges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cemetery receivables are as follows (in thousands):</w:t>
      </w:r>
    </w:p>
    <w:tbl>
      <w:tblPr>
        <w:tblW w:w="8230" w:type="dxa"/>
        <w:jc w:val="left"/>
        <w:tblInd w:w="0" w:type="dxa"/>
        <w:tblLayout w:type="fixed"/>
        <w:tblCellMar>
          <w:top w:w="28" w:type="dxa"/>
          <w:left w:w="28" w:type="dxa"/>
          <w:bottom w:w="28" w:type="dxa"/>
          <w:right w:w="28" w:type="dxa"/>
        </w:tblCellMar>
      </w:tblPr>
      <w:tblGrid>
        <w:gridCol w:w="1869"/>
        <w:gridCol w:w="1644"/>
        <w:gridCol w:w="1647"/>
        <w:gridCol w:w="212"/>
        <w:gridCol w:w="833"/>
        <w:gridCol w:w="109"/>
        <w:gridCol w:w="109"/>
        <w:gridCol w:w="109"/>
        <w:gridCol w:w="109"/>
        <w:gridCol w:w="281"/>
        <w:gridCol w:w="1103"/>
        <w:gridCol w:w="20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finance charges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 at amortized cost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 and credit losses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balances due on undelivered cemetery preneed contracts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in accounts receivable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table summarizes the activity in our allowance for credit losses for </w:t>
      </w:r>
      <w:r>
        <w:rPr>
          <w:rFonts w:ascii="Times New Roman;serif" w:hAnsi="Times New Roman;serif"/>
          <w:b w:val="false"/>
          <w:i/>
          <w:color w:val="000000"/>
          <w:sz w:val="20"/>
        </w:rPr>
        <w:t>Preneed cemetery receivables, net</w:t>
      </w:r>
      <w:r>
        <w:rPr>
          <w:color w:val="000000"/>
        </w:rPr>
        <w:t xml:space="preserve"> </w:t>
      </w:r>
      <w:r>
        <w:rPr>
          <w:rFonts w:ascii="Times New Roman;serif" w:hAnsi="Times New Roman;serif"/>
          <w:b w:val="false"/>
          <w:color w:val="000000"/>
          <w:sz w:val="20"/>
        </w:rPr>
        <w:t>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1485"/>
        <w:gridCol w:w="1306"/>
        <w:gridCol w:w="1310"/>
        <w:gridCol w:w="253"/>
        <w:gridCol w:w="811"/>
        <w:gridCol w:w="131"/>
        <w:gridCol w:w="109"/>
        <w:gridCol w:w="109"/>
        <w:gridCol w:w="109"/>
        <w:gridCol w:w="368"/>
        <w:gridCol w:w="1185"/>
        <w:gridCol w:w="190"/>
        <w:gridCol w:w="109"/>
        <w:gridCol w:w="109"/>
        <w:gridCol w:w="109"/>
        <w:gridCol w:w="239"/>
        <w:gridCol w:w="473"/>
        <w:gridCol w:w="123"/>
        <w:gridCol w:w="109"/>
        <w:gridCol w:w="109"/>
        <w:gridCol w:w="109"/>
        <w:gridCol w:w="109"/>
        <w:gridCol w:w="109"/>
        <w:gridCol w:w="228"/>
        <w:gridCol w:w="729"/>
        <w:gridCol w:w="175"/>
      </w:tblGrid>
      <w:tr>
        <w:trPr/>
        <w:tc>
          <w:tcPr>
            <w:tcW w:w="148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allowance for credit losses on </w:t>
            </w:r>
            <w:r>
              <w:rPr>
                <w:rFonts w:ascii="Times New Roman;serif" w:hAnsi="Times New Roman;serif"/>
                <w:b w:val="false"/>
                <w:i/>
                <w:color w:val="000000"/>
                <w:sz w:val="20"/>
              </w:rPr>
              <w:t>Preneed cemetery receivables, net</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our cemetery receivables by year of origination as of June 30, 2026 is as follows (in thousands):</w:t>
      </w:r>
    </w:p>
    <w:tbl>
      <w:tblPr>
        <w:tblW w:w="10270" w:type="dxa"/>
        <w:jc w:val="left"/>
        <w:tblInd w:w="0" w:type="dxa"/>
        <w:tblLayout w:type="fixed"/>
        <w:tblCellMar>
          <w:top w:w="28" w:type="dxa"/>
          <w:left w:w="28" w:type="dxa"/>
          <w:bottom w:w="28" w:type="dxa"/>
          <w:right w:w="28" w:type="dxa"/>
        </w:tblCellMar>
      </w:tblPr>
      <w:tblGrid>
        <w:gridCol w:w="391"/>
        <w:gridCol w:w="344"/>
        <w:gridCol w:w="3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aging of past due cemetery receivables as of June 30, 2026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417"/>
        <w:gridCol w:w="367"/>
        <w:gridCol w:w="368"/>
        <w:gridCol w:w="216"/>
        <w:gridCol w:w="631"/>
        <w:gridCol w:w="111"/>
        <w:gridCol w:w="109"/>
        <w:gridCol w:w="109"/>
        <w:gridCol w:w="109"/>
        <w:gridCol w:w="216"/>
        <w:gridCol w:w="631"/>
        <w:gridCol w:w="111"/>
        <w:gridCol w:w="109"/>
        <w:gridCol w:w="109"/>
        <w:gridCol w:w="109"/>
        <w:gridCol w:w="222"/>
        <w:gridCol w:w="491"/>
        <w:gridCol w:w="114"/>
        <w:gridCol w:w="109"/>
        <w:gridCol w:w="109"/>
        <w:gridCol w:w="109"/>
        <w:gridCol w:w="215"/>
        <w:gridCol w:w="627"/>
        <w:gridCol w:w="111"/>
        <w:gridCol w:w="109"/>
        <w:gridCol w:w="109"/>
        <w:gridCol w:w="109"/>
        <w:gridCol w:w="213"/>
        <w:gridCol w:w="729"/>
        <w:gridCol w:w="110"/>
        <w:gridCol w:w="109"/>
        <w:gridCol w:w="109"/>
        <w:gridCol w:w="109"/>
        <w:gridCol w:w="211"/>
        <w:gridCol w:w="826"/>
        <w:gridCol w:w="109"/>
        <w:gridCol w:w="109"/>
        <w:gridCol w:w="109"/>
        <w:gridCol w:w="109"/>
        <w:gridCol w:w="211"/>
        <w:gridCol w:w="826"/>
        <w:gridCol w:w="160"/>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Credit Facility, and Senior Notes (as defined in Note 10) are classified within Level 2 of the Fair Value Measurements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carrying value and fair value of our Credit Facility was $124.0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June 30, 2026, the carrying value of our acquisition debt was $6.2 million, which approximated its fair value. The fair value of our Senior Notes was $383.1 million at June 30, 2026, based on the last traded or broker quoted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erif" w:hAnsi="Times New Roman;serif"/>
          <w:b w:val="false"/>
          <w:i/>
          <w:color w:val="000000"/>
          <w:sz w:val="20"/>
        </w:rPr>
        <w:t>Fair Value Measurement of Investments in Certain Entities That Calculate Net Asset Value per Share (or Its Equivalent)</w:t>
      </w:r>
      <w:r>
        <w:rPr>
          <w:color w:val="000000"/>
        </w:rPr>
        <w:t xml:space="preserve"> </w:t>
      </w:r>
      <w:r>
        <w:rPr>
          <w:rFonts w:ascii="Times New Roman;serif" w:hAnsi="Times New Roman;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liquidated at June 30, 2026 because the investments include restrictions that do not allow for liquidation until 2027. As of June 30, 2026, we do not have an unfunded commitment for this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we have nine investments in real estate debt and structured credit (“alternative investments”), whose fair value has been estimated using NAV and therefore, has not been classified in the fair value hierarchy. The investment strategy for these alternative investments is to create capital growth, income generation, and risk-adjusted returns. Capital growth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achieved by identifying high-potential investments that are appreciated over time. Income generation may involve dividends, rental income, or interest from various investments. Risk-adjusted returns focus on balancing potential profits with acceptable levels of risk, often through diversification and careful asset allocation. The real estate debt is approximately 41% of the total alternative investment and can be liquidated with a 40-day notice period and cannot exceed 5% of the total fund’s value. The structured credit is approximately 59% of the total alternative investment and can be liquidated with a 15-day notice period with no restrictions. As of June 30, 2026, we had approximately $29 million in unfunded commitments for these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investments in fixed income securities, common stock, and mutual funds presented within the preneed and perpetual care trust investments categories on our Condensed Consolidated Balance Sheets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receivables at cost.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three-level valuation hierarchy based upon the transparency of inputs is utilized in the measurement and valuation of financial assets or liabilities as of the measurement date:</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1—Fair value of securities based on unadjusted quoted prices for identical assets or liabilities in active markets. Our investments classified as Level 1 securities include cash, U.S. treasury debt, common stock and equity mutual funds;</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U.S. agency obligations, foreign debt, corporate debt, preferred stocks, certificates of deposit and fixed income mutual funds and other investments.</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3—Unobservable inputs based upon the reporting entity’s internally developed assumptions, which market participants would use in pricing the asset or liability. As of June 30, 2026 and 2025, we did not have any assets that had fair values determined by Level 3 inputs and no liabilities measured at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8 and 9 to our Condensed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8.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our</w:t>
      </w:r>
      <w:r>
        <w:rPr>
          <w:color w:val="000000"/>
        </w:rPr>
        <w:t xml:space="preserve"> </w:t>
      </w:r>
      <w:r>
        <w:rPr>
          <w:rFonts w:ascii="Times New Roman;serif" w:hAnsi="Times New Roman;serif"/>
          <w:b w:val="false"/>
          <w:color w:val="000000"/>
          <w:sz w:val="20"/>
        </w:rPr>
        <w:t xml:space="preserve">Condensed Consolidated Statements of Operations, when a service is performed or merchandise is delivered. Trust management fees charged by our wholly 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erif" w:hAnsi="Times New Roman;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Changes in the fair value of our trust fund assets (</w:t>
      </w:r>
      <w:r>
        <w:rPr>
          <w:rFonts w:ascii="Times New Roman;serif" w:hAnsi="Times New Roman;serif"/>
          <w:b w:val="false"/>
          <w:i/>
          <w:color w:val="000000"/>
          <w:sz w:val="20"/>
        </w:rPr>
        <w:t>Preneed funeral, cemetery and perpetual care trust investments</w:t>
      </w:r>
      <w:r>
        <w:rPr>
          <w:rFonts w:ascii="Times New Roman;serif" w:hAnsi="Times New Roman;serif"/>
          <w:b w:val="false"/>
          <w:color w:val="000000"/>
          <w:sz w:val="20"/>
        </w:rPr>
        <w:t>) are offset by changes in the fair value of our trust fund liabilities (</w:t>
      </w:r>
      <w:r>
        <w:rPr>
          <w:rFonts w:ascii="Times New Roman;serif" w:hAnsi="Times New Roman;serif"/>
          <w:b w:val="false"/>
          <w:i/>
          <w:color w:val="000000"/>
          <w:sz w:val="20"/>
        </w:rPr>
        <w:t>Deferred preneed funeral and cemetery receipts held in trust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Care trusts’ corpus</w:t>
      </w:r>
      <w:r>
        <w:rPr>
          <w:rFonts w:ascii="Times New Roman;serif" w:hAnsi="Times New Roman;serif"/>
          <w:b w:val="false"/>
          <w:color w:val="000000"/>
          <w:sz w:val="20"/>
        </w:rPr>
        <w:t xml:space="preserve">) and reflected in </w:t>
      </w:r>
      <w:r>
        <w:rPr>
          <w:rFonts w:ascii="Times New Roman;serif" w:hAnsi="Times New Roman;serif"/>
          <w:b w:val="false"/>
          <w:i/>
          <w:color w:val="000000"/>
          <w:sz w:val="20"/>
        </w:rPr>
        <w:t>Other, net</w:t>
      </w:r>
      <w:r>
        <w:rPr>
          <w:rFonts w:ascii="Times New Roman;serif" w:hAnsi="Times New Roman;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Cemetery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cemetery trust investments</w:t>
      </w:r>
      <w:r>
        <w:rPr>
          <w:color w:val="000000"/>
        </w:rPr>
        <w:t xml:space="preserve"> </w:t>
      </w:r>
      <w:r>
        <w:rPr>
          <w:rFonts w:ascii="Times New Roman;serif" w:hAnsi="Times New Roman;serif"/>
          <w:b w:val="false"/>
          <w:color w:val="000000"/>
          <w:sz w:val="20"/>
        </w:rPr>
        <w:t>on our Condensed Consolidated Balance Sheets are as follows (in thousands):</w:t>
      </w:r>
    </w:p>
    <w:tbl>
      <w:tblPr>
        <w:tblW w:w="7374" w:type="dxa"/>
        <w:jc w:val="left"/>
        <w:tblInd w:w="0" w:type="dxa"/>
        <w:tblLayout w:type="fixed"/>
        <w:tblCellMar>
          <w:top w:w="28" w:type="dxa"/>
          <w:left w:w="28" w:type="dxa"/>
          <w:bottom w:w="28" w:type="dxa"/>
          <w:right w:w="28" w:type="dxa"/>
        </w:tblCellMar>
      </w:tblPr>
      <w:tblGrid>
        <w:gridCol w:w="1558"/>
        <w:gridCol w:w="1369"/>
        <w:gridCol w:w="1377"/>
        <w:gridCol w:w="212"/>
        <w:gridCol w:w="833"/>
        <w:gridCol w:w="109"/>
        <w:gridCol w:w="109"/>
        <w:gridCol w:w="109"/>
        <w:gridCol w:w="109"/>
        <w:gridCol w:w="281"/>
        <w:gridCol w:w="1103"/>
        <w:gridCol w:w="20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 at market value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June 30, 2026, are detailed below (in thousands):</w:t>
      </w:r>
    </w:p>
    <w:tbl>
      <w:tblPr>
        <w:tblW w:w="10205" w:type="dxa"/>
        <w:jc w:val="left"/>
        <w:tblInd w:w="0" w:type="dxa"/>
        <w:tblLayout w:type="fixed"/>
        <w:tblCellMar>
          <w:top w:w="28" w:type="dxa"/>
          <w:left w:w="28" w:type="dxa"/>
          <w:bottom w:w="28" w:type="dxa"/>
          <w:right w:w="28" w:type="dxa"/>
        </w:tblCellMar>
      </w:tblPr>
      <w:tblGrid>
        <w:gridCol w:w="876"/>
        <w:gridCol w:w="677"/>
        <w:gridCol w:w="681"/>
        <w:gridCol w:w="542"/>
        <w:gridCol w:w="542"/>
        <w:gridCol w:w="543"/>
        <w:gridCol w:w="109"/>
        <w:gridCol w:w="109"/>
        <w:gridCol w:w="109"/>
        <w:gridCol w:w="211"/>
        <w:gridCol w:w="826"/>
        <w:gridCol w:w="109"/>
        <w:gridCol w:w="109"/>
        <w:gridCol w:w="109"/>
        <w:gridCol w:w="109"/>
        <w:gridCol w:w="274"/>
        <w:gridCol w:w="802"/>
        <w:gridCol w:w="142"/>
        <w:gridCol w:w="109"/>
        <w:gridCol w:w="109"/>
        <w:gridCol w:w="109"/>
        <w:gridCol w:w="268"/>
        <w:gridCol w:w="853"/>
        <w:gridCol w:w="138"/>
        <w:gridCol w:w="109"/>
        <w:gridCol w:w="109"/>
        <w:gridCol w:w="109"/>
        <w:gridCol w:w="449"/>
        <w:gridCol w:w="268"/>
        <w:gridCol w:w="696"/>
      </w:tblGrid>
      <w:tr>
        <w:trPr/>
        <w:tc>
          <w:tcPr>
            <w:tcW w:w="8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32,787</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116,947</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43,316</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29,686</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111,920</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preneed cemetery trust investments in an unrealized loss position at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cemetery trust investment security transactions recorded in </w:t>
      </w:r>
      <w:r>
        <w:rPr>
          <w:rFonts w:ascii="Times New Roman;serif" w:hAnsi="Times New Roman;serif"/>
          <w:b w:val="false"/>
          <w:i/>
          <w:color w:val="000000"/>
          <w:sz w:val="20"/>
        </w:rPr>
        <w:t xml:space="preserve">Other, net </w:t>
      </w:r>
      <w:r>
        <w:rPr>
          <w:rFonts w:ascii="Times New Roman;serif" w:hAnsi="Times New Roman;serif"/>
          <w:b w:val="false"/>
          <w:color w:val="000000"/>
          <w:sz w:val="20"/>
        </w:rPr>
        <w:t>on our Condensed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722"/>
        <w:gridCol w:w="1512"/>
        <w:gridCol w:w="1516"/>
        <w:gridCol w:w="109"/>
        <w:gridCol w:w="109"/>
        <w:gridCol w:w="109"/>
        <w:gridCol w:w="260"/>
        <w:gridCol w:w="574"/>
        <w:gridCol w:w="133"/>
        <w:gridCol w:w="133"/>
        <w:gridCol w:w="133"/>
        <w:gridCol w:w="133"/>
        <w:gridCol w:w="260"/>
        <w:gridCol w:w="574"/>
        <w:gridCol w:w="133"/>
        <w:gridCol w:w="109"/>
        <w:gridCol w:w="109"/>
        <w:gridCol w:w="109"/>
        <w:gridCol w:w="211"/>
        <w:gridCol w:w="616"/>
        <w:gridCol w:w="109"/>
        <w:gridCol w:w="109"/>
        <w:gridCol w:w="109"/>
        <w:gridCol w:w="109"/>
        <w:gridCol w:w="211"/>
        <w:gridCol w:w="616"/>
        <w:gridCol w:w="109"/>
        <w:gridCol w:w="109"/>
        <w:gridCol w:w="160"/>
      </w:tblGrid>
      <w:tr>
        <w:trPr/>
        <w:tc>
          <w:tcPr>
            <w:tcW w:w="172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cemetery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cemetery trusts are as follows (in thousands):</w:t>
      </w:r>
    </w:p>
    <w:tbl>
      <w:tblPr>
        <w:tblW w:w="7064"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69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Funeral Trust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funeral trust investments</w:t>
      </w:r>
      <w:r>
        <w:rPr>
          <w:color w:val="000000"/>
        </w:rPr>
        <w:t xml:space="preserve"> </w:t>
      </w:r>
      <w:r>
        <w:rPr>
          <w:rFonts w:ascii="Times New Roman;serif" w:hAnsi="Times New Roman;serif"/>
          <w:b w:val="false"/>
          <w:color w:val="000000"/>
          <w:sz w:val="20"/>
        </w:rPr>
        <w:t>on our Condensed Consolidated Balance Sheets are as follows (in thousands):</w:t>
      </w:r>
    </w:p>
    <w:tbl>
      <w:tblPr>
        <w:tblW w:w="7209" w:type="dxa"/>
        <w:jc w:val="left"/>
        <w:tblInd w:w="0" w:type="dxa"/>
        <w:tblLayout w:type="fixed"/>
        <w:tblCellMar>
          <w:top w:w="28" w:type="dxa"/>
          <w:left w:w="28" w:type="dxa"/>
          <w:bottom w:w="28" w:type="dxa"/>
          <w:right w:w="28" w:type="dxa"/>
        </w:tblCellMar>
      </w:tblPr>
      <w:tblGrid>
        <w:gridCol w:w="1498"/>
        <w:gridCol w:w="1317"/>
        <w:gridCol w:w="1324"/>
        <w:gridCol w:w="212"/>
        <w:gridCol w:w="833"/>
        <w:gridCol w:w="109"/>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 at market value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June 30, 2026 are detailed below (in thousands):</w:t>
      </w:r>
    </w:p>
    <w:tbl>
      <w:tblPr>
        <w:tblW w:w="10205" w:type="dxa"/>
        <w:jc w:val="left"/>
        <w:tblInd w:w="0" w:type="dxa"/>
        <w:tblLayout w:type="fixed"/>
        <w:tblCellMar>
          <w:top w:w="28" w:type="dxa"/>
          <w:left w:w="28" w:type="dxa"/>
          <w:bottom w:w="28" w:type="dxa"/>
          <w:right w:w="28" w:type="dxa"/>
        </w:tblCellMar>
      </w:tblPr>
      <w:tblGrid>
        <w:gridCol w:w="869"/>
        <w:gridCol w:w="668"/>
        <w:gridCol w:w="671"/>
        <w:gridCol w:w="536"/>
        <w:gridCol w:w="536"/>
        <w:gridCol w:w="537"/>
        <w:gridCol w:w="109"/>
        <w:gridCol w:w="109"/>
        <w:gridCol w:w="109"/>
        <w:gridCol w:w="211"/>
        <w:gridCol w:w="826"/>
        <w:gridCol w:w="109"/>
        <w:gridCol w:w="109"/>
        <w:gridCol w:w="109"/>
        <w:gridCol w:w="109"/>
        <w:gridCol w:w="273"/>
        <w:gridCol w:w="798"/>
        <w:gridCol w:w="141"/>
        <w:gridCol w:w="109"/>
        <w:gridCol w:w="109"/>
        <w:gridCol w:w="109"/>
        <w:gridCol w:w="267"/>
        <w:gridCol w:w="848"/>
        <w:gridCol w:w="137"/>
        <w:gridCol w:w="109"/>
        <w:gridCol w:w="109"/>
        <w:gridCol w:w="109"/>
        <w:gridCol w:w="413"/>
        <w:gridCol w:w="280"/>
        <w:gridCol w:w="616"/>
        <w:gridCol w:w="161"/>
      </w:tblGrid>
      <w:tr>
        <w:trPr/>
        <w:tc>
          <w:tcPr>
            <w:tcW w:w="86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320" w:type="dxa"/>
        <w:jc w:val="left"/>
        <w:tblInd w:w="0" w:type="dxa"/>
        <w:tblLayout w:type="fixed"/>
        <w:tblCellMar>
          <w:top w:w="28" w:type="dxa"/>
          <w:left w:w="28" w:type="dxa"/>
          <w:bottom w:w="28" w:type="dxa"/>
          <w:right w:w="28" w:type="dxa"/>
        </w:tblCellMar>
      </w:tblPr>
      <w:tblGrid>
        <w:gridCol w:w="892"/>
        <w:gridCol w:w="785"/>
        <w:gridCol w:w="797"/>
        <w:gridCol w:w="226"/>
        <w:gridCol w:w="46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778"/>
        <w:gridCol w:w="551"/>
        <w:gridCol w:w="553"/>
        <w:gridCol w:w="464"/>
        <w:gridCol w:w="464"/>
        <w:gridCol w:w="465"/>
        <w:gridCol w:w="109"/>
        <w:gridCol w:w="109"/>
        <w:gridCol w:w="109"/>
        <w:gridCol w:w="211"/>
        <w:gridCol w:w="826"/>
        <w:gridCol w:w="109"/>
        <w:gridCol w:w="211"/>
        <w:gridCol w:w="406"/>
        <w:gridCol w:w="109"/>
        <w:gridCol w:w="255"/>
        <w:gridCol w:w="745"/>
        <w:gridCol w:w="131"/>
        <w:gridCol w:w="211"/>
        <w:gridCol w:w="406"/>
        <w:gridCol w:w="109"/>
        <w:gridCol w:w="250"/>
        <w:gridCol w:w="784"/>
        <w:gridCol w:w="129"/>
        <w:gridCol w:w="109"/>
        <w:gridCol w:w="109"/>
        <w:gridCol w:w="109"/>
        <w:gridCol w:w="362"/>
        <w:gridCol w:w="280"/>
        <w:gridCol w:w="582"/>
        <w:gridCol w:w="160"/>
      </w:tblGrid>
      <w:tr>
        <w:trPr/>
        <w:tc>
          <w:tcPr>
            <w:tcW w:w="7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5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June 30, 2026,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rP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December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rP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funeral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Condensed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744"/>
        <w:gridCol w:w="1532"/>
        <w:gridCol w:w="1536"/>
        <w:gridCol w:w="109"/>
        <w:gridCol w:w="109"/>
        <w:gridCol w:w="109"/>
        <w:gridCol w:w="263"/>
        <w:gridCol w:w="580"/>
        <w:gridCol w:w="135"/>
        <w:gridCol w:w="135"/>
        <w:gridCol w:w="135"/>
        <w:gridCol w:w="135"/>
        <w:gridCol w:w="263"/>
        <w:gridCol w:w="580"/>
        <w:gridCol w:w="135"/>
        <w:gridCol w:w="109"/>
        <w:gridCol w:w="109"/>
        <w:gridCol w:w="109"/>
        <w:gridCol w:w="217"/>
        <w:gridCol w:w="418"/>
        <w:gridCol w:w="111"/>
        <w:gridCol w:w="111"/>
        <w:gridCol w:w="111"/>
        <w:gridCol w:w="111"/>
        <w:gridCol w:w="235"/>
        <w:gridCol w:w="452"/>
        <w:gridCol w:w="111"/>
        <w:gridCol w:w="111"/>
        <w:gridCol w:w="111"/>
        <w:gridCol w:w="111"/>
        <w:gridCol w:w="168"/>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68" w:type="dxa"/>
            <w:tcBorders/>
          </w:tcPr>
          <w:p>
            <w:pPr>
              <w:pStyle w:val="TableContents"/>
              <w:bidi w:val="0"/>
              <w:spacing w:before="0" w:after="283"/>
              <w:jc w:val="left"/>
              <w:rPr>
                <w:sz w:val="4"/>
                <w:szCs w:val="4"/>
              </w:rPr>
            </w:pPr>
            <w:r>
              <w:rPr>
                <w:sz w:val="4"/>
                <w:szCs w:val="4"/>
              </w:rPr>
            </w:r>
          </w:p>
        </w:tc>
      </w:tr>
      <w:tr>
        <w:trPr/>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funeral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funeral trusts are as follows (in thousands):</w:t>
      </w:r>
    </w:p>
    <w:tbl>
      <w:tblPr>
        <w:tblW w:w="7216"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691"/>
        <w:gridCol w:w="109"/>
        <w:gridCol w:w="109"/>
        <w:gridCol w:w="109"/>
        <w:gridCol w:w="109"/>
        <w:gridCol w:w="211"/>
        <w:gridCol w:w="796"/>
        <w:gridCol w:w="109"/>
        <w:gridCol w:w="109"/>
        <w:gridCol w:w="109"/>
        <w:gridCol w:w="109"/>
        <w:gridCol w:w="403"/>
        <w:gridCol w:w="392"/>
        <w:gridCol w:w="181"/>
        <w:gridCol w:w="181"/>
        <w:gridCol w:w="181"/>
        <w:gridCol w:w="181"/>
        <w:gridCol w:w="403"/>
        <w:gridCol w:w="392"/>
        <w:gridCol w:w="181"/>
        <w:gridCol w:w="181"/>
        <w:gridCol w:w="181"/>
        <w:gridCol w:w="181"/>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Perpetual Care Trust Investments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 xml:space="preserve">on our Condensed Consolidated Balance Sheets represent the corpus of those trusts plus undistributed income. The components of </w:t>
      </w: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are as follows (in thousands):</w:t>
      </w:r>
      <w:r>
        <w:rPr>
          <w:color w:val="000000"/>
        </w:rPr>
        <w:t> </w:t>
      </w:r>
    </w:p>
    <w:tbl>
      <w:tblPr>
        <w:tblW w:w="7917" w:type="dxa"/>
        <w:jc w:val="left"/>
        <w:tblInd w:w="0" w:type="dxa"/>
        <w:tblLayout w:type="fixed"/>
        <w:tblCellMar>
          <w:top w:w="28" w:type="dxa"/>
          <w:left w:w="28" w:type="dxa"/>
          <w:bottom w:w="28" w:type="dxa"/>
          <w:right w:w="28" w:type="dxa"/>
        </w:tblCellMar>
      </w:tblPr>
      <w:tblGrid>
        <w:gridCol w:w="1754"/>
        <w:gridCol w:w="1541"/>
        <w:gridCol w:w="1550"/>
        <w:gridCol w:w="234"/>
        <w:gridCol w:w="800"/>
        <w:gridCol w:w="121"/>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 at market value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due to (due from) trust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cost and market values associated with the trust investments held in perpetual care trust funds at June 30, 2026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721"/>
        <w:gridCol w:w="109"/>
        <w:gridCol w:w="109"/>
        <w:gridCol w:w="109"/>
        <w:gridCol w:w="109"/>
        <w:gridCol w:w="275"/>
        <w:gridCol w:w="806"/>
        <w:gridCol w:w="142"/>
        <w:gridCol w:w="109"/>
        <w:gridCol w:w="109"/>
        <w:gridCol w:w="109"/>
        <w:gridCol w:w="269"/>
        <w:gridCol w:w="857"/>
        <w:gridCol w:w="139"/>
        <w:gridCol w:w="109"/>
        <w:gridCol w:w="109"/>
        <w:gridCol w:w="109"/>
        <w:gridCol w:w="459"/>
        <w:gridCol w:w="280"/>
        <w:gridCol w:w="57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reflects the cost and market values associated with the trust investments held in perpetual care trust funds at December 31, 2025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886"/>
        <w:gridCol w:w="690"/>
        <w:gridCol w:w="693"/>
        <w:gridCol w:w="549"/>
        <w:gridCol w:w="549"/>
        <w:gridCol w:w="551"/>
        <w:gridCol w:w="109"/>
        <w:gridCol w:w="109"/>
        <w:gridCol w:w="109"/>
        <w:gridCol w:w="211"/>
        <w:gridCol w:w="721"/>
        <w:gridCol w:w="109"/>
        <w:gridCol w:w="109"/>
        <w:gridCol w:w="109"/>
        <w:gridCol w:w="109"/>
        <w:gridCol w:w="276"/>
        <w:gridCol w:w="808"/>
        <w:gridCol w:w="143"/>
        <w:gridCol w:w="109"/>
        <w:gridCol w:w="109"/>
        <w:gridCol w:w="109"/>
        <w:gridCol w:w="270"/>
        <w:gridCol w:w="860"/>
        <w:gridCol w:w="139"/>
        <w:gridCol w:w="109"/>
        <w:gridCol w:w="109"/>
        <w:gridCol w:w="109"/>
        <w:gridCol w:w="422"/>
        <w:gridCol w:w="280"/>
        <w:gridCol w:w="580"/>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5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perpetual care trust investment in an unrealized loss position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Condensed Consolidated Statements of Operations are as follows (in thousands):</w:t>
      </w:r>
    </w:p>
    <w:tbl>
      <w:tblPr>
        <w:tblW w:w="8569" w:type="dxa"/>
        <w:jc w:val="left"/>
        <w:tblInd w:w="0" w:type="dxa"/>
        <w:tblLayout w:type="fixed"/>
        <w:tblCellMar>
          <w:top w:w="28" w:type="dxa"/>
          <w:left w:w="28" w:type="dxa"/>
          <w:bottom w:w="28" w:type="dxa"/>
          <w:right w:w="28" w:type="dxa"/>
        </w:tblCellMar>
      </w:tblPr>
      <w:tblGrid>
        <w:gridCol w:w="992"/>
        <w:gridCol w:w="873"/>
        <w:gridCol w:w="880"/>
        <w:gridCol w:w="109"/>
        <w:gridCol w:w="109"/>
        <w:gridCol w:w="109"/>
        <w:gridCol w:w="253"/>
        <w:gridCol w:w="487"/>
        <w:gridCol w:w="130"/>
        <w:gridCol w:w="130"/>
        <w:gridCol w:w="130"/>
        <w:gridCol w:w="130"/>
        <w:gridCol w:w="253"/>
        <w:gridCol w:w="738"/>
        <w:gridCol w:w="130"/>
        <w:gridCol w:w="109"/>
        <w:gridCol w:w="109"/>
        <w:gridCol w:w="109"/>
        <w:gridCol w:w="211"/>
        <w:gridCol w:w="541"/>
        <w:gridCol w:w="109"/>
        <w:gridCol w:w="109"/>
        <w:gridCol w:w="109"/>
        <w:gridCol w:w="109"/>
        <w:gridCol w:w="211"/>
        <w:gridCol w:w="691"/>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care trusts’ corpus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are as follows (in thousands):</w:t>
      </w:r>
    </w:p>
    <w:tbl>
      <w:tblPr>
        <w:tblW w:w="7489" w:type="dxa"/>
        <w:jc w:val="left"/>
        <w:tblInd w:w="0" w:type="dxa"/>
        <w:tblLayout w:type="fixed"/>
        <w:tblCellMar>
          <w:top w:w="28" w:type="dxa"/>
          <w:left w:w="28" w:type="dxa"/>
          <w:bottom w:w="28" w:type="dxa"/>
          <w:right w:w="28" w:type="dxa"/>
        </w:tblCellMar>
      </w:tblPr>
      <w:tblGrid>
        <w:gridCol w:w="603"/>
        <w:gridCol w:w="530"/>
        <w:gridCol w:w="531"/>
        <w:gridCol w:w="109"/>
        <w:gridCol w:w="109"/>
        <w:gridCol w:w="109"/>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perpetual care trusts are as follows (in thousands):</w:t>
      </w:r>
    </w:p>
    <w:tbl>
      <w:tblPr>
        <w:tblW w:w="7173"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69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RECEIVABLES FROM PRENEED FUNERAL TRUSTS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6731" w:type="dxa"/>
        <w:jc w:val="left"/>
        <w:tblInd w:w="0" w:type="dxa"/>
        <w:tblLayout w:type="fixed"/>
        <w:tblCellMar>
          <w:top w:w="28" w:type="dxa"/>
          <w:left w:w="28" w:type="dxa"/>
          <w:bottom w:w="28" w:type="dxa"/>
          <w:right w:w="28" w:type="dxa"/>
        </w:tblCellMar>
      </w:tblPr>
      <w:tblGrid>
        <w:gridCol w:w="1323"/>
        <w:gridCol w:w="1165"/>
        <w:gridCol w:w="1171"/>
        <w:gridCol w:w="234"/>
        <w:gridCol w:w="800"/>
        <w:gridCol w:w="121"/>
        <w:gridCol w:w="109"/>
        <w:gridCol w:w="109"/>
        <w:gridCol w:w="109"/>
        <w:gridCol w:w="309"/>
        <w:gridCol w:w="1056"/>
        <w:gridCol w:w="225"/>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funds, at cost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summary reflects the composition of the assets held in trust and controlled by third parties to satisfy our future obligations related to the underlying preneed funeral contracts at June 30, 2026 and December 31, 2025. The cost basis includes reinvested interest and dividends that have been earned on the trust assets. Fair value includes unrealized gains and losses on trust assets.</w:t>
      </w:r>
      <w:r>
        <w:rPr>
          <w:color w:val="000000"/>
        </w:rPr>
        <w:t>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June 30, 2026,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December 31, 2025,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LONG 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debt consists of the following (in thousands):</w:t>
      </w:r>
    </w:p>
    <w:tbl>
      <w:tblPr>
        <w:tblW w:w="6600" w:type="dxa"/>
        <w:jc w:val="left"/>
        <w:tblInd w:w="0" w:type="dxa"/>
        <w:tblLayout w:type="fixed"/>
        <w:tblCellMar>
          <w:top w:w="28" w:type="dxa"/>
          <w:left w:w="28" w:type="dxa"/>
          <w:bottom w:w="28" w:type="dxa"/>
          <w:right w:w="28" w:type="dxa"/>
        </w:tblCellMar>
      </w:tblPr>
      <w:tblGrid>
        <w:gridCol w:w="1196"/>
        <w:gridCol w:w="1047"/>
        <w:gridCol w:w="1057"/>
        <w:gridCol w:w="234"/>
        <w:gridCol w:w="919"/>
        <w:gridCol w:w="121"/>
        <w:gridCol w:w="109"/>
        <w:gridCol w:w="109"/>
        <w:gridCol w:w="109"/>
        <w:gridCol w:w="284"/>
        <w:gridCol w:w="1114"/>
        <w:gridCol w:w="147"/>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debt, net of current portion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526,016 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4.25% senior notes due 2029 (the “Senior Notes”) is reflected on our Condensed Consolidated Balance Sheets as follows (in thousands): </w:t>
      </w:r>
    </w:p>
    <w:tbl>
      <w:tblPr>
        <w:tblW w:w="10155" w:type="dxa"/>
        <w:jc w:val="left"/>
        <w:tblInd w:w="0" w:type="dxa"/>
        <w:tblLayout w:type="fixed"/>
        <w:tblCellMar>
          <w:top w:w="28" w:type="dxa"/>
          <w:left w:w="28" w:type="dxa"/>
          <w:bottom w:w="28" w:type="dxa"/>
          <w:right w:w="28" w:type="dxa"/>
        </w:tblCellMar>
      </w:tblPr>
      <w:tblGrid>
        <w:gridCol w:w="2528"/>
        <w:gridCol w:w="2214"/>
        <w:gridCol w:w="2233"/>
        <w:gridCol w:w="212"/>
        <w:gridCol w:w="833"/>
        <w:gridCol w:w="109"/>
        <w:gridCol w:w="109"/>
        <w:gridCol w:w="109"/>
        <w:gridCol w:w="109"/>
        <w:gridCol w:w="284"/>
        <w:gridCol w:w="1114"/>
        <w:gridCol w:w="147"/>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discount, net of accumulated amortization of $2,702 and $2,411, respectively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$768 and $685, respectively</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the Senior Notes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fair value of the Senior Notes, which are Level 2 measurements, was $383.1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discount and debt issuance costs related to our Senior Notes are as follows (in thousands): </w:t>
      </w:r>
    </w:p>
    <w:tbl>
      <w:tblPr>
        <w:tblW w:w="10205" w:type="dxa"/>
        <w:jc w:val="left"/>
        <w:tblInd w:w="0" w:type="dxa"/>
        <w:tblLayout w:type="fixed"/>
        <w:tblCellMar>
          <w:top w:w="28" w:type="dxa"/>
          <w:left w:w="28" w:type="dxa"/>
          <w:bottom w:w="28" w:type="dxa"/>
          <w:right w:w="28" w:type="dxa"/>
        </w:tblCellMar>
      </w:tblPr>
      <w:tblGrid>
        <w:gridCol w:w="1356"/>
        <w:gridCol w:w="1144"/>
        <w:gridCol w:w="1153"/>
        <w:gridCol w:w="427"/>
        <w:gridCol w:w="254"/>
        <w:gridCol w:w="244"/>
        <w:gridCol w:w="244"/>
        <w:gridCol w:w="244"/>
        <w:gridCol w:w="244"/>
        <w:gridCol w:w="427"/>
        <w:gridCol w:w="254"/>
        <w:gridCol w:w="244"/>
        <w:gridCol w:w="109"/>
        <w:gridCol w:w="109"/>
        <w:gridCol w:w="109"/>
        <w:gridCol w:w="211"/>
        <w:gridCol w:w="616"/>
        <w:gridCol w:w="109"/>
        <w:gridCol w:w="109"/>
        <w:gridCol w:w="109"/>
        <w:gridCol w:w="109"/>
        <w:gridCol w:w="211"/>
        <w:gridCol w:w="616"/>
        <w:gridCol w:w="109"/>
        <w:gridCol w:w="109"/>
        <w:gridCol w:w="109"/>
        <w:gridCol w:w="356"/>
        <w:gridCol w:w="356"/>
        <w:gridCol w:w="514"/>
      </w:tblGrid>
      <w:tr>
        <w:trPr/>
        <w:tc>
          <w:tcPr>
            <w:tcW w:w="1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4"/>
            <w:tcBorders/>
          </w:tcPr>
          <w:p>
            <w:pPr>
              <w:pStyle w:val="TableContents"/>
              <w:bidi w:val="0"/>
              <w:spacing w:before="0" w:after="283"/>
              <w:jc w:val="left"/>
              <w:rPr>
                <w:sz w:val="4"/>
                <w:szCs w:val="4"/>
              </w:rPr>
            </w:pPr>
            <w:r>
              <w:rPr>
                <w:sz w:val="4"/>
                <w:szCs w:val="4"/>
              </w:rPr>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EE2724"/>
                <w:sz w:val="20"/>
              </w:rPr>
            </w:pPr>
            <w:r>
              <w:rPr>
                <w:rFonts w:ascii="Times New Roman;serif" w:hAnsi="Times New Roman;serif"/>
                <w:b/>
                <w:color w:val="EE2724"/>
                <w:sz w:val="20"/>
              </w:rPr>
              <w:t>Filter Handle</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interest expense</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discount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65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issuance costs</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debt discount and the debt issuance costs are being amortized using the effective interest method over the remaining term of approximately 35 months of the Senior Notes. The effective interest rates on the unamortized debt discount and the unamortized debt issuance costs for the Senior Notes for both the three and six months ended June 30, 2026 and 2025 were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Facility are unconditionally guaranteed on a joint and several basis by the same subsidiaries which guarantee the Senior Notes (as defined in Senior Notes above)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June 30, 2026,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June 30, 2026.</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Credit Facility and acquisition debt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554"/>
        <w:gridCol w:w="2240"/>
        <w:gridCol w:w="2245"/>
        <w:gridCol w:w="211"/>
        <w:gridCol w:w="832"/>
        <w:gridCol w:w="109"/>
        <w:gridCol w:w="109"/>
        <w:gridCol w:w="109"/>
        <w:gridCol w:w="109"/>
        <w:gridCol w:w="281"/>
        <w:gridCol w:w="1103"/>
        <w:gridCol w:w="145"/>
        <w:gridCol w:w="158"/>
      </w:tblGrid>
      <w:tr>
        <w:trPr/>
        <w:tc>
          <w:tcPr>
            <w:tcW w:w="2554"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$3,477 and $3,300, respectively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had outstanding borrowings under the Credit Facility of $124.0 million. We also had one letter of credit for $2.2 million under the Credit Facility. The letter of credit will expire on November 25, 2026, and is expected to automatically renew annually and secures our obligations under our various self-insured policies. At June 30, 2026, we had $123.8 million of availability under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borrowings under our Credit Facility bear interest at a prime rate or the SOFR rate, plus an applicable margin based on our leverage ratio. At June 30, 2026, the prime rate margin was equivalent to 1.125% and the SOFR term margin was 2.225%. The weighted average interest rate on our Credit Facility was 6.0% and 6.8% for the three months ended June 30, 2026 and 2025, respectively. The weighted average interest rate on our Credit Facility was 5.9% and 6.9% for the three months ended June 30, 2026 and 2025,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issuance costs related to our Credit Facility are as follows (in thousands): </w:t>
      </w:r>
    </w:p>
    <w:tbl>
      <w:tblPr>
        <w:tblW w:w="9683" w:type="dxa"/>
        <w:jc w:val="left"/>
        <w:tblInd w:w="0" w:type="dxa"/>
        <w:tblLayout w:type="fixed"/>
        <w:tblCellMar>
          <w:top w:w="28" w:type="dxa"/>
          <w:left w:w="28" w:type="dxa"/>
          <w:bottom w:w="28" w:type="dxa"/>
          <w:right w:w="28" w:type="dxa"/>
        </w:tblCellMar>
      </w:tblPr>
      <w:tblGrid>
        <w:gridCol w:w="1516"/>
        <w:gridCol w:w="1329"/>
        <w:gridCol w:w="1340"/>
        <w:gridCol w:w="427"/>
        <w:gridCol w:w="265"/>
        <w:gridCol w:w="265"/>
        <w:gridCol w:w="265"/>
        <w:gridCol w:w="265"/>
        <w:gridCol w:w="265"/>
        <w:gridCol w:w="427"/>
        <w:gridCol w:w="265"/>
        <w:gridCol w:w="265"/>
        <w:gridCol w:w="109"/>
        <w:gridCol w:w="109"/>
        <w:gridCol w:w="109"/>
        <w:gridCol w:w="211"/>
        <w:gridCol w:w="616"/>
        <w:gridCol w:w="109"/>
        <w:gridCol w:w="109"/>
        <w:gridCol w:w="109"/>
        <w:gridCol w:w="109"/>
        <w:gridCol w:w="211"/>
        <w:gridCol w:w="616"/>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interest expense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amortization of debt issuance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Acquisition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8.5%. Original maturities typically range from nine to twenty years.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imputed interest expense related to our acquisition debt is as follows (in thousands): </w:t>
      </w:r>
    </w:p>
    <w:tbl>
      <w:tblPr>
        <w:tblW w:w="8693" w:type="dxa"/>
        <w:jc w:val="left"/>
        <w:tblInd w:w="0" w:type="dxa"/>
        <w:tblLayout w:type="fixed"/>
        <w:tblCellMar>
          <w:top w:w="28" w:type="dxa"/>
          <w:left w:w="28" w:type="dxa"/>
          <w:bottom w:w="28" w:type="dxa"/>
          <w:right w:w="28" w:type="dxa"/>
        </w:tblCellMar>
      </w:tblPr>
      <w:tblGrid>
        <w:gridCol w:w="1286"/>
        <w:gridCol w:w="1131"/>
        <w:gridCol w:w="1138"/>
        <w:gridCol w:w="280"/>
        <w:gridCol w:w="619"/>
        <w:gridCol w:w="144"/>
        <w:gridCol w:w="144"/>
        <w:gridCol w:w="144"/>
        <w:gridCol w:w="144"/>
        <w:gridCol w:w="280"/>
        <w:gridCol w:w="480"/>
        <w:gridCol w:w="144"/>
        <w:gridCol w:w="109"/>
        <w:gridCol w:w="109"/>
        <w:gridCol w:w="109"/>
        <w:gridCol w:w="241"/>
        <w:gridCol w:w="241"/>
        <w:gridCol w:w="241"/>
        <w:gridCol w:w="241"/>
        <w:gridCol w:w="241"/>
        <w:gridCol w:w="241"/>
        <w:gridCol w:w="241"/>
        <w:gridCol w:w="241"/>
        <w:gridCol w:w="241"/>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709" w:type="dxa"/>
            <w:gridSpan w:val="8"/>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imputed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11.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27, 2026, we acquired a business consisting of one funeral home for approximately $4.5 million. We acquired substantially all of the assets and assumed certain operating liabilities of this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preliminary purchase price allocation for the business described above (in thousands):</w:t>
      </w:r>
    </w:p>
    <w:tbl>
      <w:tblPr>
        <w:tblW w:w="6967"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654"/>
        <w:gridCol w:w="1909"/>
        <w:gridCol w:w="481"/>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Preliminary Purchase Price Allocation</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accounting is preliminary as we have not finalized our assessment of the fair value because there has been insufficient time between the acquisition date and the issuance of these financial statements to complete our review and the final determination of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 that contributed to the recognition of goodwill include the expansion of our footprint in strategic markets.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this acquisition on prior periods is not presented, as the impact is not significant to our reported results. The results of the acquired business is reflected in our Condensed Consolidated Statements of Operations from the date of acquisition.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9, 2025, we acquired a business consisting of six funeral homes, one cemetery, and one cremation focused business in the Orlando, FL area for approximately $49.0 million. The purchase price consisted of $47.0 million in cash at closing and $2.0 million of deferred purchase price payments. The net present value of such future deferred purchase price payments was $1.3 million. We acquired substantially all of the assets and assumed certain operating liabilities of these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17, 2025, we acquired a business consisting of two funeral homes in the Pensacola, FL area for $9.5 million in cash. We acquired substantially all of the assets and assumed certain operating liabilities of this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acquisitions that contributed to the recognition of goodwill include enhancement of our footprint in strategic markets and the addition of deferred revenue that will enhance our long-term stability.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these acquisitions on prior periods is not presented, as the impact is not significant to our reported results. The results of the acquired businesses are reflected in our Condensed Consolidated Statements of Operations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preliminary purchase price allocation for the businesses described above (in thousands):</w:t>
      </w:r>
    </w:p>
    <w:tbl>
      <w:tblPr>
        <w:tblW w:w="6967"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591"/>
        <w:gridCol w:w="2022"/>
        <w:gridCol w:w="431"/>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Preliminary Purchase Price Allocation</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allocation was updated for immaterial measurement-period adjustments; no other material changes to the acquisition accounting were identified. The purchase accounting is preliminary as we have not finalized our assessment of the fair value because there has been insufficient time between the acquisition date and the issuance of these financial statements to complete our review and the final determination of fair value. We are also currently reviewing the allocation of goodwill between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STATEMENT ON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related to the ATM Program, potential future sales thereunder, and the expected uses of proceeds thereof, including our ability to meet the expectations, timing and plans, if at all, related to the ATM Program;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execution of our Standards Operating Model and strategic acquisition frameworks;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of our ATM Program, if at all, including the planned use of proceeds and the potentially dilutive effects to our shareholders of issuances of shares under the ATM Program;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our ability to meet the projected financial and performance guidance of our updated full year outlook, if at all;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timely and full payment of death benefits related to preneed funeral contracts funded through life insurance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federal income tax laws and regulations and the implementation and interpretation of these laws and regulations by the Internal Revenue Service, including changes and potential impacts, if any, resulting from the recently enacted One Big Beautiful Bill Act;</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impact of epidemics and pandemics,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government, social, business and other actions that have been and will be taken in response to pandemics and epidemics,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identify and consummate strategic acquisitions on commercially reasonable terms and on a timely basis, if at all, and successfully integrate acquired businesses with our existing businesses, including expected performance and financial improvements related thereto;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successfully complete any non-core asset divestitures on commercially reasonable terms and on a timely basis, if at all, and the impact of any such divestitures on our Company, including any financial, operational, tax or other similar impacts related thereto;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military conflicts, acts of war or terrorists acts and the governmental or military response to such acts or conflicts;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business segments: Funeral Home Operations, which currently accounts for approximately 66% of our total revenue and Cemetery Operations, which currently accounts for approximately 34% of our total revenue. At June 30, 2026,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DEVELOPMENTS</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6, 2026, the Company announced it had entered into an Equity Distribution Agreement with Oppenheimer &amp; Co. Inc. and Raymond James &amp; Associates, Inc., as sales agents (together, the “Sales Agents”), with respect to an at-the-market equity offering program (the “ATM Program”) under which the Company may offer and sell, from time to time, shares of its common stock having an aggregate offering price of up to $100.0 million (“Shares”) through or to the Sales Agents, as sales agents and/or principals. To date, we have not sold any Shares under our ATM Program.</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Board of Directors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12, 2026, upon the recommendation of the Corporate Governance Committee of the Company, the Board of Directors (the “Board”) unanimously elected Douglas Meehan to serve as the Chair of the Compensation Committee, effective on that date. Mr. Meehan has been a director of the Company since 2018. He succeeds Somer Webb, who continues to serve on the Board and as a member of the Audit, Compensation, and Corporate Governance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Macroeconomic and Inflationary Factors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macroeconomic, geopolitical, and certain policy factors and their potential impact, if any, on our business. During the first half of 2026, consumer discretionary spending has reflected mixed trends, with higher-income consumers appearing more resilient and moderate-income consumers exhibiting more cautious behavior, which could result in an overall reduction in consumer spending and demand for products and services. These trends continue to be influenced by moderating, but still elevated, inflation, evolving tariff and trade policies, geopolitical developments, and volatility in energy prices. Although certain indicators suggest that inflation has moderated, these factors continue to create uncertainty regarding future cost trends and broader economic conditions. Inflation and other macroeconomic conditions may negatively impact consumer discretionary spending, including the amount consumers are able to spend on our services. To date, these conditions have not materially impacted our business, and our industry has historically demonstrated resilience during similar adverse economic and market environments.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and capital resources are internally generated cash flows from operating activities and availability under our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 For additional details related to our debt and lease obligations, including our Credit Facility, Acquisition Debt and Senior Notes, refer to Notes 10 to our unaudited Condensed Consolidated Financial Statements contained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2026, our plan is to remain focused on executing our growth strategy and other strategic objectives. This includes prioritizing our capital allocation for potential strategic growth acquisitions, capital expenditures, debt repayments, the payment of dividends, and other general corporate purposes as allowed under our Credit Facility. We expect to fund these payments using cash on hand and borrowings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potential growth acquisitions, and dividends for the next 12 months, as well as our long-term financial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our capital allocations and expenditures or acquisition plans change, we may need to access the capital markets, including, for example, through our ATM Program,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began 2026 with $1.7 million in cash and ended the quarter with $2.6 million in cash. As of June 30, 2026, we had borrowings of $124.0 million outstanding on our Credit Facility compared to $126.7 million as of December 31, 2025.</w:t>
        <w:br/>
        <w:br/>
        <w:t xml:space="preserve">The following table sets forth the elements of cash flow (in thousands): </w:t>
      </w:r>
    </w:p>
    <w:tbl>
      <w:tblPr>
        <w:tblW w:w="9380" w:type="dxa"/>
        <w:jc w:val="left"/>
        <w:tblInd w:w="0" w:type="dxa"/>
        <w:tblLayout w:type="fixed"/>
        <w:tblCellMar>
          <w:top w:w="28" w:type="dxa"/>
          <w:left w:w="28" w:type="dxa"/>
          <w:bottom w:w="28" w:type="dxa"/>
          <w:right w:w="28" w:type="dxa"/>
        </w:tblCellMar>
      </w:tblPr>
      <w:tblGrid>
        <w:gridCol w:w="2466"/>
        <w:gridCol w:w="2166"/>
        <w:gridCol w:w="2177"/>
        <w:gridCol w:w="211"/>
        <w:gridCol w:w="616"/>
        <w:gridCol w:w="109"/>
        <w:gridCol w:w="109"/>
        <w:gridCol w:w="109"/>
        <w:gridCol w:w="109"/>
        <w:gridCol w:w="211"/>
        <w:gridCol w:w="616"/>
        <w:gridCol w:w="109"/>
        <w:gridCol w:w="109"/>
        <w:gridCol w:w="109"/>
        <w:gridCol w:w="154"/>
      </w:tblGrid>
      <w:tr>
        <w:trP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and sale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our credit facility, acquisition debt, and finance lease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employee equity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cash provided by operating activities was $22.5 million compared to $21.9 million for the six months ended June 30, 2025. The growth was primarily driven by improvements in working capital.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investing activities resulted in net cash outflows of $13.4 million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six months ended June 30, 2026, compared to net cash inflows of $12.8 million for the six months ended June 30, 2025, a decrease of $26.2 million, primarily as a result of the activity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Acquisition and Divestiture Activity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acquired one funeral home for $4.5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sold one funeral home for an aggregate of $0.3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two funeral homes and three cemeteries for an aggregate of $15.8 million. Additionally, we sold real property for $3.0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capital expenditures (comprised of growth and maintenance spend) totaled $9.2 million compared to $6.0 million for the six months ended June 30, 2025, an increase of $3.2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capital expenditures (in thousands): </w:t>
      </w:r>
    </w:p>
    <w:tbl>
      <w:tblPr>
        <w:tblW w:w="4712" w:type="dxa"/>
        <w:jc w:val="center"/>
        <w:tblInd w:w="0" w:type="dxa"/>
        <w:tblLayout w:type="fixed"/>
        <w:tblCellMar>
          <w:top w:w="28" w:type="dxa"/>
          <w:left w:w="28" w:type="dxa"/>
          <w:bottom w:w="28" w:type="dxa"/>
          <w:right w:w="28" w:type="dxa"/>
        </w:tblCellMar>
      </w:tblPr>
      <w:tblGrid>
        <w:gridCol w:w="814"/>
        <w:gridCol w:w="713"/>
        <w:gridCol w:w="723"/>
        <w:gridCol w:w="211"/>
        <w:gridCol w:w="616"/>
        <w:gridCol w:w="109"/>
        <w:gridCol w:w="109"/>
        <w:gridCol w:w="109"/>
        <w:gridCol w:w="109"/>
        <w:gridCol w:w="211"/>
        <w:gridCol w:w="616"/>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financing activities resulted in a net cash outflow of $8.2 million for the six months ended June 30, 2026, compared to a net cash outflow of $34.5 million for the six months ended June 30, 2025, a decrease of $26.3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net payments on our Credit Facility, acquisition debt, and finance leases of $3.0 million, net payments on our employee equity plans of $1.7 million, and paid dividends of $3.6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had net payments on our Credit Facility, acquisition debt, and finance leases of $24.3 million, net payments on our employee equity plans of $6.6 million, and paid dividends of $3.5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475"/>
        <w:gridCol w:w="1252"/>
        <w:gridCol w:w="1260"/>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84"/>
        <w:gridCol w:w="288"/>
        <w:gridCol w:w="517"/>
        <w:gridCol w:w="109"/>
        <w:gridCol w:w="109"/>
        <w:gridCol w:w="109"/>
        <w:gridCol w:w="109"/>
        <w:gridCol w:w="109"/>
        <w:gridCol w:w="109"/>
        <w:gridCol w:w="109"/>
        <w:gridCol w:w="157"/>
      </w:tblGrid>
      <w:tr>
        <w:trPr/>
        <w:tc>
          <w:tcPr>
            <w:tcW w:w="147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insurance contracts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(property)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production (M&amp;S and 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increased $0.8 million, compared to the three months ended June 30, 2025, primarily due to an increase in acquisition and financial revenue that was partially offset by a decline in divested and comparable revenue. In our Funeral segment, we experienced a 4.7% increase in the average revenue per funeral contract, and a 21.1% increase in preneed insurance contracts sold; partially offset by a 4.0% decrease in funeral contract volume. In our Cemetery segment, we experienced a 5.0% increase in preneed sales production and a 17.3% increase in the average price per interment right (property) sold; partially offset by a 14.0% decrease in the number of preneed interment rights (property) sold.</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decreased $0.9 million compared to the three months ended June 30, 2025, primarily due to an increase in depreciation and amortization.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June 30, 2026 increased $0.5 million, compared to the three months ended June 30, 2025, primarily due to a $0.9 million decrease in general and administrative expenses, a $0.4 million decrease in interest expense, and a $0.2 million decrease in income tax expense; partially offset by a $0.9 million decrease in gross profit contribution from our businesses.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370"/>
        <w:gridCol w:w="1140"/>
        <w:gridCol w:w="1147"/>
        <w:gridCol w:w="109"/>
        <w:gridCol w:w="109"/>
        <w:gridCol w:w="124"/>
        <w:gridCol w:w="124"/>
        <w:gridCol w:w="124"/>
        <w:gridCol w:w="124"/>
        <w:gridCol w:w="124"/>
        <w:gridCol w:w="124"/>
        <w:gridCol w:w="242"/>
        <w:gridCol w:w="947"/>
        <w:gridCol w:w="124"/>
        <w:gridCol w:w="109"/>
        <w:gridCol w:w="109"/>
        <w:gridCol w:w="109"/>
        <w:gridCol w:w="211"/>
        <w:gridCol w:w="826"/>
        <w:gridCol w:w="109"/>
        <w:gridCol w:w="109"/>
        <w:gridCol w:w="109"/>
        <w:gridCol w:w="109"/>
        <w:gridCol w:w="211"/>
        <w:gridCol w:w="673"/>
        <w:gridCol w:w="109"/>
        <w:gridCol w:w="109"/>
        <w:gridCol w:w="109"/>
        <w:gridCol w:w="109"/>
        <w:gridCol w:w="281"/>
        <w:gridCol w:w="286"/>
        <w:gridCol w:w="586"/>
      </w:tblGrid>
      <w:tr>
        <w:trPr/>
        <w:tc>
          <w:tcPr>
            <w:tcW w:w="137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4273" w:type="dxa"/>
            <w:gridSpan w:val="18"/>
            <w:tcBorders/>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Change</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insurance contracts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(property)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production (M&amp;S and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six months ended June 30, 2026 decreased $0.1 million compared to the six months ended June 30, 2025, primarily due to a decrease in divested and comparable revenue offset by growth in acquisition and financial revenue. In our Funeral segment we experienced a 6.0% decrease in funeral contract volume which was partially offset by a 3.8% increase in the average revenue per funeral contract, and a 14.9% increase in preneed insurance contracts sold. In our Cemetery segment, we experienced an 8.9% decrease in the number of preneed interment rights (property) sold partially offset a 14.1% increase in the average price per interment right sold.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for the six months ended June 30, 2026 decreased $0.1 million, compared to the six months ended June 30, 2025, primarily due to the decline in revenue described above partially offset by effective cost management.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for the six months ended June 30, 2026 decreased $6.9 million, compared to the six months ended June 30, 2025, primarily due to a prior year net gain on divestitures, impairment charges, and sale of real property of $7.7 million; partially offset by a $0.8 million decrease in interest expense and a $0.7 million decrease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REPORTING AND NON-GAAP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present our financial performance in our “Condensed Operating and Financial Trend Report” (“Trend Report”) as reported in our earnings release for the three months ended June 30, 2026, dated August 5, 2026, and discussed in the corresponding earnings conference call. This Trend Report is used as a supplemental financial statement by management and investors to compare our current financial performance with our previous results and with the performance of other companies. Additionally, management employs segment gross profit for product pricing evaluation and uses segment adjusted operating profit to assess each segment’s performance by comparing results. We do not intend for this information to be considered in isolation or as a substitute for other measures of performance prepared in accordance with GAAP. The Trend Report is a non-GAAP statement that also provides insight into underlying trends in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gross profit (a GAAP financial measure) to adjusted operating profit (a non-GAAP financial measure) (in thousands):</w:t>
      </w:r>
    </w:p>
    <w:tbl>
      <w:tblPr>
        <w:tblW w:w="10036" w:type="dxa"/>
        <w:jc w:val="left"/>
        <w:tblInd w:w="0" w:type="dxa"/>
        <w:tblLayout w:type="fixed"/>
        <w:tblCellMar>
          <w:top w:w="28" w:type="dxa"/>
          <w:left w:w="28" w:type="dxa"/>
          <w:bottom w:w="28" w:type="dxa"/>
          <w:right w:w="28" w:type="dxa"/>
        </w:tblCellMar>
      </w:tblPr>
      <w:tblGrid>
        <w:gridCol w:w="1599"/>
        <w:gridCol w:w="1396"/>
        <w:gridCol w:w="14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is defined as gross profit plus cemetery property amortization, field depreciation expense, and regional and unallocated funeral and cemetery costs.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reported in two business segments: Funeral Home and Cemetery. Below is a breakdown of adjusted operating profit (a non-GAAP financial measure) by segment (in thousands):</w:t>
      </w:r>
    </w:p>
    <w:tbl>
      <w:tblPr>
        <w:tblW w:w="8591" w:type="dxa"/>
        <w:jc w:val="left"/>
        <w:tblInd w:w="0" w:type="dxa"/>
        <w:tblLayout w:type="fixed"/>
        <w:tblCellMar>
          <w:top w:w="28" w:type="dxa"/>
          <w:left w:w="28" w:type="dxa"/>
          <w:bottom w:w="28" w:type="dxa"/>
          <w:right w:w="28" w:type="dxa"/>
        </w:tblCellMar>
      </w:tblPr>
      <w:tblGrid>
        <w:gridCol w:w="1068"/>
        <w:gridCol w:w="939"/>
        <w:gridCol w:w="948"/>
        <w:gridCol w:w="500"/>
        <w:gridCol w:w="265"/>
        <w:gridCol w:w="265"/>
        <w:gridCol w:w="265"/>
        <w:gridCol w:w="265"/>
        <w:gridCol w:w="265"/>
        <w:gridCol w:w="500"/>
        <w:gridCol w:w="265"/>
        <w:gridCol w:w="265"/>
        <w:gridCol w:w="109"/>
        <w:gridCol w:w="109"/>
        <w:gridCol w:w="109"/>
        <w:gridCol w:w="211"/>
        <w:gridCol w:w="721"/>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 margin</w:t>
            </w:r>
            <w:r>
              <w:rPr>
                <w:rFonts w:ascii="Times New Roman;serif" w:hAnsi="Times New Roman;serif"/>
                <w:b w:val="false"/>
                <w:color w:val="000000"/>
                <w:sz w:val="13"/>
              </w:rPr>
              <w:t>(1)</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r>
    </w:tbl>
    <w:tbl>
      <w:tblPr>
        <w:tblW w:w="7467" w:type="dxa"/>
        <w:jc w:val="center"/>
        <w:tblInd w:w="0" w:type="dxa"/>
        <w:tblLayout w:type="fixed"/>
        <w:tblCellMar>
          <w:top w:w="28" w:type="dxa"/>
          <w:left w:w="28" w:type="dxa"/>
          <w:bottom w:w="28" w:type="dxa"/>
          <w:right w:w="28" w:type="dxa"/>
        </w:tblCellMar>
      </w:tblPr>
      <w:tblGrid>
        <w:gridCol w:w="124"/>
        <w:gridCol w:w="109"/>
        <w:gridCol w:w="109"/>
        <w:gridCol w:w="574"/>
        <w:gridCol w:w="574"/>
        <w:gridCol w:w="574"/>
        <w:gridCol w:w="574"/>
        <w:gridCol w:w="574"/>
        <w:gridCol w:w="574"/>
        <w:gridCol w:w="574"/>
        <w:gridCol w:w="574"/>
        <w:gridCol w:w="574"/>
        <w:gridCol w:w="574"/>
        <w:gridCol w:w="574"/>
        <w:gridCol w:w="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12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margin is defined as adjusted operating profit as a percentage of revenue.</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adjusted operating profit for our funeral home and cemetery segments is presented under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three and six months ended June 30, 2026 and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 “comparable” in the funeral home and cemetery segments refers to all funeral homes and cemeteries that we owned for the entire period beginning January 1, 2025 and ending June 30, 2026.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“acquired” refers to the funeral homes and cemeteries acquired as discussed in Note 11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“divested” refers to the funeral homes and cemeteries sold and/or merged as discussed in Note 1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1576"/>
        <w:gridCol w:w="1392"/>
        <w:gridCol w:w="1400"/>
        <w:gridCol w:w="244"/>
        <w:gridCol w:w="712"/>
        <w:gridCol w:w="126"/>
        <w:gridCol w:w="126"/>
        <w:gridCol w:w="126"/>
        <w:gridCol w:w="126"/>
        <w:gridCol w:w="244"/>
        <w:gridCol w:w="712"/>
        <w:gridCol w:w="126"/>
        <w:gridCol w:w="126"/>
        <w:gridCol w:w="126"/>
        <w:gridCol w:w="126"/>
        <w:gridCol w:w="244"/>
        <w:gridCol w:w="780"/>
        <w:gridCol w:w="126"/>
        <w:gridCol w:w="126"/>
        <w:gridCol w:w="126"/>
        <w:gridCol w:w="126"/>
        <w:gridCol w:w="355"/>
        <w:gridCol w:w="357"/>
        <w:gridCol w:w="677"/>
      </w:tblGrid>
      <w:tr>
        <w:trPr/>
        <w:tc>
          <w:tcPr>
            <w:tcW w:w="157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metrics from comparable operations over the comparative period:</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comparable revenue decreased $1.4 million for the three months ended June 30, 2026, compared to the three months ended June 30, 2025. The decline in comparable revenue is primarily driven by a 3.5% decrease in comparable contract volume, which is partially offset by a 1.1% increase in the average revenue per contract excluding preneed funeral trust earnings. Average revenue per contract, including trust earnings, increased by 3.7%, primarily reflecting higher preneed interest recognized on fulfilled funeral and service and merchandise contracts.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comparable adjusted operating profit for the three months ended June 30, 2026 decreased $1.3 million when compared to the same period in 2025. The decrease was primarily driven by an increase in operating expenses as a percentage of revenue, resulting in a 130 basis points decline in comparable adjusted operating profit margin to 36.5%. The increase in operating expenses was primarily attributable to higher salaries and benefits, together with higher general and administrative expenses, and promotional expenses.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Ancillary revenue decreased $0.1 million, while ancillary adjusted operating profit increased $0.1 million for the three months ended June 30, 2026, compared to the three months ended June 30, 2025. The decrease in ancillary revenue is primarily attributable to lower activity in our online cremation businesses. Despite the decline in revenue, ancillary adjusted operating profit improved due to lower operating expenses.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and other adjusted operating profit, which consists of preneed funeral insurance commissions and earnings from delivered preneed funeral trust and insurance contracts, increased $1.8 million each, for the three months ended June 30, 2026, compared to the same period in 2025. This increase was primarily driven by higher funeral trust income and growth in general agency commission income earned on the sale of preneed insurance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1719"/>
        <w:gridCol w:w="1511"/>
        <w:gridCol w:w="1520"/>
        <w:gridCol w:w="211"/>
        <w:gridCol w:w="826"/>
        <w:gridCol w:w="109"/>
        <w:gridCol w:w="109"/>
        <w:gridCol w:w="109"/>
        <w:gridCol w:w="109"/>
        <w:gridCol w:w="211"/>
        <w:gridCol w:w="826"/>
        <w:gridCol w:w="109"/>
        <w:gridCol w:w="109"/>
        <w:gridCol w:w="109"/>
        <w:gridCol w:w="109"/>
        <w:gridCol w:w="211"/>
        <w:gridCol w:w="665"/>
        <w:gridCol w:w="109"/>
        <w:gridCol w:w="109"/>
        <w:gridCol w:w="109"/>
        <w:gridCol w:w="109"/>
        <w:gridCol w:w="307"/>
        <w:gridCol w:w="309"/>
        <w:gridCol w:w="581"/>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operating metrics over the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comparable revenue decreased $4.1 million for the six months ended June 30, 2026, compared to the six months ended June 30, 2025. The decline in comparable revenue was primarily driven by a 4.7% decrease in comparable contract volume as well as a 1.4% increase in the average revenue per contract excluding preneed interest. The decline in contract volume primarily reflects a more normalized mortality environment compared to recent years, contributing to lower funeral case volumes across our comparable funeral homes.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Funeral home comparable adjusted operating profit for the six months ended June 30, 2026, decreased $3.8 million when compared to the same period in 2025. The decrease was primarily driven by an increase in operating expenses as a percentage of revenue, resulting in 180 basis points decline in comparable adjusted operating profit margin to 39.1%. The increase in operating expenses primarily reflects higher salaries and benefits, general and administrative expenses, promotional expenses, and facilities and grounds expenses.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Ancillary revenue decreased $0.2 million, while ancillary adjusted operating profit increased $0.1 million for the six months ended June 30, 2026, compared to the six months ended June 30, 2025. The decrease in ancillary revenue is primarily due to a decline in our online cremation business. Despite the decline in revenue, ancillary adjusted operating profit increased due to lower operating expenses.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and other adjusted operating profit, which consists of preneed funeral insurance commissions and earnings from delivered preneed funeral trust and insurance contracts, increased $2.5 million and $2.9 million, respectively, for the six months ended June 30, 2026, compared to the six months ended June 30, 2025. This increase was primarily driven by higher funeral trust income and growth in general agency commission income earned on the sale of preneed insurance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Cemetery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032" w:type="dxa"/>
        <w:jc w:val="left"/>
        <w:tblInd w:w="0" w:type="dxa"/>
        <w:tblLayout w:type="fixed"/>
        <w:tblCellMar>
          <w:top w:w="28" w:type="dxa"/>
          <w:left w:w="28" w:type="dxa"/>
          <w:bottom w:w="28" w:type="dxa"/>
          <w:right w:w="28" w:type="dxa"/>
        </w:tblCellMar>
      </w:tblPr>
      <w:tblGrid>
        <w:gridCol w:w="1608"/>
        <w:gridCol w:w="1419"/>
        <w:gridCol w:w="1428"/>
        <w:gridCol w:w="226"/>
        <w:gridCol w:w="775"/>
        <w:gridCol w:w="117"/>
        <w:gridCol w:w="117"/>
        <w:gridCol w:w="117"/>
        <w:gridCol w:w="117"/>
        <w:gridCol w:w="226"/>
        <w:gridCol w:w="775"/>
        <w:gridCol w:w="117"/>
        <w:gridCol w:w="117"/>
        <w:gridCol w:w="117"/>
        <w:gridCol w:w="117"/>
        <w:gridCol w:w="426"/>
        <w:gridCol w:w="287"/>
        <w:gridCol w:w="293"/>
        <w:gridCol w:w="117"/>
        <w:gridCol w:w="117"/>
        <w:gridCol w:w="117"/>
        <w:gridCol w:w="329"/>
        <w:gridCol w:w="332"/>
        <w:gridCol w:w="621"/>
      </w:tblGrid>
      <w:tr>
        <w:trPr/>
        <w:tc>
          <w:tcPr>
            <w:tcW w:w="160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2"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comparable metrics over this comparative period:</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comparable revenue decreased $0.1 million for the three months ended June 30, 2026, compared to the three months ended June 30, 2025. The decrease was primarily driven by a 17.0% decrease in the number of preneed interment rights (property) sold, which was partially offset by a 17.9% increase in the average price per interment right sold. Cemetery comparable atneed revenue, which represents approximately 27.9% of our total operating revenue, decreased $0.6 million for the three months ended June 30, 2026, compared to the same period in 2025, primarily due to a 6.1% decline in atneed recognized merchandise and service revenue and a 6.9% decrease in recognized atneed property revenue.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comparable adjusted operating profit decreased $0.2 million for the three months ended June 30, 2026, compared to the three months ended June 30, 2025. The decrease was primarily driven by a 0.4% increase in operating expense with the largest contributor in salaries and benefits, which increased 1.6% relative to recognized revenue. As a result, comparable operating profit margin decreased 50 basis points to 44.5%. </w:t>
      </w:r>
    </w:p>
    <w:p>
      <w:pPr>
        <w:pStyle w:val="TextBody"/>
        <w:bidi w:val="0"/>
        <w:spacing w:lineRule="auto" w:line="288" w:before="0" w:after="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 xml:space="preserve">and other adjusted operating profit decreased $0.6 million and $0.7 million, respectively for the three months ended June 30, 2026, compared to the three months ended June 30, 2025. The decline is primarily attributable to lower perpetual care trust fund earnings, while the greater decrease in adjusted operating profit reflects the timing of certain operating expenses recognized between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1645"/>
        <w:gridCol w:w="1446"/>
        <w:gridCol w:w="14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30"/>
        <w:gridCol w:w="331"/>
        <w:gridCol w:w="517"/>
        <w:gridCol w:w="109"/>
        <w:gridCol w:w="109"/>
        <w:gridCol w:w="109"/>
        <w:gridCol w:w="156"/>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operating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comparable revenue increased $1.5 million for the six months ended June 30, 2026, compared to the six months ended June 30, 2025. The increase was primarily driven by a 16.5% increase in the average price per preneed interment right sold, partially offset by a 12.7% decline in the number of preneed interment rights sold. Cemetery atneed revenue, which represents approximately 29.2% of our total operating revenue, decreased $0.5 million for the six months ended June 30, 2026, compared to the same period of the prior year, primarily due to a 6.8% decline in atneed property sold across our cemetery portfolio.</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comparable adjusted operating profit increased $1.2 million for the six months ended June 30, 2026, compared to the six months ended June 30, 2025. The increase was driven by a 0.9% decrease in operating expenses as a percentage of operating revenue, primarily reflecting lower promotional expenses and facilities and grounds insurance costs as a percentage of revenue. As a result, comparable operating profit margin increased 90 basis points to 44.0%. </w:t>
      </w:r>
    </w:p>
    <w:p>
      <w:pPr>
        <w:pStyle w:val="TextBody"/>
        <w:bidi w:val="0"/>
        <w:spacing w:lineRule="auto" w:line="288" w:before="0" w:after="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 xml:space="preserve">and other adjusted operating profit, which consist of preneed cemetery trust revenue and preneed cemetery finance charges, decreased $0.4 million and $0.5 million, respectively, for the six months ended June 30, 2026, compared to the six months ended June 30, 2025. The decline is primarily attributable to lower perpetual care trust fund earnings, while the greater decrease in adjusted operating profit reflects the timing of certain operating expenses recognized between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pPr>
      <w:r>
        <w:rPr>
          <w:rFonts w:ascii="Times New Roman;serif" w:hAnsi="Times New Roman;serif"/>
          <w:b w:val="false"/>
          <w:i/>
          <w:color w:val="000000"/>
          <w:sz w:val="20"/>
        </w:rPr>
        <w:t>Cemetery property amortization.</w:t>
      </w:r>
      <w:r>
        <w:rPr>
          <w:color w:val="000000"/>
        </w:rPr>
        <w:t xml:space="preserve"> </w:t>
      </w:r>
      <w:r>
        <w:rPr>
          <w:rFonts w:ascii="Times New Roman;serif" w:hAnsi="Times New Roman;serif"/>
          <w:b w:val="false"/>
          <w:color w:val="000000"/>
          <w:sz w:val="20"/>
        </w:rPr>
        <w:t>Cemetery property amortization totaled $3.1 million and $5.1 million for the three and six months ended June 30, 2026, respectively, an increase of $0.9 million and $1.1 million compared to the three and six months ended June 30, 2025, respectively. The increases were primarily driven by a higher mix of mausoleum property sales, which carry significantly higher associated property costs than traditional cemetery property sales.</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Field depreciation.</w:t>
      </w:r>
      <w:r>
        <w:rPr>
          <w:color w:val="000000"/>
        </w:rPr>
        <w:t xml:space="preserve"> </w:t>
      </w:r>
      <w:r>
        <w:rPr>
          <w:rFonts w:ascii="Times New Roman;serif" w:hAnsi="Times New Roman;serif"/>
          <w:b w:val="false"/>
          <w:color w:val="000000"/>
          <w:sz w:val="20"/>
        </w:rPr>
        <w:t>Depreciation expense for our field businesses totaled $3.4 million and $6.8 million for the three and six months ended June 30, 2026, respectively, an increase of $0.1 million and $0.2 million compared to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Regional and unallocated funeral and cemetery costs.</w:t>
      </w:r>
      <w:r>
        <w:rPr>
          <w:color w:val="000000"/>
        </w:rPr>
        <w:t xml:space="preserve"> </w:t>
      </w:r>
      <w:r>
        <w:rPr>
          <w:rFonts w:ascii="Times New Roman;serif" w:hAnsi="Times New Roman;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$3.7 million and $3.3 million, respectively, for the three months ended June 30, 2026, compared to the three months ended June 30, 2025, an increase of $0.4 million, primarily driven by an increase in salaries and benefits. For the six months ended June 30, 2026, Regional and unallocated funeral and cemetery costs were $8.0 million and $8.5 million, respectively, compared to the six months ended June 30, 2025, a decrease of $0.5 million, primarily driven by a decrease in leadership and development expenses offset by increases in salaries and benefits and transportation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pP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General, administrative, and other expenses, which include salaries and benefits and cash and equity incentive compensation for our Houston support office, totaled $11.0 million for the three months ended June 30, 2026, a decrease of $0.9 million compared to the same period in 2025, primarily driven by lower incentive compensation coupled with an increased focus on cost management across all aspects of our business. For the six months ended June 30, 2026, general, administrative, and other expenses totaled $24.1 million, an increase of $0.1 million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(gain)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9266" w:type="dxa"/>
        <w:jc w:val="left"/>
        <w:tblInd w:w="0" w:type="dxa"/>
        <w:tblLayout w:type="fixed"/>
        <w:tblCellMar>
          <w:top w:w="28" w:type="dxa"/>
          <w:left w:w="28" w:type="dxa"/>
          <w:bottom w:w="28" w:type="dxa"/>
          <w:right w:w="28" w:type="dxa"/>
        </w:tblCellMar>
      </w:tblPr>
      <w:tblGrid>
        <w:gridCol w:w="1381"/>
        <w:gridCol w:w="1211"/>
        <w:gridCol w:w="1218"/>
        <w:gridCol w:w="424"/>
        <w:gridCol w:w="219"/>
        <w:gridCol w:w="219"/>
        <w:gridCol w:w="219"/>
        <w:gridCol w:w="219"/>
        <w:gridCol w:w="219"/>
        <w:gridCol w:w="424"/>
        <w:gridCol w:w="219"/>
        <w:gridCol w:w="219"/>
        <w:gridCol w:w="109"/>
        <w:gridCol w:w="109"/>
        <w:gridCol w:w="109"/>
        <w:gridCol w:w="387"/>
        <w:gridCol w:w="210"/>
        <w:gridCol w:w="211"/>
        <w:gridCol w:w="200"/>
        <w:gridCol w:w="200"/>
        <w:gridCol w:w="200"/>
        <w:gridCol w:w="387"/>
        <w:gridCol w:w="343"/>
        <w:gridCol w:w="347"/>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divestitures</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disposals of fixed assets</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sold one funeral home for a loss of $47.0 thousand. We also recognized an impairment of $0.1 million and $0.3 million during the three and six months ended June 30, 2026,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two funeral homes and three cemeteries for a gain of $5.9 million. We also recognized an impairment of $0.1 million on land held for sale during the six months ended June 30, 2025.</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related to its respective debt arrangement is as follows (in thousands):</w:t>
      </w:r>
    </w:p>
    <w:tbl>
      <w:tblPr>
        <w:tblW w:w="7205" w:type="dxa"/>
        <w:jc w:val="center"/>
        <w:tblInd w:w="0" w:type="dxa"/>
        <w:tblLayout w:type="fixed"/>
        <w:tblCellMar>
          <w:top w:w="28" w:type="dxa"/>
          <w:left w:w="28" w:type="dxa"/>
          <w:bottom w:w="28" w:type="dxa"/>
          <w:right w:w="28" w:type="dxa"/>
        </w:tblCellMar>
      </w:tblPr>
      <w:tblGrid>
        <w:gridCol w:w="538"/>
        <w:gridCol w:w="471"/>
        <w:gridCol w:w="475"/>
        <w:gridCol w:w="424"/>
        <w:gridCol w:w="285"/>
        <w:gridCol w:w="286"/>
        <w:gridCol w:w="219"/>
        <w:gridCol w:w="219"/>
        <w:gridCol w:w="219"/>
        <w:gridCol w:w="424"/>
        <w:gridCol w:w="285"/>
        <w:gridCol w:w="286"/>
        <w:gridCol w:w="109"/>
        <w:gridCol w:w="109"/>
        <w:gridCol w:w="109"/>
        <w:gridCol w:w="381"/>
        <w:gridCol w:w="337"/>
        <w:gridCol w:w="339"/>
        <w:gridCol w:w="196"/>
        <w:gridCol w:w="196"/>
        <w:gridCol w:w="196"/>
        <w:gridCol w:w="381"/>
        <w:gridCol w:w="298"/>
        <w:gridCol w:w="423"/>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w:t>
            </w:r>
          </w:p>
        </w:tc>
      </w:tr>
    </w:tbl>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Other, net. </w:t>
      </w:r>
      <w:r>
        <w:rPr>
          <w:rFonts w:ascii="Times New Roman;serif" w:hAnsi="Times New Roman;serif"/>
          <w:b w:val="false"/>
          <w:color w:val="000000"/>
          <w:sz w:val="20"/>
        </w:rPr>
        <w:t>During the six months ended June 30, 2025, we recorded a $2.0 million gain on the sale of other real property not used in business operations. We did not record any gain or loss activity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Income tax expense including discrete items totaled $4.9 million for the three months ended June 30, 2026, a decrease of $0.2 million compared to the three months ended June 30, 2025. Our effective tax was 28.5% and 30.4% for the three months ended June 30, 2026, respectively, primarily related to a decrease in non-deductible officer compensation.</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 expense including discrete items totaled $9.8 million for the six months ended June 30, 2026, a decrease of $0.7 million compared to the six months ended June 30, 2025. Our effective tax rate was 27.5% and 24.2% for the six months ended June 30, 2026 and 2025, respectively, primarily related to a decrease in excess tax benefits recognized on the settlement of employee share-based awards and non-deductible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Condensed Consolidated Financial Statements. Our critical accounting policies are more fully described in Part II, Item 8 “Financial Statements and Supplementary Data” in Note 1 in our Annual Report on Form 10-K for the year ended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Part II, Item 7(a), “Quantitative and Qualitative Disclosures About Market Risk,” in our 2025 Annual Report on Form 10-K. Our exposure to market risk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June 30, 2026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Denning v. Carriage Services, Inc., et al</w:t>
      </w:r>
      <w:r>
        <w:rPr>
          <w:rFonts w:ascii="Times New Roman;serif" w:hAnsi="Times New Roman;serif"/>
          <w:b w:val="false"/>
          <w:color w:val="000000"/>
          <w:sz w:val="20"/>
        </w:rPr>
        <w:t>., Superior Court of California, Ventura County, Case No. 2024 CU OE 028098. On July 29, 2024, a wage and 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June 30, 2026, we are unable to reasonably estimate the possible loss or ranges of loss, if any. The prospective class has not been certified by a court of competent jurisdiction and the Company intends to vigorously defend itself in all respects.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Frost v. Rolling Hills Memorial Park</w:t>
      </w:r>
      <w:r>
        <w:rPr>
          <w:rFonts w:ascii="Times New Roman;serif" w:hAnsi="Times New Roman;serif"/>
          <w:b w:val="false"/>
          <w:color w:val="000000"/>
          <w:sz w:val="20"/>
        </w:rPr>
        <w:t>, Superior Court of California, Contra Costa County, Case No. C24-02653. On October 4, 2024, a consumer class action was filed against the Company’s subsidiary, Rolling Hills Memorial Park. Plaintiff, an owner of an interment right and purchaser of merchandise and services from Rolling Hills Memorial Park, seeks monetary damages on behalf of herself and other similarly situated current and former consumers and owners of interment rights as the putative class for the alleged failure to properly set cemetery merchandise and maintain the perpetual care cemetery. As of June 30, 2026, we are unable to reasonably estimate the possible loss or ranges of loss, if any. The prospective class has not been certified by a court of competent jurisdiction and the Company intends to vigorously defend itself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supplementing the risk factors set out under Part I, Item 1A “Risk Factors” in our Annual Report on Form 10-K for the year ended December 31, 2025, with the updated risk factor set out below. Readers should carefully consider the risk factors discussed in Part I, Item 1A “Risk Factors” in our Annual Report on Form 10-K for the year ended December 31, 2025, which could materially affect our business, financial condition or future results. The risks described in our Annual Report on Form 10-K for the year ended December 31, 2025,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Stockholders may experience future dilution as a result of future equity offerings and issuances.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future, we may offer additional shares of our common stock or other securities convertible into or exchangeable for our common stock, including under our ATM Program, and our then-existing stockholders may experience dilution as a result. The price per share at which we sell additional shares of our common stock, or securities convertible or exchangeable into common stock, in future transactions may be higher or lower than the price per share paid by our then current stockholders. Investors purchasing shares or other securities in the future could also have rights superior to existing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repurchases of our common stock during the quarter ended June 30, 2026.</w:t>
      </w:r>
    </w:p>
    <w:tbl>
      <w:tblPr>
        <w:tblW w:w="10205" w:type="dxa"/>
        <w:jc w:val="center"/>
        <w:tblInd w:w="0" w:type="dxa"/>
        <w:tblLayout w:type="fixed"/>
        <w:tblCellMar>
          <w:top w:w="28" w:type="dxa"/>
          <w:left w:w="28" w:type="dxa"/>
          <w:bottom w:w="28" w:type="dxa"/>
          <w:right w:w="28" w:type="dxa"/>
        </w:tblCellMar>
      </w:tblPr>
      <w:tblGrid>
        <w:gridCol w:w="509"/>
        <w:gridCol w:w="419"/>
        <w:gridCol w:w="425"/>
        <w:gridCol w:w="109"/>
        <w:gridCol w:w="109"/>
        <w:gridCol w:w="109"/>
        <w:gridCol w:w="474"/>
        <w:gridCol w:w="474"/>
        <w:gridCol w:w="476"/>
        <w:gridCol w:w="109"/>
        <w:gridCol w:w="109"/>
        <w:gridCol w:w="109"/>
        <w:gridCol w:w="388"/>
        <w:gridCol w:w="388"/>
        <w:gridCol w:w="389"/>
        <w:gridCol w:w="109"/>
        <w:gridCol w:w="109"/>
        <w:gridCol w:w="109"/>
        <w:gridCol w:w="774"/>
        <w:gridCol w:w="774"/>
        <w:gridCol w:w="776"/>
        <w:gridCol w:w="109"/>
        <w:gridCol w:w="109"/>
        <w:gridCol w:w="109"/>
        <w:gridCol w:w="383"/>
        <w:gridCol w:w="1963"/>
        <w:gridCol w:w="285"/>
      </w:tblGrid>
      <w:tr>
        <w:trPr/>
        <w:tc>
          <w:tcPr>
            <w:tcW w:w="5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Dollar Value of Shares That May Yet Be Purchased Under the Program </w:t>
            </w:r>
            <w:r>
              <w:rPr>
                <w:rFonts w:ascii="Times New Roman;serif" w:hAnsi="Times New Roman;serif"/>
                <w:b/>
                <w:color w:val="000000"/>
                <w:sz w:val="12"/>
              </w:rPr>
              <w:t>(1)</w:t>
            </w:r>
          </w:p>
        </w:tc>
      </w:tr>
      <w:tr>
        <w:trPr/>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quarter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080"/>
        <w:jc w:val="left"/>
        <w:rPr/>
      </w:pPr>
      <w:r>
        <w:rPr>
          <w:rFonts w:ascii="Times New Roman;serif" w:hAnsi="Times New Roman;serif"/>
          <w:b/>
          <w:color w:val="000000"/>
          <w:sz w:val="20"/>
        </w:rPr>
        <w:t>Item 3.Defaults Upon Senior Securities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Rule 10b5-1 and Non-Rule 10b5-1 Trading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18, 2026, Steven D. Metzger, President and Chief Operating Officer, entered into a stock trading plan designed to comply with Rule 10b5-1 (as defined in Item 408 of Regulation S-K under the Exchange Act) and satisfy the affirmative defense of Rule 10b5-1(c), which is scheduled to expire no later than May 18, 2027 (“Mr. Metzger’s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Metzger’s Plan provides for sales of Company securities as part of his long-term asset diversification, tax, estate and financial planning strategy, and is in accordance with the Company’s Insider Trading &amp; Anti-Hedging Policy. Mr. Metzger’s Plan provides for the potential aggregate exercise of 110,090 vested stock options granted to Mr. Metzger on February 17, 2021, February 22, 2023, and February 21, 2024, which will expire on February 17, 2031, February 22, 2033, and February 21, 2034, respectively, upon reaching certain pricing targets defined in the trading plan, and the associated sale of the resulting net shares on the open market, not to exceed exercising 10,000 shares each trading day, beginning on August 17, 2026, and continuing through May 18, 2027. The actual number of shares sold under Mr. Metzger’s Plan will depend on the number of shares withheld by the Company to satisfy the option exercise price and income tax withholding obligations. Any transactions under Mr. Metzger’s Plan will be disclosed publicly through Form 144 and Form 4 filings with the SEC to the extent required by applicable law.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19, 2026, Carlos R. Quezada, our Chief Executive Officer and Vice Chairman of the Board, entered into a stock trading plan designed to comply with Rule 10b5-1 and intended to satisfy the affirmative defense of defense of Rule 10b5-1(c), which is scheduled to expire no later than May 19, 2027 (“Mr. Quezada’s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Quezada’s Plan provides for sales of Company securities as part of his long-term asset diversification, tax, estate and financial planning strategy, and is in accordance with the Company’s Insider Trading &amp; Anti-Hedging Policy. Mr. Quezada’s Plan provides for the potential aggregate exercise of 146,413 vested stock options granted to Mr. Quezada on June 25, 2020, February 17, 2021, February 22, 2023, and February 21, 2024, which will expire on June 25, 2030, February 17, 2031, February 22, 2033, and February 21, 2034, respectively, upon reaching certain pricing targets defined in the trading plan, and the associated sale of the resulting net shares on the open market, not to exceed exercising 11,580 shares each trading day, beginning on August 18, 2026, and continuing through May 19, 2027. The actual number of shares sold under Mr. Quezada’s Plan will depend on the number of shares withheld by the Company to satisfy the option exercise price and income tax withholding obligations. Any transactions under Mr. Quezada’s Plan will be disclosed publicly through Form 144 and Form 4 filings with the SEC to the extent required by applicable law.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Mr. Metzger’s Plan and Mr. Quezada’s Plan, no director or officer (as determined in Rule 16a-1(f) of the Securities Exchange Act of 1934, as amended) of the Company adopted or terminated any Rule 10b5-1 trading arrangements or non-Rule 10b5-1 trading arrangements as such term is defined in Item 408(a) of Regulation S-K during the fiscal quarter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28"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471"/>
        <w:gridCol w:w="1471"/>
        <w:gridCol w:w="2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346"/>
        <w:gridCol w:w="304"/>
        <w:gridCol w:w="306"/>
        <w:gridCol w:w="109"/>
        <w:gridCol w:w="109"/>
        <w:gridCol w:w="109"/>
        <w:gridCol w:w="2655"/>
        <w:gridCol w:w="2580"/>
        <w:gridCol w:w="3687"/>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dated May 7, 2002. Incorporated by reference to Exhibit 3.1 to the Company’s Quarterly Report on Form 10-Q for its fiscal quarter ended June 30, 2002, filed on August 13,2002.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Equity Distribution Agreement dated May 6, 2026 by and among Carriage Services, Inc., Oppenheimer &amp; Co. Inc. and Raymond James &amp; Associates. Incorporated by reference to Exhibit 10.1 to the Company’s Current Report on Form 8-K filed on May 6, 2026.</w:t>
              </w:r>
            </w:hyperlink>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2"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2"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2"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2"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1.htm">
              <w:r>
                <w:rPr>
                  <w:rStyle w:val="InternetLink"/>
                  <w:rFonts w:ascii="Times New Roman;serif" w:hAnsi="Times New Roman;serif"/>
                  <w:b w:val="false"/>
                  <w:color w:val="0000FF"/>
                  <w:sz w:val="20"/>
                  <w:u w:val="single"/>
                </w:rPr>
                <w:t>Certification of Periodic Financial Reports by Carlos R. Quezada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2.htm">
              <w:r>
                <w:rPr>
                  <w:rStyle w:val="InternetLink"/>
                  <w:rFonts w:ascii="Times New Roman;serif" w:hAnsi="Times New Roman;serif"/>
                  <w:b w:val="false"/>
                  <w:color w:val="0000FF"/>
                  <w:sz w:val="20"/>
                  <w:u w:val="single"/>
                </w:rPr>
                <w:t>Certification of Periodic Financial Reports by John Enwright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2.htm">
              <w:r>
                <w:rPr>
                  <w:rStyle w:val="InternetLink"/>
                  <w:rFonts w:ascii="Times New Roman;serif" w:hAnsi="Times New Roman;serif"/>
                  <w:b w:val="false"/>
                  <w:color w:val="0000FF"/>
                  <w:sz w:val="20"/>
                  <w:u w:val="single"/>
                </w:rPr>
                <w:t>Certification of Periodic Financial Reports by Carlos R. Quezada and John Enwright in satisfaction of Section 906 of the Sarbanes-Oxley Act of 2002 and 18 U.S.C. Section 1350.</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XBRL tags are embedded within the Inline XBRL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Documents.</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Carlos R. Quezada,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061"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John Enwright,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315"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458"/>
        <w:gridCol w:w="1458"/>
        <w:gridCol w:w="20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and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Carriage Services, Inc. (the “Company”), as filed with the Securities and Exchange Commission on the date hereof (the “Report”), Carlos R. Quezada, Chief Executive Officer of the Company, and John Enwright, Senior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jc w:val="left"/>
        <w:rPr/>
      </w:pPr>
      <w:r>
        <w:rPr/>
      </w:r>
    </w:p>
    <w:tbl>
      <w:tblPr>
        <w:tblW w:w="7315"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454"/>
        <w:gridCol w:w="1454"/>
        <w:gridCol w:w="207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hyperlink" Target="https://www.sec.gov/ix?doc=/Archives/edgar/data/0001016281/000110465926056265/tm2612484d4_8k.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21462</Words>
  <Characters>118191</Characters>
  <CharactersWithSpaces>137388</CharactersWithSpaces>
  <Paragraphs>3984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