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214630</wp:posOffset>
            </wp:positionH>
            <wp:positionV relativeFrom="page">
              <wp:posOffset>648970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673735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3"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28"/>
          <w:szCs w:val="28"/>
          <w:b w:val="1"/>
          <w:bCs w:val="1"/>
          <w:color w:val="auto"/>
        </w:rPr>
        <w:t>FORM10-Q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2"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8" w:lineRule="exact"/>
        <w:rPr>
          <w:sz w:val="24"/>
          <w:szCs w:val="24"/>
          <w:color w:val="auto"/>
        </w:rPr>
      </w:pPr>
    </w:p>
    <w:p>
      <w:pPr>
        <w:ind w:left="420" w:hanging="415"/>
        <w:spacing w:after="0"/>
        <w:tabs>
          <w:tab w:leader="none" w:pos="4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____________</w:t>
      </w:r>
    </w:p>
    <w:p>
      <w:pPr>
        <w:spacing w:after="0" w:line="207" w:lineRule="exact"/>
        <w:rPr>
          <w:sz w:val="24"/>
          <w:szCs w:val="24"/>
          <w:color w:val="auto"/>
        </w:rPr>
      </w:pPr>
    </w:p>
    <w:tbl>
      <w:tblPr>
        <w:tblLayout w:type="fixed"/>
        <w:tblInd w:w="2340" w:type="dxa"/>
        <w:tblCellMar>
          <w:top w:w="0" w:type="dxa"/>
          <w:left w:w="0" w:type="dxa"/>
          <w:bottom w:w="0" w:type="dxa"/>
          <w:right w:w="0" w:type="dxa"/>
        </w:tblCellMar>
      </w:tblPr>
      <w:tr>
        <w:trPr>
          <w:trHeight w:val="260"/>
        </w:trPr>
        <w:tc>
          <w:tcPr>
            <w:tcW w:w="41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9"/>
                <w:szCs w:val="19"/>
                <w:b w:val="1"/>
                <w:bCs w:val="1"/>
                <w:color w:val="auto"/>
              </w:rPr>
              <w:t>Commission File Number:</w:t>
            </w:r>
          </w:p>
        </w:tc>
        <w:tc>
          <w:tcPr>
            <w:tcW w:w="2440" w:type="dxa"/>
            <w:vAlign w:val="bottom"/>
            <w:tcBorders>
              <w:bottom w:val="single" w:sz="8" w:color="auto"/>
            </w:tcBorders>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1-11961</w:t>
            </w:r>
          </w:p>
        </w:tc>
      </w:tr>
    </w:tbl>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CARRIAGE SERVICES,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76200</wp:posOffset>
            </wp:positionV>
            <wp:extent cx="2782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83"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3820" w:type="dxa"/>
            <w:vAlign w:val="bottom"/>
            <w:gridSpan w:val="2"/>
          </w:tcPr>
          <w:p>
            <w:pPr>
              <w:jc w:val="center"/>
              <w:ind w:left="170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98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6"/>
              </w:rPr>
              <w:t>76-0423828</w:t>
            </w:r>
          </w:p>
        </w:tc>
      </w:tr>
      <w:tr>
        <w:trPr>
          <w:trHeight w:val="145"/>
        </w:trPr>
        <w:tc>
          <w:tcPr>
            <w:tcW w:w="3820" w:type="dxa"/>
            <w:vAlign w:val="bottom"/>
            <w:gridSpan w:val="2"/>
          </w:tcPr>
          <w:p>
            <w:pPr>
              <w:jc w:val="center"/>
              <w:ind w:left="1707"/>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jc w:val="center"/>
              <w:ind w:right="219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3820" w:type="dxa"/>
            <w:vAlign w:val="bottom"/>
            <w:gridSpan w:val="2"/>
          </w:tcPr>
          <w:p>
            <w:pPr>
              <w:jc w:val="center"/>
              <w:ind w:left="170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tcPr>
          <w:p>
            <w:pPr>
              <w:jc w:val="center"/>
              <w:ind w:right="219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85"/>
        </w:trPr>
        <w:tc>
          <w:tcPr>
            <w:tcW w:w="3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left="82"/>
              <w:spacing w:after="0"/>
              <w:rPr>
                <w:sz w:val="20"/>
                <w:szCs w:val="20"/>
                <w:color w:val="auto"/>
              </w:rPr>
            </w:pPr>
            <w:r>
              <w:rPr>
                <w:rFonts w:ascii="Times New Roman" w:cs="Times New Roman" w:eastAsia="Times New Roman" w:hAnsi="Times New Roman"/>
                <w:sz w:val="18"/>
                <w:szCs w:val="18"/>
                <w:b w:val="1"/>
                <w:bCs w:val="1"/>
                <w:color w:val="auto"/>
                <w:w w:val="97"/>
              </w:rPr>
              <w:t>3040 Post Oak Boulevard, Suite 300</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6"/>
        </w:trPr>
        <w:tc>
          <w:tcPr>
            <w:tcW w:w="3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40" w:type="dxa"/>
            <w:vAlign w:val="bottom"/>
            <w:gridSpan w:val="2"/>
          </w:tcPr>
          <w:p>
            <w:pPr>
              <w:jc w:val="center"/>
              <w:ind w:left="82"/>
              <w:spacing w:after="0"/>
              <w:rPr>
                <w:sz w:val="20"/>
                <w:szCs w:val="20"/>
                <w:color w:val="auto"/>
              </w:rPr>
            </w:pPr>
            <w:r>
              <w:rPr>
                <w:rFonts w:ascii="Times New Roman" w:cs="Times New Roman" w:eastAsia="Times New Roman" w:hAnsi="Times New Roman"/>
                <w:sz w:val="18"/>
                <w:szCs w:val="18"/>
                <w:b w:val="1"/>
                <w:bCs w:val="1"/>
                <w:color w:val="auto"/>
                <w:w w:val="97"/>
              </w:rPr>
              <w:t>Houston, Texas, 77056</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75"/>
        </w:trPr>
        <w:tc>
          <w:tcPr>
            <w:tcW w:w="3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4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6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06"/>
        </w:trPr>
        <w:tc>
          <w:tcPr>
            <w:tcW w:w="3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40" w:type="dxa"/>
            <w:vAlign w:val="bottom"/>
            <w:gridSpan w:val="2"/>
          </w:tcPr>
          <w:p>
            <w:pPr>
              <w:jc w:val="center"/>
              <w:ind w:left="102"/>
              <w:spacing w:after="0"/>
              <w:rPr>
                <w:sz w:val="20"/>
                <w:szCs w:val="20"/>
                <w:color w:val="auto"/>
              </w:rPr>
            </w:pPr>
            <w:r>
              <w:rPr>
                <w:rFonts w:ascii="Times New Roman" w:cs="Times New Roman" w:eastAsia="Times New Roman" w:hAnsi="Times New Roman"/>
                <w:sz w:val="18"/>
                <w:szCs w:val="18"/>
                <w:b w:val="1"/>
                <w:bCs w:val="1"/>
                <w:color w:val="auto"/>
                <w:w w:val="97"/>
              </w:rPr>
              <w:t>(713) 332-8400</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85"/>
        </w:trPr>
        <w:tc>
          <w:tcPr>
            <w:tcW w:w="3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116"/>
        </w:trPr>
        <w:tc>
          <w:tcPr>
            <w:tcW w:w="34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r>
      <w:tr>
        <w:trPr>
          <w:trHeight w:val="35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4"/>
        </w:trPr>
        <w:tc>
          <w:tcPr>
            <w:tcW w:w="3820" w:type="dxa"/>
            <w:vAlign w:val="bottom"/>
            <w:tcBorders>
              <w:bottom w:val="single" w:sz="8" w:color="auto"/>
            </w:tcBorders>
            <w:gridSpan w:val="2"/>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gridSpan w:val="2"/>
          </w:tcPr>
          <w:p>
            <w:pPr>
              <w:spacing w:after="0"/>
              <w:rPr>
                <w:sz w:val="23"/>
                <w:szCs w:val="23"/>
                <w:color w:val="auto"/>
              </w:rPr>
            </w:pPr>
          </w:p>
        </w:tc>
      </w:tr>
      <w:tr>
        <w:trPr>
          <w:trHeight w:val="184"/>
        </w:trPr>
        <w:tc>
          <w:tcPr>
            <w:tcW w:w="3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Trading Symbol</w:t>
            </w:r>
          </w:p>
        </w:tc>
        <w:tc>
          <w:tcPr>
            <w:tcW w:w="132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gridSpan w:val="2"/>
          </w:tcPr>
          <w:p>
            <w:pPr>
              <w:jc w:val="center"/>
              <w:ind w:right="129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1"/>
        </w:trPr>
        <w:tc>
          <w:tcPr>
            <w:tcW w:w="3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CSV</w:t>
            </w:r>
          </w:p>
        </w:tc>
        <w:tc>
          <w:tcPr>
            <w:tcW w:w="1320" w:type="dxa"/>
            <w:vAlign w:val="bottom"/>
            <w:tcBorders>
              <w:bottom w:val="single" w:sz="8" w:color="auto"/>
            </w:tcBorders>
          </w:tcPr>
          <w:p>
            <w:pPr>
              <w:spacing w:after="0"/>
              <w:rPr>
                <w:sz w:val="16"/>
                <w:szCs w:val="16"/>
                <w:color w:val="auto"/>
              </w:rPr>
            </w:pPr>
          </w:p>
        </w:tc>
        <w:tc>
          <w:tcPr>
            <w:tcW w:w="3980" w:type="dxa"/>
            <w:vAlign w:val="bottom"/>
            <w:tcBorders>
              <w:bottom w:val="single" w:sz="8" w:color="auto"/>
              <w:right w:val="single" w:sz="8" w:color="auto"/>
            </w:tcBorders>
            <w:gridSpan w:val="2"/>
          </w:tcPr>
          <w:p>
            <w:pPr>
              <w:jc w:val="center"/>
              <w:ind w:right="1290"/>
              <w:spacing w:after="0"/>
              <w:rPr>
                <w:sz w:val="20"/>
                <w:szCs w:val="20"/>
                <w:color w:val="auto"/>
              </w:rPr>
            </w:pPr>
            <w:r>
              <w:rPr>
                <w:rFonts w:ascii="Times New Roman" w:cs="Times New Roman" w:eastAsia="Times New Roman" w:hAnsi="Times New Roman"/>
                <w:sz w:val="14"/>
                <w:szCs w:val="14"/>
                <w:color w:val="auto"/>
                <w:w w:val="98"/>
              </w:rPr>
              <w:t>New York Stock Exchange</w:t>
            </w:r>
          </w:p>
        </w:tc>
      </w:tr>
    </w:tbl>
    <w:p>
      <w:pPr>
        <w:spacing w:after="0" w:line="109"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spacing w:after="0" w:line="198"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w:t>
      </w:r>
      <w:r>
        <w:rPr>
          <w:rFonts w:ascii="Times New Roman" w:cs="Times New Roman" w:eastAsia="Times New Roman" w:hAnsi="Times New Roman"/>
          <w:sz w:val="17"/>
          <w:szCs w:val="17"/>
          <w:color w:val="211D1E"/>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1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140" w:type="dxa"/>
            <w:vAlign w:val="bottom"/>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39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0"/>
        </w:trPr>
        <w:tc>
          <w:tcPr>
            <w:tcW w:w="1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9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0"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tabs>
          <w:tab w:leader="none" w:pos="6500" w:val="left"/>
          <w:tab w:leader="none" w:pos="70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$.01 par value per share, outstanding as of April 29, 2022 was 14,889,053.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852170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129540</wp:posOffset>
            </wp:positionV>
            <wp:extent cx="7118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154305</wp:posOffset>
            </wp:positionV>
            <wp:extent cx="7118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7"/>
        </w:trPr>
        <w:tc>
          <w:tcPr>
            <w:tcW w:w="20" w:type="dxa"/>
            <w:vAlign w:val="bottom"/>
          </w:tcPr>
          <w:p>
            <w:pPr>
              <w:spacing w:after="0"/>
              <w:rPr>
                <w:sz w:val="18"/>
                <w:szCs w:val="18"/>
                <w:color w:val="auto"/>
              </w:rPr>
            </w:pPr>
          </w:p>
        </w:tc>
        <w:tc>
          <w:tcPr>
            <w:tcW w:w="3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5"/>
              </w:rPr>
              <w:t>PART I – FINANCIAL INFORMATION</w:t>
            </w:r>
          </w:p>
        </w:tc>
        <w:tc>
          <w:tcPr>
            <w:tcW w:w="7580" w:type="dxa"/>
            <w:vAlign w:val="bottom"/>
            <w:gridSpan w:val="10"/>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ind w:left="40"/>
              <w:spacing w:after="0"/>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Unaudited Consolidated Balance Sheet as of December 31, 2021 and March 31, 2022</w:t>
            </w:r>
          </w:p>
        </w:tc>
        <w:tc>
          <w:tcPr>
            <w:tcW w:w="4020" w:type="dxa"/>
            <w:vAlign w:val="bottom"/>
            <w:gridSpan w:val="5"/>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Statements of Operations for the Three Months ended March 31, 2021 and 2022</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Cash Flows for the Three Months ended March 31, 2021 and 2022</w:t>
            </w:r>
          </w:p>
        </w:tc>
        <w:tc>
          <w:tcPr>
            <w:tcW w:w="2600" w:type="dxa"/>
            <w:vAlign w:val="bottom"/>
            <w:gridSpan w:val="2"/>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Stockholders' Equity for the Three Months ended March 31, 2021 and 2022</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6"/>
              </w:rPr>
              <w:t>Condensed Notes to Consolidated Financial Statements</w:t>
            </w:r>
          </w:p>
        </w:tc>
        <w:tc>
          <w:tcPr>
            <w:tcW w:w="4980" w:type="dxa"/>
            <w:vAlign w:val="bottom"/>
            <w:gridSpan w:val="7"/>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6"/>
              </w:rPr>
              <w:t>Cautionary Statement on Forward–Looking Statements</w:t>
            </w:r>
          </w:p>
        </w:tc>
        <w:tc>
          <w:tcPr>
            <w:tcW w:w="6120" w:type="dxa"/>
            <w:vAlign w:val="bottom"/>
            <w:gridSpan w:val="8"/>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40</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1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7"/>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120" w:type="dxa"/>
            <w:vAlign w:val="bottom"/>
            <w:gridSpan w:val="4"/>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6"/>
              </w:rPr>
              <w:t>Item 1. Legal Proceedings</w:t>
            </w:r>
          </w:p>
        </w:tc>
        <w:tc>
          <w:tcPr>
            <w:tcW w:w="520" w:type="dxa"/>
            <w:vAlign w:val="bottom"/>
            <w:tcBorders>
              <w:top w:val="single" w:sz="8" w:color="0000FF"/>
            </w:tcBorders>
            <w:gridSpan w:val="4"/>
          </w:tcPr>
          <w:p>
            <w:pPr>
              <w:spacing w:after="0"/>
              <w:rPr>
                <w:sz w:val="22"/>
                <w:szCs w:val="22"/>
                <w:color w:val="auto"/>
              </w:rPr>
            </w:pPr>
          </w:p>
        </w:tc>
        <w:tc>
          <w:tcPr>
            <w:tcW w:w="7880" w:type="dxa"/>
            <w:vAlign w:val="bottom"/>
            <w:gridSpan w:val="11"/>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57</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7"/>
              </w:rPr>
              <w:t>Item 3. Defaults Upon Senior Securities</w:t>
            </w:r>
          </w:p>
        </w:tc>
        <w:tc>
          <w:tcPr>
            <w:tcW w:w="2060" w:type="dxa"/>
            <w:vAlign w:val="bottom"/>
            <w:tcBorders>
              <w:top w:val="single" w:sz="8" w:color="0000FF"/>
            </w:tcBorders>
            <w:gridSpan w:val="2"/>
          </w:tcPr>
          <w:p>
            <w:pPr>
              <w:spacing w:after="0"/>
              <w:rPr>
                <w:sz w:val="22"/>
                <w:szCs w:val="22"/>
                <w:color w:val="auto"/>
              </w:rPr>
            </w:pPr>
          </w:p>
        </w:tc>
        <w:tc>
          <w:tcPr>
            <w:tcW w:w="5320" w:type="dxa"/>
            <w:vAlign w:val="bottom"/>
            <w:gridSpan w:val="7"/>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Item 4. Mine Safety Disclosures</w:t>
            </w:r>
          </w:p>
        </w:tc>
        <w:tc>
          <w:tcPr>
            <w:tcW w:w="7920" w:type="dxa"/>
            <w:vAlign w:val="bottom"/>
            <w:gridSpan w:val="12"/>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22"/>
                <w:szCs w:val="22"/>
                <w:color w:val="auto"/>
              </w:rPr>
            </w:pPr>
          </w:p>
        </w:tc>
      </w:tr>
      <w:tr>
        <w:trPr>
          <w:trHeight w:val="29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6"/>
              </w:rPr>
              <w:t>Item 5. Other Information</w:t>
            </w:r>
          </w:p>
        </w:tc>
        <w:tc>
          <w:tcPr>
            <w:tcW w:w="8360" w:type="dxa"/>
            <w:vAlign w:val="bottom"/>
            <w:gridSpan w:val="14"/>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24"/>
                <w:szCs w:val="24"/>
                <w:color w:val="auto"/>
              </w:rPr>
            </w:pPr>
          </w:p>
        </w:tc>
      </w:tr>
      <w:tr>
        <w:trPr>
          <w:trHeight w:val="30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Item 6. Exhibits</w:t>
            </w:r>
          </w:p>
        </w:tc>
        <w:tc>
          <w:tcPr>
            <w:tcW w:w="9140" w:type="dxa"/>
            <w:vAlign w:val="bottom"/>
            <w:gridSpan w:val="18"/>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5"/>
              </w:rPr>
              <w:t>SIGNATURE</w:t>
            </w:r>
          </w:p>
        </w:tc>
        <w:tc>
          <w:tcPr>
            <w:tcW w:w="9620" w:type="dxa"/>
            <w:vAlign w:val="bottom"/>
            <w:gridSpan w:val="19"/>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INDEX OF EXHIBITS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59</w:t>
            </w:r>
          </w:p>
        </w:tc>
      </w:tr>
      <w:tr>
        <w:trPr>
          <w:trHeight w:val="861"/>
        </w:trPr>
        <w:tc>
          <w:tcPr>
            <w:tcW w:w="20" w:type="dxa"/>
            <w:vAlign w:val="bottom"/>
          </w:tcPr>
          <w:p>
            <w:pPr>
              <w:spacing w:after="0"/>
              <w:rPr>
                <w:sz w:val="24"/>
                <w:szCs w:val="24"/>
                <w:color w:val="auto"/>
              </w:rPr>
            </w:pPr>
          </w:p>
        </w:tc>
        <w:tc>
          <w:tcPr>
            <w:tcW w:w="1740" w:type="dxa"/>
            <w:vAlign w:val="bottom"/>
            <w:tcBorders>
              <w:top w:val="single" w:sz="8" w:color="0000FF"/>
            </w:tcBorders>
            <w:gridSpan w:val="6"/>
          </w:tcPr>
          <w:p>
            <w:pPr>
              <w:spacing w:after="0"/>
              <w:rPr>
                <w:sz w:val="24"/>
                <w:szCs w:val="24"/>
                <w:color w:val="auto"/>
              </w:rPr>
            </w:pPr>
          </w:p>
        </w:tc>
        <w:tc>
          <w:tcPr>
            <w:tcW w:w="4900" w:type="dxa"/>
            <w:vAlign w:val="bottom"/>
            <w:gridSpan w:val="12"/>
          </w:tcPr>
          <w:p>
            <w:pPr>
              <w:jc w:val="right"/>
              <w:ind w:right="880"/>
              <w:spacing w:after="0"/>
              <w:rPr>
                <w:sz w:val="20"/>
                <w:szCs w:val="20"/>
                <w:color w:val="auto"/>
              </w:rPr>
            </w:pPr>
            <w:r>
              <w:rPr>
                <w:rFonts w:ascii="Times New Roman" w:cs="Times New Roman" w:eastAsia="Times New Roman" w:hAnsi="Times New Roman"/>
                <w:sz w:val="18"/>
                <w:szCs w:val="18"/>
                <w:color w:val="auto"/>
              </w:rPr>
              <w:t>- 2 -</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jc w:val="center"/>
              <w:ind w:left="3353"/>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9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jc w:val="center"/>
              <w:ind w:left="3353"/>
              <w:spacing w:after="0"/>
              <w:rPr>
                <w:sz w:val="20"/>
                <w:szCs w:val="20"/>
                <w:color w:val="auto"/>
              </w:rPr>
            </w:pPr>
            <w:r>
              <w:rPr>
                <w:rFonts w:ascii="Times New Roman" w:cs="Times New Roman" w:eastAsia="Times New Roman" w:hAnsi="Times New Roman"/>
                <w:sz w:val="18"/>
                <w:szCs w:val="18"/>
                <w:b w:val="1"/>
                <w:bCs w:val="1"/>
                <w:color w:val="auto"/>
                <w:w w:val="97"/>
              </w:rPr>
              <w:t>CARRIAGE SERVICES, INC.</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0" w:type="dxa"/>
            <w:vAlign w:val="bottom"/>
          </w:tcPr>
          <w:p>
            <w:pPr>
              <w:jc w:val="center"/>
              <w:ind w:left="3373"/>
              <w:spacing w:after="0" w:line="205" w:lineRule="exact"/>
              <w:rPr>
                <w:sz w:val="20"/>
                <w:szCs w:val="20"/>
                <w:color w:val="auto"/>
              </w:rPr>
            </w:pPr>
            <w:r>
              <w:rPr>
                <w:rFonts w:ascii="Times New Roman" w:cs="Times New Roman" w:eastAsia="Times New Roman" w:hAnsi="Times New Roman"/>
                <w:sz w:val="18"/>
                <w:szCs w:val="18"/>
                <w:b w:val="1"/>
                <w:bCs w:val="1"/>
                <w:color w:val="auto"/>
                <w:w w:val="96"/>
              </w:rPr>
              <w:t>CONSOLIDATED BALANCE SHEET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960" w:type="dxa"/>
            <w:vAlign w:val="bottom"/>
            <w:gridSpan w:val="2"/>
          </w:tcPr>
          <w:p>
            <w:pPr>
              <w:jc w:val="center"/>
              <w:ind w:left="2993"/>
              <w:spacing w:after="0"/>
              <w:rPr>
                <w:sz w:val="20"/>
                <w:szCs w:val="20"/>
                <w:color w:val="auto"/>
              </w:rPr>
            </w:pPr>
            <w:r>
              <w:rPr>
                <w:rFonts w:ascii="Times New Roman" w:cs="Times New Roman" w:eastAsia="Times New Roman" w:hAnsi="Times New Roman"/>
                <w:sz w:val="17"/>
                <w:szCs w:val="17"/>
                <w:b w:val="1"/>
                <w:bCs w:val="1"/>
                <w:color w:val="auto"/>
                <w:w w:val="97"/>
              </w:rPr>
              <w:t>(unaudited and in thousands, except share data)</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2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6"/>
        </w:trPr>
        <w:tc>
          <w:tcPr>
            <w:tcW w:w="20" w:type="dxa"/>
            <w:vAlign w:val="bottom"/>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CCEEFF"/>
            </w:tcBorders>
            <w:shd w:val="clear" w:color="auto" w:fill="CCEEFF"/>
          </w:tcPr>
          <w:p>
            <w:pPr>
              <w:ind w:left="2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25,570</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r>
      <w:tr>
        <w:trPr>
          <w:trHeight w:val="224"/>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102,533</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113,332</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22,561</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funeral trusts, net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271,175</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net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101,646</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391,972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391,071</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17,622</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72,400</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73,525</w:t>
            </w: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1,178,631</w:t>
            </w:r>
          </w:p>
        </w:tc>
        <w:tc>
          <w:tcPr>
            <w:tcW w:w="24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1,180,349</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0" w:type="dxa"/>
            <w:vAlign w:val="bottom"/>
            <w:shd w:val="clear" w:color="auto" w:fill="CCEEFF"/>
          </w:tcPr>
          <w:p>
            <w:pPr>
              <w:ind w:left="110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w:t>
            </w: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47,813</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net of current portion</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172,746</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394,610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394,765</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preneed cemetery revenue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51,064</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preneed funeral revenue</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30,891</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45,860</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preneed cemetery receipts held in trust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102,533</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preneed funeral receipts held in trust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113,332</w:t>
            </w:r>
          </w:p>
        </w:tc>
      </w:tr>
      <w:tr>
        <w:trPr>
          <w:trHeight w:val="224"/>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71,156</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72,847</w:t>
            </w: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1,050,616</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1,060,328</w:t>
            </w:r>
          </w:p>
        </w:tc>
      </w:tr>
      <w:tr>
        <w:trPr>
          <w:trHeight w:val="204"/>
        </w:trPr>
        <w:tc>
          <w:tcPr>
            <w:tcW w:w="20" w:type="dxa"/>
            <w:vAlign w:val="bottom"/>
          </w:tcPr>
          <w:p>
            <w:pPr>
              <w:spacing w:after="0"/>
              <w:rPr>
                <w:sz w:val="17"/>
                <w:szCs w:val="17"/>
                <w:color w:val="auto"/>
              </w:rPr>
            </w:pPr>
          </w:p>
        </w:tc>
        <w:tc>
          <w:tcPr>
            <w:tcW w:w="71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7180" w:type="dxa"/>
            <w:vAlign w:val="bottom"/>
            <w:gridSpan w:val="2"/>
          </w:tcPr>
          <w:p>
            <w:pPr>
              <w:ind w:left="220"/>
              <w:spacing w:after="0" w:line="171" w:lineRule="exact"/>
              <w:rPr>
                <w:sz w:val="20"/>
                <w:szCs w:val="20"/>
                <w:color w:val="auto"/>
              </w:rPr>
            </w:pPr>
            <w:r>
              <w:rPr>
                <w:rFonts w:ascii="Times New Roman" w:cs="Times New Roman" w:eastAsia="Times New Roman" w:hAnsi="Times New Roman"/>
                <w:sz w:val="18"/>
                <w:szCs w:val="18"/>
                <w:color w:val="auto"/>
              </w:rPr>
              <w:t>Common stock, $0.01 par value; 80,000,000 shares authorized and 26,264,245 and 26,311,575</w:t>
            </w: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 issued, respectively and 15,331,923 and 14,889,253 shares outstanding, respectively</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238,423</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135,462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151,864</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10,932,322 and 11,422,322 shares,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(244,519)</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(270,529)</w:t>
            </w:r>
          </w:p>
        </w:tc>
      </w:tr>
      <w:tr>
        <w:trPr>
          <w:trHeight w:val="217"/>
        </w:trPr>
        <w:tc>
          <w:tcPr>
            <w:tcW w:w="2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128,015</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120,021</w:t>
            </w:r>
          </w:p>
        </w:tc>
      </w:tr>
      <w:tr>
        <w:trPr>
          <w:trHeight w:val="242"/>
        </w:trPr>
        <w:tc>
          <w:tcPr>
            <w:tcW w:w="20" w:type="dxa"/>
            <w:vAlign w:val="bottom"/>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1,178,631</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1,180,349</w:t>
            </w: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ectPr>
          <w:pgSz w:w="11900" w:h="16838" w:orient="portrait"/>
          <w:cols w:equalWidth="0" w:num="1">
            <w:col w:w="11220"/>
          </w:cols>
          <w:pgMar w:left="320" w:top="869"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8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47,757</w:t>
            </w:r>
          </w:p>
        </w:tc>
        <w:tc>
          <w:tcPr>
            <w:tcW w:w="16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49,737</w:t>
            </w:r>
          </w:p>
        </w:tc>
      </w:tr>
      <w:tr>
        <w:trPr>
          <w:trHeight w:val="22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merchandise revenue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41,612</w:t>
            </w:r>
          </w:p>
        </w:tc>
      </w:tr>
      <w:tr>
        <w:trPr>
          <w:trHeight w:val="224"/>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17"/>
        </w:trPr>
        <w:tc>
          <w:tcPr>
            <w:tcW w:w="8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98,161</w:t>
            </w: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costs and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service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w:t>
            </w:r>
          </w:p>
        </w:tc>
      </w:tr>
      <w:tr>
        <w:trPr>
          <w:trHeight w:val="22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merchandise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29,325</w:t>
            </w:r>
          </w:p>
        </w:tc>
      </w:tr>
      <w:tr>
        <w:trPr>
          <w:trHeight w:val="22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2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r>
      <w:tr>
        <w:trPr>
          <w:trHeight w:val="224"/>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7"/>
        </w:trPr>
        <w:tc>
          <w:tcPr>
            <w:tcW w:w="8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63,683</w:t>
            </w: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34,478</w:t>
            </w: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costs and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w:t>
            </w: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divestitures, disposals and impairments charges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25,151</w:t>
            </w:r>
          </w:p>
        </w:tc>
      </w:tr>
      <w:tr>
        <w:trPr>
          <w:trHeight w:val="211"/>
        </w:trPr>
        <w:tc>
          <w:tcPr>
            <w:tcW w:w="8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discount on convertible subordinated notes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insurance reimbursements</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21,484</w:t>
            </w: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for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2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adjustment related to discrete items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7"/>
        </w:trPr>
        <w:tc>
          <w:tcPr>
            <w:tcW w:w="8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1"/>
        </w:trPr>
        <w:tc>
          <w:tcPr>
            <w:tcW w:w="8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1"/>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9"/>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12,933</w:t>
            </w:r>
          </w:p>
        </w:tc>
        <w:tc>
          <w:tcPr>
            <w:tcW w:w="22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w:t>
            </w:r>
          </w:p>
        </w:tc>
      </w:tr>
      <w:tr>
        <w:trPr>
          <w:trHeight w:val="212"/>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and accretion of debt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loss on divestitures, disposals and impairment charges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Gain on insurance reimbursements</w:t>
            </w:r>
          </w:p>
        </w:tc>
        <w:tc>
          <w:tcPr>
            <w:tcW w:w="3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r>
      <w:tr>
        <w:trPr>
          <w:trHeight w:val="147"/>
        </w:trPr>
        <w:tc>
          <w:tcPr>
            <w:tcW w:w="8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09"/>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that provided (used) cash:</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and preneed receivables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Inventories, prepaid and other current assets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Intangible and other non-current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Preneed funeral and cemetery trust investments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preneed funeral and cemetery revenue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09"/>
        </w:trPr>
        <w:tc>
          <w:tcPr>
            <w:tcW w:w="80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Deferred preneed funeral and cemetery receipts held in trust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206"/>
        </w:trPr>
        <w:tc>
          <w:tcPr>
            <w:tcW w:w="8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26,811</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15,801</w:t>
            </w:r>
          </w:p>
        </w:tc>
      </w:tr>
      <w:tr>
        <w:trPr>
          <w:trHeight w:val="145"/>
        </w:trPr>
        <w:tc>
          <w:tcPr>
            <w:tcW w:w="8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1"/>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Acquisitions of real estate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Proceeds from divestitures and sale of other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24"/>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insurance reimbursements</w:t>
            </w:r>
          </w:p>
        </w:tc>
        <w:tc>
          <w:tcPr>
            <w:tcW w:w="30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1"/>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r>
      <w:tr>
        <w:trPr>
          <w:trHeight w:val="202"/>
        </w:trPr>
        <w:tc>
          <w:tcPr>
            <w:tcW w:w="8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(7,756)</w:t>
            </w:r>
          </w:p>
        </w:tc>
      </w:tr>
      <w:tr>
        <w:trPr>
          <w:trHeight w:val="147"/>
        </w:trPr>
        <w:tc>
          <w:tcPr>
            <w:tcW w:w="8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09"/>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Borrowings from the credit facility</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70,700</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Payments against the credit facility</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(51,900)</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Conversions and maturity of the convertible notes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Payments on acquisition debt and obligations under finance leases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Payments on contingent consideration recorded at acquisition date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the exercise of stock options and employee stock purchase plan contributions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Taxes paid on restricted stock vestings and exercise of stock options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(25,655)</w:t>
            </w:r>
          </w:p>
        </w:tc>
      </w:tr>
      <w:tr>
        <w:trPr>
          <w:trHeight w:val="224"/>
        </w:trPr>
        <w:tc>
          <w:tcPr>
            <w:tcW w:w="80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Other financing costs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8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(25,397)</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w:t>
            </w:r>
          </w:p>
        </w:tc>
      </w:tr>
      <w:tr>
        <w:trPr>
          <w:trHeight w:val="145"/>
        </w:trPr>
        <w:tc>
          <w:tcPr>
            <w:tcW w:w="8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1"/>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9"/>
        </w:trPr>
        <w:tc>
          <w:tcPr>
            <w:tcW w:w="8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22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Treasury</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w w:val="98"/>
              </w:rPr>
              <w:t>Paid-in</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9"/>
              </w:rPr>
              <w:t>Outstanding</w:t>
            </w:r>
          </w:p>
        </w:tc>
        <w:tc>
          <w:tcPr>
            <w:tcW w:w="180" w:type="dxa"/>
            <w:vAlign w:val="bottom"/>
          </w:tcPr>
          <w:p>
            <w:pPr>
              <w:spacing w:after="0"/>
              <w:rPr>
                <w:sz w:val="16"/>
                <w:szCs w:val="16"/>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w w:val="98"/>
              </w:rPr>
              <w:t>Capital</w:t>
            </w:r>
          </w:p>
        </w:tc>
        <w:tc>
          <w:tcPr>
            <w:tcW w:w="20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80" w:type="dxa"/>
            <w:vAlign w:val="bottom"/>
            <w:gridSpan w:val="2"/>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80" w:type="dxa"/>
            <w:vAlign w:val="bottom"/>
            <w:gridSpan w:val="2"/>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restricted common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80" w:type="dxa"/>
            <w:vAlign w:val="bottom"/>
            <w:gridSpan w:val="2"/>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Cancellation and surrender of restricted common</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1"/>
                <w:szCs w:val="11"/>
                <w:color w:val="auto"/>
              </w:rPr>
            </w:pPr>
          </w:p>
        </w:tc>
        <w:tc>
          <w:tcPr>
            <w:tcW w:w="10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1"/>
                <w:szCs w:val="11"/>
                <w:color w:val="auto"/>
              </w:rPr>
            </w:pPr>
          </w:p>
        </w:tc>
        <w:tc>
          <w:tcPr>
            <w:tcW w:w="1040" w:type="dxa"/>
            <w:vAlign w:val="bottom"/>
            <w:gridSpan w:val="4"/>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1"/>
                <w:szCs w:val="11"/>
                <w:color w:val="auto"/>
              </w:rPr>
            </w:pPr>
          </w:p>
        </w:tc>
        <w:tc>
          <w:tcPr>
            <w:tcW w:w="10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1"/>
                <w:szCs w:val="11"/>
                <w:color w:val="auto"/>
              </w:rPr>
            </w:pPr>
          </w:p>
        </w:tc>
        <w:tc>
          <w:tcPr>
            <w:tcW w:w="102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Treasury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right="300"/>
              <w:spacing w:after="0" w:line="141" w:lineRule="exact"/>
              <w:rPr>
                <w:sz w:val="20"/>
                <w:szCs w:val="20"/>
                <w:color w:val="auto"/>
              </w:rPr>
            </w:pPr>
            <w:r>
              <w:rPr>
                <w:rFonts w:ascii="Times New Roman" w:cs="Times New Roman" w:eastAsia="Times New Roman" w:hAnsi="Times New Roman"/>
                <w:sz w:val="14"/>
                <w:szCs w:val="14"/>
                <w:color w:val="auto"/>
              </w:rPr>
              <w:t>Paid-in</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6"/>
                <w:szCs w:val="16"/>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0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tcBorders>
            <w:shd w:val="clear" w:color="auto" w:fill="CCEEFF"/>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080" w:type="dxa"/>
            <w:vAlign w:val="bottom"/>
            <w:gridSpan w:val="2"/>
            <w:shd w:val="clear" w:color="auto" w:fill="CCEEFF"/>
          </w:tcPr>
          <w:p>
            <w:pPr>
              <w:ind w:left="200"/>
              <w:spacing w:after="0" w:line="171"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gridSpan w:val="2"/>
          </w:tcPr>
          <w:p>
            <w:pPr>
              <w:ind w:left="200"/>
              <w:spacing w:after="0" w:line="171"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advisor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gridSpan w:val="2"/>
          </w:tcPr>
          <w:p>
            <w:pPr>
              <w:ind w:left="200"/>
              <w:spacing w:after="0" w:line="171" w:lineRule="exact"/>
              <w:rPr>
                <w:sz w:val="20"/>
                <w:szCs w:val="20"/>
                <w:color w:val="auto"/>
              </w:rPr>
            </w:pPr>
            <w:r>
              <w:rPr>
                <w:rFonts w:ascii="Times New Roman" w:cs="Times New Roman" w:eastAsia="Times New Roman" w:hAnsi="Times New Roman"/>
                <w:sz w:val="18"/>
                <w:szCs w:val="18"/>
                <w:color w:val="auto"/>
              </w:rPr>
              <w:t>Cancellation and surrender of restricted common</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acquired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ectPr>
          <w:pgSz w:w="11900" w:h="16838" w:orient="portrait"/>
          <w:cols w:equalWidth="0" w:num="1">
            <w:col w:w="11220"/>
          </w:cols>
          <w:pgMar w:left="320" w:top="8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type w:val="continuous"/>
        </w:sectPr>
      </w:pPr>
    </w:p>
    <w:bookmarkStart w:id="6" w:name="page7"/>
    <w:bookmarkEnd w:id="6"/>
    <w:p>
      <w:pPr>
        <w:ind w:left="446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16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7" w:lineRule="exact"/>
        <w:rPr>
          <w:sz w:val="20"/>
          <w:szCs w:val="20"/>
          <w:color w:val="auto"/>
        </w:rPr>
      </w:pPr>
    </w:p>
    <w:p>
      <w:pPr>
        <w:ind w:left="640" w:hanging="635"/>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Carriage Services, Inc. (“Carriage,” the “Company,” “we,” “us,” or “our”) is a leading provider of funeral and cemetery services and merchandise in the United States. Our operations are reported in two business segments: Funeral Home Operations, which currently account for approximately 70% of our revenue and Cemetery Operations, which currently account for approximately 30% of our revenue. At March 31, 2022, we operated 168 funeral homes in 26 states and 31 cemeteries in 11 states.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Interim Condensed Disclosures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Our unaudited consolidated financial statements have been prepared in a manner consistent with the accounting principles described in our Annual Report on Form 10-K for the year ended December 31, 2021 unless otherwise disclosed herein, and should be read in conjunction therewith.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Certain reclassifications have been made to prior period amounts on our Consolidated Statements of Cash Flows related to debt and debt issuance costs to conform to the current period financial statement presentation with no effect on our previously reported Consolidated Statements of Operations and Consolidated Balance Sheet.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Funeral and Cemetery Receivables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Our funeral receivables are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primarily consist of amounts due for funeral services already performed.</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Atneed cemetery receivables and preneed cemetery receivables with payments expected to be received within one year from the balance sheet date are also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Preneed cemetery receivables with payments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expected to be received beyond one year from the balance sheet date are recorded in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In substantially all cases, we receive an initial down payment at the time the contract is signed.</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our funeral and atneed cemetery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payment is received or the contract is cancelled.</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w:t>
      </w:r>
    </w:p>
    <w:p>
      <w:pPr>
        <w:spacing w:after="0" w:line="7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w:t>
      </w:r>
    </w:p>
    <w:p>
      <w:pPr>
        <w:spacing w:after="0" w:line="82" w:lineRule="exact"/>
        <w:rPr>
          <w:sz w:val="20"/>
          <w:szCs w:val="20"/>
          <w:color w:val="auto"/>
        </w:rPr>
      </w:pPr>
    </w:p>
    <w:p>
      <w:pPr>
        <w:ind w:right="1420" w:firstLine="395"/>
        <w:spacing w:after="0" w:line="396" w:lineRule="auto"/>
        <w:rPr>
          <w:sz w:val="20"/>
          <w:szCs w:val="20"/>
          <w:color w:val="auto"/>
        </w:rPr>
      </w:pPr>
      <w:r>
        <w:rPr>
          <w:rFonts w:ascii="Times New Roman" w:cs="Times New Roman" w:eastAsia="Times New Roman" w:hAnsi="Times New Roman"/>
          <w:sz w:val="18"/>
          <w:szCs w:val="18"/>
          <w:color w:val="auto"/>
        </w:rPr>
        <w:t xml:space="preserve">See Note 5 to the Consolidated Financial Statements herein for additional information related to our funeral and cemetery receivables. </w:t>
      </w:r>
      <w:r>
        <w:rPr>
          <w:rFonts w:ascii="Times New Roman" w:cs="Times New Roman" w:eastAsia="Times New Roman" w:hAnsi="Times New Roman"/>
          <w:sz w:val="18"/>
          <w:szCs w:val="18"/>
          <w:i w:val="1"/>
          <w:iCs w:val="1"/>
          <w:color w:val="auto"/>
        </w:rPr>
        <w:t>Inventory</w:t>
      </w:r>
    </w:p>
    <w:p>
      <w:pPr>
        <w:spacing w:after="0" w:line="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acquire any businesses in the three months ended March 31, 2021 and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Divested Operations</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consider the accounting treatment of goodwill for that set (see discussion of Goodwill below). Goodwill is only allocated to the sale if the set is considered to be a business.</w:t>
      </w:r>
    </w:p>
    <w:p>
      <w:pPr>
        <w:spacing w:after="0" w:line="5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 ended March 31, 2022, we sold two funeral homes for an aggregate of $0.9 million. During the three months ended March 31, 2021, we sold one funeral home for $1.5 million and merged 1 funeral home with another business we own in an existing market.</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Notes 3 and 4 to the Consolidated Financial Statements herein for additional information related to our divestitures.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1"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w:t>
      </w:r>
    </w:p>
    <w:p>
      <w:pPr>
        <w:spacing w:after="0" w:line="8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intent is to perform a quantitative impairment test at least once every three years and perform a qualitative assessment during the remaining two years.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When we divest a portion of a reporting unit that constitutes a business in accordance with U.S. Generally Accepted Accounting Principles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3 to the Consolidated Financial Statements included herein for additional information related to our goodwill.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09"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color w:val="auto"/>
        </w:rPr>
        <w:t xml:space="preserve">Our intangible assets include tradenames resulting from acquisitions and are included in </w:t>
      </w:r>
      <w:r>
        <w:rPr>
          <w:rFonts w:ascii="Times New Roman" w:cs="Times New Roman" w:eastAsia="Times New Roman" w:hAnsi="Times New Roman"/>
          <w:sz w:val="18"/>
          <w:szCs w:val="18"/>
          <w:i w:val="1"/>
          <w:iCs w:val="1"/>
          <w:color w:val="auto"/>
        </w:rPr>
        <w:t>Intangible and other non-current assets, net</w:t>
      </w:r>
      <w:r>
        <w:rPr>
          <w:rFonts w:ascii="Times New Roman" w:cs="Times New Roman" w:eastAsia="Times New Roman" w:hAnsi="Times New Roman"/>
          <w:sz w:val="18"/>
          <w:szCs w:val="18"/>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8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Our intent is to perform a quantitative impairment test at least once every three years and perform a qualitative assessment during the remaining two years. In addition to our intangible assets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49" w:lineRule="exact"/>
        <w:rPr>
          <w:sz w:val="20"/>
          <w:szCs w:val="20"/>
          <w:color w:val="auto"/>
        </w:rPr>
      </w:pPr>
    </w:p>
    <w:p>
      <w:pPr>
        <w:ind w:right="1940" w:firstLine="395"/>
        <w:spacing w:after="0" w:line="396" w:lineRule="auto"/>
        <w:rPr>
          <w:sz w:val="20"/>
          <w:szCs w:val="20"/>
          <w:color w:val="auto"/>
        </w:rPr>
      </w:pPr>
      <w:r>
        <w:rPr>
          <w:rFonts w:ascii="Times New Roman" w:cs="Times New Roman" w:eastAsia="Times New Roman" w:hAnsi="Times New Roman"/>
          <w:sz w:val="18"/>
          <w:szCs w:val="18"/>
          <w:color w:val="auto"/>
        </w:rPr>
        <w:t xml:space="preserve">See Note 9 to the Consolidated Financial Statements included herein for additional information related to our intangible assets. </w:t>
      </w:r>
      <w:r>
        <w:rPr>
          <w:rFonts w:ascii="Times New Roman" w:cs="Times New Roman" w:eastAsia="Times New Roman" w:hAnsi="Times New Roman"/>
          <w:sz w:val="18"/>
          <w:szCs w:val="18"/>
          <w:i w:val="1"/>
          <w:iCs w:val="1"/>
          <w:color w:val="auto"/>
        </w:rPr>
        <w:t>Preneed and Perpetual Care Trust Funds</w:t>
      </w:r>
    </w:p>
    <w:p>
      <w:pPr>
        <w:spacing w:after="0" w:line="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73"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Our trust fund assets are reflected in our financial statements as </w:t>
      </w:r>
      <w:r>
        <w:rPr>
          <w:rFonts w:ascii="Times New Roman" w:cs="Times New Roman" w:eastAsia="Times New Roman" w:hAnsi="Times New Roman"/>
          <w:sz w:val="18"/>
          <w:szCs w:val="18"/>
          <w:i w:val="1"/>
          <w:iCs w:val="1"/>
          <w:color w:val="auto"/>
        </w:rPr>
        <w:t>Preneed cemetery trust investments, Preneed funeral trust 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Cemetery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perpetual care trust investments. </w:t>
      </w:r>
      <w:r>
        <w:rPr>
          <w:rFonts w:ascii="Times New Roman" w:cs="Times New Roman" w:eastAsia="Times New Roman" w:hAnsi="Times New Roman"/>
          <w:sz w:val="18"/>
          <w:szCs w:val="18"/>
          <w:color w:val="auto"/>
        </w:rPr>
        <w:t>We have recognized financial interests of third parties in the trust funds in our financial statements as</w:t>
      </w:r>
      <w:r>
        <w:rPr>
          <w:rFonts w:ascii="Times New Roman" w:cs="Times New Roman" w:eastAsia="Times New Roman" w:hAnsi="Times New Roman"/>
          <w:sz w:val="18"/>
          <w:szCs w:val="18"/>
          <w:i w:val="1"/>
          <w:iCs w:val="1"/>
          <w:color w:val="auto"/>
        </w:rPr>
        <w:t xml:space="preserve"> Deferred preneed funeral and cemetery receipts held in trust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Care trusts’ corpus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fair value of our trust fund assets are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9" w:name="page10"/>
    <w:bookmarkEnd w:id="9"/>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Trust fund income is recognized as revenue when realized by the trust and distributable to us. We are restricted from withdrawing any of the principal balances of these funds.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We also have preneed funeral trust fund assets in trusts that are controlled and operated by third parties in which we do not have a controlling financial interest (less than 50%) in the trust assets. We account for these investments at cost, reflected in our financial statements as </w:t>
      </w:r>
      <w:r>
        <w:rPr>
          <w:rFonts w:ascii="Times New Roman" w:cs="Times New Roman" w:eastAsia="Times New Roman" w:hAnsi="Times New Roman"/>
          <w:sz w:val="18"/>
          <w:szCs w:val="18"/>
          <w:i w:val="1"/>
          <w:iCs w:val="1"/>
          <w:color w:val="auto"/>
        </w:rPr>
        <w:t>Receivables from preneed funeral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trusts, net.</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preneed funeral and preneed cemetery merchandise and service trusts are reflected in our financial statements net of an allowance for contract cancellations. We determine this allowance based on our five-year historical experience of contract cancellations. On an ongoing basis, we monitor our historical trend and adjust our allowance accordingly.</w:t>
      </w:r>
    </w:p>
    <w:p>
      <w:pPr>
        <w:spacing w:after="0" w:line="75" w:lineRule="exact"/>
        <w:rPr>
          <w:sz w:val="20"/>
          <w:szCs w:val="20"/>
          <w:color w:val="auto"/>
        </w:rPr>
      </w:pPr>
    </w:p>
    <w:p>
      <w:pPr>
        <w:ind w:right="840" w:firstLine="395"/>
        <w:spacing w:after="0" w:line="396" w:lineRule="auto"/>
        <w:rPr>
          <w:sz w:val="20"/>
          <w:szCs w:val="20"/>
          <w:color w:val="auto"/>
        </w:rPr>
      </w:pPr>
      <w:r>
        <w:rPr>
          <w:rFonts w:ascii="Times New Roman" w:cs="Times New Roman" w:eastAsia="Times New Roman" w:hAnsi="Times New Roman"/>
          <w:sz w:val="18"/>
          <w:szCs w:val="18"/>
          <w:color w:val="auto"/>
        </w:rPr>
        <w:t xml:space="preserve">See Notes 6 and 7 to the Consolidated Financial Statements herein for additional information related to preneed and perpetual care trust funds. </w:t>
      </w:r>
      <w:r>
        <w:rPr>
          <w:rFonts w:ascii="Times New Roman" w:cs="Times New Roman" w:eastAsia="Times New Roman" w:hAnsi="Times New Roman"/>
          <w:sz w:val="18"/>
          <w:szCs w:val="18"/>
          <w:i w:val="1"/>
          <w:iCs w:val="1"/>
          <w:color w:val="auto"/>
        </w:rPr>
        <w:t>Fair Value Measurements</w:t>
      </w:r>
    </w:p>
    <w:p>
      <w:pPr>
        <w:spacing w:after="0" w:line="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Notes 6 and 8 to the Consolidated Financial Statements herein for additional required disclosures related to our fair value measurement of our financial assets and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Commissions on Preneed Contracts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8" w:lineRule="exact"/>
        <w:rPr>
          <w:sz w:val="20"/>
          <w:szCs w:val="20"/>
          <w:color w:val="auto"/>
        </w:rPr>
      </w:pPr>
    </w:p>
    <w:p>
      <w:pPr>
        <w:ind w:right="520" w:firstLine="395"/>
        <w:spacing w:after="0" w:line="366" w:lineRule="auto"/>
        <w:rPr>
          <w:sz w:val="20"/>
          <w:szCs w:val="20"/>
          <w:color w:val="auto"/>
        </w:rPr>
      </w:pPr>
      <w:r>
        <w:rPr>
          <w:rFonts w:ascii="Times New Roman" w:cs="Times New Roman" w:eastAsia="Times New Roman" w:hAnsi="Times New Roman"/>
          <w:sz w:val="18"/>
          <w:szCs w:val="18"/>
          <w:color w:val="auto"/>
        </w:rPr>
        <w:t xml:space="preserve">See Note 9 to the Consolidated Financial Statements herein for additional information related to our capitalized commissions on preneed contracts. </w:t>
      </w:r>
      <w:r>
        <w:rPr>
          <w:rFonts w:ascii="Times New Roman" w:cs="Times New Roman" w:eastAsia="Times New Roman" w:hAnsi="Times New Roman"/>
          <w:sz w:val="18"/>
          <w:szCs w:val="18"/>
          <w:i w:val="1"/>
          <w:iCs w:val="1"/>
          <w:color w:val="auto"/>
        </w:rPr>
        <w:t>Property, Plant and Equipment</w:t>
      </w: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estimated useful lives of the assets.</w:t>
      </w:r>
    </w:p>
    <w:p>
      <w:pPr>
        <w:spacing w:after="0" w:line="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plant and equipment and right-of-use assets (see discussion of Leases below) are reported at the lower of their carrying amount or fair value and are reviewed for impairment whenever events, such as significant negative industry or economic trends or changes in circumstances indicate that the carrying amount of an asset may not be recoverable.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color w:val="auto"/>
        </w:rPr>
        <w:t>Property, plant and equipment is comprised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82,095</w:t>
            </w: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83,282</w:t>
            </w:r>
          </w:p>
        </w:tc>
      </w:tr>
      <w:tr>
        <w:trPr>
          <w:trHeight w:val="22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240,387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242,160</w:t>
            </w:r>
          </w:p>
        </w:tc>
      </w:tr>
      <w:tr>
        <w:trPr>
          <w:trHeight w:val="22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equipment and automobiles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73,377</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67,831</w:t>
            </w:r>
          </w:p>
        </w:tc>
      </w:tr>
      <w:tr>
        <w:trPr>
          <w:trHeight w:val="21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395,859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393,273</w:t>
            </w:r>
          </w:p>
        </w:tc>
      </w:tr>
      <w:tr>
        <w:trPr>
          <w:trHeight w:val="22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(126,492)</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(122,098)</w:t>
            </w:r>
          </w:p>
        </w:tc>
      </w:tr>
      <w:tr>
        <w:trPr>
          <w:trHeight w:val="21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269,367</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271,175</w:t>
            </w: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 xml:space="preserve">During the three months ended March 31, 2022, we acquired real property for $2.6 million. We also divested two funeral homes that had a carrying value of property, plant and equipment of $0.7 million, which was included in the loss on the sale of divestitures and recorded in </w:t>
      </w:r>
      <w:r>
        <w:rPr>
          <w:rFonts w:ascii="Times New Roman" w:cs="Times New Roman" w:eastAsia="Times New Roman" w:hAnsi="Times New Roman"/>
          <w:sz w:val="16"/>
          <w:szCs w:val="16"/>
          <w:i w:val="1"/>
          <w:iCs w:val="1"/>
          <w:color w:val="auto"/>
        </w:rPr>
        <w:t>Net (gain) loss on divestitures,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disposals and impairment charges </w:t>
      </w:r>
      <w:r>
        <w:rPr>
          <w:rFonts w:ascii="Times New Roman" w:cs="Times New Roman" w:eastAsia="Times New Roman" w:hAnsi="Times New Roman"/>
          <w:sz w:val="16"/>
          <w:szCs w:val="16"/>
          <w:color w:val="auto"/>
        </w:rPr>
        <w:t>on our Consolidated Statements of Operations, described in Note 4 to the Consolidated Financial Statements included herein.</w:t>
      </w:r>
    </w:p>
    <w:p>
      <w:pPr>
        <w:spacing w:after="0" w:line="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2021, we sold real property for $1.3 million, with a carrying value of $1.0 million, resulting in a gain on the sale of $0.3 million and we divested one funeral home that had a carrying value of property, plant and equipment of $0.4 million. These gains were included in the gain on the sale of divestitures and recorded in </w:t>
      </w:r>
      <w:r>
        <w:rPr>
          <w:rFonts w:ascii="Times New Roman" w:cs="Times New Roman" w:eastAsia="Times New Roman" w:hAnsi="Times New Roman"/>
          <w:sz w:val="18"/>
          <w:szCs w:val="18"/>
          <w:i w:val="1"/>
          <w:iCs w:val="1"/>
          <w:color w:val="auto"/>
        </w:rPr>
        <w:t>Net (gain) loss on divestitures, disposals and impairment charges.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growth and maintenance capital expenditures totaled $2.9 million and $4.6 million for the three months ended March 31, 2021 and 2022, respectively, for property, plant and equipment. In addition, we recorded depreciation expense of $3.4 million for both the three months ended March 31, 2021 and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Property</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we are able to identify viable costs of property based on historical experience, particular markets and demographics, reasonable margins, practical retail prices and park infrastructure and condition.</w:t>
      </w:r>
    </w:p>
    <w:p>
      <w:pPr>
        <w:spacing w:after="0" w:line="5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property was $100.7 million and $101.6 million, net of accumulated amortization of $53.1 million and $54.4 million at December 31, 2021 and March 31, 2022,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totaled $1.5 million and $2.3 million for the three months ended March 31, 2021 and 2022, respectively, for cemetery property development. We recorded amortization expense for cemetery interment rights of $1.5 million and $1.3 million for the three months ended March 31, 2021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have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w:t>
      </w:r>
    </w:p>
    <w:p>
      <w:pPr>
        <w:spacing w:after="0" w:line="7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in determining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effective interest method of recognition. Variable lease payment amounts that cannot be determined at the commencement of the lease such as increases in lease payments based on changes in index rates or usage, are not included in the ROU assets or liabilities. These are expensed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as incurred and recorded as variable lease expense. We have real estate lease agreements which require payments for lease and non-lease components and we account for these as a single lease component. Leases with an initial term of 12 months or less, that do not include an option to renew the underlying asset, are not recorded on our Consolidated Balance Sheet and expense is recognized on a straight-line basis over the lease term.</w:t>
      </w:r>
    </w:p>
    <w:p>
      <w:pPr>
        <w:spacing w:after="0" w:line="73"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Operating lease ROU assets are included in </w:t>
      </w:r>
      <w:r>
        <w:rPr>
          <w:rFonts w:ascii="Times New Roman" w:cs="Times New Roman" w:eastAsia="Times New Roman" w:hAnsi="Times New Roman"/>
          <w:sz w:val="18"/>
          <w:szCs w:val="18"/>
          <w:i w:val="1"/>
          <w:iCs w:val="1"/>
          <w:color w:val="auto"/>
        </w:rPr>
        <w:t>Operating lease right-of-use assets</w:t>
      </w:r>
      <w:r>
        <w:rPr>
          <w:rFonts w:ascii="Times New Roman" w:cs="Times New Roman" w:eastAsia="Times New Roman" w:hAnsi="Times New Roman"/>
          <w:sz w:val="18"/>
          <w:szCs w:val="18"/>
          <w:color w:val="auto"/>
        </w:rPr>
        <w:t xml:space="preserve"> and operating lease liabilities are included in </w:t>
      </w:r>
      <w:r>
        <w:rPr>
          <w:rFonts w:ascii="Times New Roman" w:cs="Times New Roman" w:eastAsia="Times New Roman" w:hAnsi="Times New Roman"/>
          <w:sz w:val="18"/>
          <w:szCs w:val="18"/>
          <w:i w:val="1"/>
          <w:iCs w:val="1"/>
          <w:color w:val="auto"/>
        </w:rPr>
        <w:t>Current portion of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 obligation</w:t>
      </w:r>
      <w:r>
        <w:rPr>
          <w:rFonts w:ascii="Times New Roman" w:cs="Times New Roman" w:eastAsia="Times New Roman" w:hAnsi="Times New Roman"/>
          <w:sz w:val="18"/>
          <w:szCs w:val="18"/>
          <w:color w:val="auto"/>
        </w:rPr>
        <w:t>s and</w:t>
      </w:r>
      <w:r>
        <w:rPr>
          <w:rFonts w:ascii="Times New Roman" w:cs="Times New Roman" w:eastAsia="Times New Roman" w:hAnsi="Times New Roman"/>
          <w:sz w:val="18"/>
          <w:szCs w:val="18"/>
          <w:i w:val="1"/>
          <w:iCs w:val="1"/>
          <w:color w:val="auto"/>
        </w:rPr>
        <w:t xml:space="preserve"> Obligations under operating leases, net of current portion </w:t>
      </w:r>
      <w:r>
        <w:rPr>
          <w:rFonts w:ascii="Times New Roman" w:cs="Times New Roman" w:eastAsia="Times New Roman" w:hAnsi="Times New Roman"/>
          <w:sz w:val="18"/>
          <w:szCs w:val="18"/>
          <w:color w:val="auto"/>
        </w:rPr>
        <w:t>on our Consolidated Balance Sheet. Finance lease ROU assets are included in</w:t>
      </w:r>
      <w:r>
        <w:rPr>
          <w:rFonts w:ascii="Times New Roman" w:cs="Times New Roman" w:eastAsia="Times New Roman" w:hAnsi="Times New Roman"/>
          <w:sz w:val="18"/>
          <w:szCs w:val="18"/>
          <w:i w:val="1"/>
          <w:iCs w:val="1"/>
          <w:color w:val="auto"/>
        </w:rPr>
        <w:t xml:space="preserve"> Property, plant and equipment, net </w:t>
      </w:r>
      <w:r>
        <w:rPr>
          <w:rFonts w:ascii="Times New Roman" w:cs="Times New Roman" w:eastAsia="Times New Roman" w:hAnsi="Times New Roman"/>
          <w:sz w:val="18"/>
          <w:szCs w:val="18"/>
          <w:color w:val="auto"/>
        </w:rPr>
        <w:t>and finance lease liabilities are included in</w:t>
      </w:r>
      <w:r>
        <w:rPr>
          <w:rFonts w:ascii="Times New Roman" w:cs="Times New Roman" w:eastAsia="Times New Roman" w:hAnsi="Times New Roman"/>
          <w:sz w:val="18"/>
          <w:szCs w:val="18"/>
          <w:i w:val="1"/>
          <w:iCs w:val="1"/>
          <w:color w:val="auto"/>
        </w:rPr>
        <w:t xml:space="preserve"> Current portion of finance lease obligations </w:t>
      </w:r>
      <w:r>
        <w:rPr>
          <w:rFonts w:ascii="Times New Roman" w:cs="Times New Roman" w:eastAsia="Times New Roman" w:hAnsi="Times New Roman"/>
          <w:sz w:val="18"/>
          <w:szCs w:val="18"/>
          <w:color w:val="auto"/>
        </w:rPr>
        <w:t>and O</w:t>
      </w:r>
      <w:r>
        <w:rPr>
          <w:rFonts w:ascii="Times New Roman" w:cs="Times New Roman" w:eastAsia="Times New Roman" w:hAnsi="Times New Roman"/>
          <w:sz w:val="18"/>
          <w:szCs w:val="18"/>
          <w:i w:val="1"/>
          <w:iCs w:val="1"/>
          <w:color w:val="auto"/>
        </w:rPr>
        <w:t xml:space="preserve">bligations under finance leases, net of current portion </w:t>
      </w:r>
      <w:r>
        <w:rPr>
          <w:rFonts w:ascii="Times New Roman" w:cs="Times New Roman" w:eastAsia="Times New Roman" w:hAnsi="Times New Roman"/>
          <w:sz w:val="18"/>
          <w:szCs w:val="18"/>
          <w:color w:val="auto"/>
        </w:rPr>
        <w:t>on our Consolidated Balance Sheet.</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Notes 12 to the Consolidated Financial Statements included herein for additional information related to our leases.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 and Stock-Based Compensation</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7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Fair value is determined on the date of the grant. The fair value of restricted stock is determined using the stock price on the grant date. The fair value of options or awards containing options is determined using the Black-Scholes valuation model or the Monte-Carlo simulation pricing model. The fair value of the performance awards related to market performance conditions is determined using the Monte-Carlo simulation pricing model. The fair value of the ESPP is determined based on the discount element offered to employees and the embedded option element, which is determined using an option calculation model.</w:t>
      </w:r>
    </w:p>
    <w:p>
      <w:pPr>
        <w:spacing w:after="0" w:line="4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The excess tax benefit and tax deficiencies are recorded within </w:t>
      </w:r>
      <w:r>
        <w:rPr>
          <w:rFonts w:ascii="Times New Roman" w:cs="Times New Roman" w:eastAsia="Times New Roman" w:hAnsi="Times New Roman"/>
          <w:sz w:val="18"/>
          <w:szCs w:val="18"/>
          <w:i w:val="1"/>
          <w:iCs w:val="1"/>
          <w:color w:val="auto"/>
        </w:rPr>
        <w:t>Tax adjustment related to discrete items</w:t>
      </w:r>
      <w:r>
        <w:rPr>
          <w:rFonts w:ascii="Times New Roman" w:cs="Times New Roman" w:eastAsia="Times New Roman" w:hAnsi="Times New Roman"/>
          <w:sz w:val="18"/>
          <w:szCs w:val="18"/>
          <w:color w:val="auto"/>
        </w:rPr>
        <w:t xml:space="preserve"> on our Consolidated Statements of Operations and the excess tax benefits or deficiencies related to share-based payments are included in operating cash flows on the Consolidated Statements of Cash Flows.</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 14 to the Consolidated Financial Statements included herein for additional information related to our equity plans and stock-based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On our atneed contracts, we generally deliver the merchandise and perform the services at the time of need.</w:t>
      </w:r>
    </w:p>
    <w:p>
      <w:pPr>
        <w:spacing w:after="0" w:line="8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4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 discounts are reflected net in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We recognize revenue when the merchandise is transferred or the service is performed, in satisfaction of the corresponding performance obligation. Sales taxes collected are recognized on a net basis in our Consolidated Financial Statements.</w:t>
      </w:r>
    </w:p>
    <w:p>
      <w:pPr>
        <w:spacing w:after="0" w:line="76"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Ancillary funeral service revenue, which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represents revenue from our flower shop, pet cremation and online cremation businesses</w:t>
      </w:r>
      <w:r>
        <w:rPr>
          <w:rFonts w:ascii="Times New Roman" w:cs="Times New Roman" w:eastAsia="Times New Roman" w:hAnsi="Times New Roman"/>
          <w:sz w:val="18"/>
          <w:szCs w:val="18"/>
          <w:i w:val="1"/>
          <w:iCs w:val="1"/>
          <w:color w:val="auto"/>
        </w:rPr>
        <w:t>.</w:t>
      </w:r>
    </w:p>
    <w:p>
      <w:pPr>
        <w:spacing w:after="0" w:line="6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The earnings from our preneed trust investments, as well as trust management fees charged by our wholly-owned registered investment advisory firm (“CSV RIA”) are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As of March 31, 2022, CSV RIA provided investment management and advisory services to approximately 80% of our trust assets, for a fee based on the market value of</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18"/>
          <w:szCs w:val="18"/>
          <w:color w:val="auto"/>
        </w:rPr>
        <w:t>trust assets. Under state trust laws, we are allowed to charge the trust a fee for advising on the investment of the trust assets and these fees are recognized as income in the period in which services are provided.</w:t>
      </w:r>
    </w:p>
    <w:p>
      <w:pPr>
        <w:spacing w:after="0" w:line="62" w:lineRule="exact"/>
        <w:rPr>
          <w:sz w:val="20"/>
          <w:szCs w:val="20"/>
          <w:color w:val="auto"/>
        </w:rPr>
      </w:pPr>
    </w:p>
    <w:p>
      <w:pPr>
        <w:jc w:val="both"/>
        <w:ind w:firstLine="395"/>
        <w:spacing w:after="0" w:line="304" w:lineRule="auto"/>
        <w:rPr>
          <w:sz w:val="20"/>
          <w:szCs w:val="20"/>
          <w:color w:val="auto"/>
        </w:rPr>
      </w:pPr>
      <w:r>
        <w:rPr>
          <w:rFonts w:ascii="Times New Roman" w:cs="Times New Roman" w:eastAsia="Times New Roman" w:hAnsi="Times New Roman"/>
          <w:sz w:val="16"/>
          <w:szCs w:val="16"/>
          <w:color w:val="auto"/>
        </w:rPr>
        <w:t xml:space="preserve">Balances due on undelivered preneed funeral trust contracts have been reclassified to reduce </w:t>
      </w:r>
      <w:r>
        <w:rPr>
          <w:rFonts w:ascii="Times New Roman" w:cs="Times New Roman" w:eastAsia="Times New Roman" w:hAnsi="Times New Roman"/>
          <w:sz w:val="16"/>
          <w:szCs w:val="16"/>
          <w:i w:val="1"/>
          <w:iCs w:val="1"/>
          <w:color w:val="auto"/>
        </w:rPr>
        <w:t>Deferred preneed funeral revenue</w:t>
      </w:r>
      <w:r>
        <w:rPr>
          <w:rFonts w:ascii="Times New Roman" w:cs="Times New Roman" w:eastAsia="Times New Roman" w:hAnsi="Times New Roman"/>
          <w:sz w:val="16"/>
          <w:szCs w:val="16"/>
          <w:color w:val="auto"/>
        </w:rPr>
        <w:t xml:space="preserve"> on our Consolidated Balance Sheet of $8.0 million at both December 31, 2021 and March 31, 2022. As these performance obligations are to be completed after the date of death, we cannot quantify the recognition of revenue in future periods. However, we estimate an average maturity period of ten years for preneed funeral contracts.</w:t>
      </w:r>
    </w:p>
    <w:p>
      <w:pPr>
        <w:spacing w:after="0" w:line="3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Balances due from customers on delivered preneed cemetery contracts are included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on our Consolidated Balance Sheet. Balances due on undelivered preneed cemetery contracts have been reclassified to reduce </w:t>
      </w:r>
      <w:r>
        <w:rPr>
          <w:rFonts w:ascii="Times New Roman" w:cs="Times New Roman" w:eastAsia="Times New Roman" w:hAnsi="Times New Roman"/>
          <w:sz w:val="18"/>
          <w:szCs w:val="18"/>
          <w:i w:val="1"/>
          <w:iCs w:val="1"/>
          <w:color w:val="auto"/>
        </w:rPr>
        <w:t>Deferred preneed cemetery revenue</w:t>
      </w:r>
      <w:r>
        <w:rPr>
          <w:rFonts w:ascii="Times New Roman" w:cs="Times New Roman" w:eastAsia="Times New Roman" w:hAnsi="Times New Roman"/>
          <w:sz w:val="18"/>
          <w:szCs w:val="18"/>
          <w:color w:val="auto"/>
        </w:rPr>
        <w:t xml:space="preserve"> on our Consolidated Balance Sheet. The transaction price allocated to preneed merchandise and service performance obligations that were unfulfilled were $10.4 million and $10.8 million at December 31, 2021 and March 31, 2022,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16 to the Consolidated Financial Statements herein for additional information related to revenue.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64"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June 30, 2020, we filed carryback refund claims for the 2018 and 2019 tax years. The majority of the net operating losses generated in 2018 are the result of filing non-automatic accounting method changes relating to the recognition of revenue from our cemetery property and merchandise and services sales.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October 11, 2021, we received an adverse ruling from the IRS related to our accounting method change for cemetery property revenue recognition filed in 2018 and subsequently filed an automatic accounting method change to adopt the IRS’ preferred method of revenue recognition for cemetery property effective for the year ending December 31, 2021.</w:t>
      </w:r>
    </w:p>
    <w:p>
      <w:pPr>
        <w:spacing w:after="0" w:line="7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On March 2, 2022, we received approval from the IRS regarding our method change filed related to the revenue recognition of cemetery merchandise and services sales. As a result, we recorded a $0.5 million reduction to the reserve for uncertain tax positions during the three months ended March 31, 2022.</w:t>
      </w:r>
    </w:p>
    <w:p>
      <w:pPr>
        <w:spacing w:after="0" w:line="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2021 and March 31, 2022, the reserve for uncertain tax positions was $3.8 million and $3.2 million, respectively, related to carrying back the NOLs generated in the tax year ended December 31, 2018, filed under the CARES Act on June 30, 2020.</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Income tax expense during interim periods is based on our forecasted annual effective tax rate plus any discrete items, which are recorded in the period in which they occur. Discrete items include, but are not limited to, such events as changes in estimates due to finalization of income tax returns, tax audit settlements, tax effects of exercised or vested stock-based awards and increases or decreases in valuation allowances on deferred tax assets.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Income tax expense was $5.6 million and $5.1 million for the three months ended March 31, 2021 and 2022, respectively. Our operating tax rate before discrete items was 31.0% and 26.5% for the three months ended March 31, 2021 and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Earnings Per Common Share</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and performance awards.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Share-based awards that contain non-forfeitable rights to dividends or dividend equivalents, whether paid or unpaid, are recognized as participating securities and included in the computation of both basic and diluted earnings per share. Our grants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of restricted stock awards to our employees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performance awards are considered to be contingently issuable shares because their issuance is contingent upon the satisfaction of certain performance and service conditions. In accordance with ASC 260, we have included in the computation of diluted earnings per share the number of performance awards that would have been issuable as if the end of the reporting period was the end of the contingency period. These shares are considered to be outstanding at the beginning of the reporting period.</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15 to the Consolidated Financial Statements included herein related to the computation of earnings per share.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evaluated events and transactions during the period subsequent to March 31, 2022 through the date the financial statements were issued for potential recognition or disclosure in the accompanying financial statements covered by this report.</w:t>
      </w:r>
    </w:p>
    <w:p>
      <w:pPr>
        <w:spacing w:after="0" w:line="220" w:lineRule="exact"/>
        <w:rPr>
          <w:sz w:val="20"/>
          <w:szCs w:val="20"/>
          <w:color w:val="auto"/>
        </w:rPr>
      </w:pPr>
    </w:p>
    <w:p>
      <w:pPr>
        <w:ind w:right="6600" w:firstLine="5"/>
        <w:spacing w:after="0" w:line="480" w:lineRule="auto"/>
        <w:tabs>
          <w:tab w:leader="none" w:pos="631"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ISSUED ACCOUNTING STANDARDS Accounting Pronouncements Not Yet Adopted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09"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 xml:space="preserve">In March 2020, the FASB issued ASU, </w:t>
      </w:r>
      <w:r>
        <w:rPr>
          <w:rFonts w:ascii="Times New Roman" w:cs="Times New Roman" w:eastAsia="Times New Roman" w:hAnsi="Times New Roman"/>
          <w:sz w:val="16"/>
          <w:szCs w:val="16"/>
          <w:i w:val="1"/>
          <w:iCs w:val="1"/>
          <w:color w:val="auto"/>
        </w:rPr>
        <w:t>Reference Rate Reform</w:t>
      </w:r>
      <w:r>
        <w:rPr>
          <w:rFonts w:ascii="Times New Roman" w:cs="Times New Roman" w:eastAsia="Times New Roman" w:hAnsi="Times New Roman"/>
          <w:sz w:val="16"/>
          <w:szCs w:val="16"/>
          <w:color w:val="auto"/>
        </w:rPr>
        <w:t xml:space="preserve"> (“Topic 848”) to provide optional guidance for a limited time to ease the potential burden in accounting for reference rate reform. The new guidance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We have certain agreements that have LIBOR as a reference rate, which primarily include our Credit Facility (defined in Note 10), which has language for choosing an alternative successor rate if LIBOR reference is no longer considered to be appropriate. Contract modifications are required to be evaluated in determining whether the modifications result in the establishment of new contracts or the continuation of existing contracts. We adopted this amendment in March 2020 and plan to apply the amendments in this update to agreements as they are amended to include a new reference rate or when LIBOR reference is no longer used. We did not utilize the optional expedients and exceptions provided by this ASU during the three months ended March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 Accounting for Contract Assets and Contract Liabilities from Contracts with Customers</w:t>
      </w:r>
    </w:p>
    <w:p>
      <w:pPr>
        <w:spacing w:after="0" w:line="10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In October 2021, the FASB issued ASU,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to improve the accounting for acquired revenue contracts with customers in a business combination. The amendments in this update provide specific guidance on how to recognize and measure acquired contract assets and contract liabilities from revenue contracts in a business combination. These amendments require that an entity (acquirer) recognize and measure contract assets and contract liabilities acquired in a business combination in accordance with ASC 606 – Revenue from Contracts with Customers (“Topic 606”). At the acquisition date, an acquirer should account for the related revenue contracts in accordance with Topic 606 as if it had originated the contracts. These amendments are effective for fiscal years beginning after December 15, 2022, including interim periods within those fiscal years and should be applied prospectively to business combinations occurring on or after the effective date of the amendments. We plan to adopt the provisions of this ASU for our fiscal year beginning January 1, 2023. We are still evaluating the impact of adoption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 Vintage Disclosures</w:t>
      </w:r>
    </w:p>
    <w:p>
      <w:pPr>
        <w:spacing w:after="0" w:line="10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In March 2022, the FASB issued ASU,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to make the requirement to disclose gross write-offs by class of financing receivable and major security type consistent for all public business entities. The amendment in this update provides specific guidance on the disclosure for current period write-offs by year of origination for financing receivables. This amendment is effective for fiscal years beginning after December 15, 2022, including interim periods within those fiscal years and should be applied prospectively to disclosures occurring on or after the effective date of the amendment. We plan to adopt the provisions of this ASU for our fiscal year beginning January 1, 2023. We expect the adoption will have no impact on our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4" w:name="page15"/>
    <w:bookmarkEnd w:id="14"/>
    <w:p>
      <w:pPr>
        <w:ind w:left="640" w:hanging="635"/>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changes in goodwill in the accompanying Consolidated Balance Sheet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beginning of the period</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392,978</w:t>
            </w: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391,972</w:t>
            </w:r>
          </w:p>
        </w:tc>
      </w:tr>
      <w:tr>
        <w:trPr>
          <w:trHeight w:val="224"/>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goodwill related to divestitures</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42"/>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end of the period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391,972</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340" w:firstLine="395"/>
        <w:spacing w:after="0" w:line="26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we allocated $0.9 million of goodwill to the sale of two funeral homes for a loss recorded in </w:t>
      </w:r>
      <w:r>
        <w:rPr>
          <w:rFonts w:ascii="Times New Roman" w:cs="Times New Roman" w:eastAsia="Times New Roman" w:hAnsi="Times New Roman"/>
          <w:sz w:val="18"/>
          <w:szCs w:val="18"/>
          <w:i w:val="1"/>
          <w:iCs w:val="1"/>
          <w:color w:val="auto"/>
        </w:rPr>
        <w:t>Net (gain) loss on divestitures, disposals and impairments charges.</w:t>
      </w:r>
    </w:p>
    <w:p>
      <w:pPr>
        <w:spacing w:after="0" w:line="220" w:lineRule="exact"/>
        <w:rPr>
          <w:sz w:val="20"/>
          <w:szCs w:val="20"/>
          <w:color w:val="auto"/>
        </w:rPr>
      </w:pPr>
    </w:p>
    <w:p>
      <w:pPr>
        <w:ind w:left="640" w:hanging="635"/>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DIVESTED OPERATIONS</w:t>
      </w:r>
    </w:p>
    <w:p>
      <w:pPr>
        <w:spacing w:after="0" w:line="111"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we sold two funeral homes for an aggregate of $0.9 million. During the three months ended March 31, 2021, we sold one funeral home for $1.5 million and merged one funeral home with another business we own in an existing market.</w:t>
      </w:r>
    </w:p>
    <w:p>
      <w:pPr>
        <w:spacing w:after="0" w:line="64"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operating results of these divested funeral homes are reflected on our Consolidated Statements of Operations as shown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05"/>
        </w:trPr>
        <w:tc>
          <w:tcPr>
            <w:tcW w:w="8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105"/>
        </w:trPr>
        <w:tc>
          <w:tcPr>
            <w:tcW w:w="8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80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Gain (loss) on divestitures</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divested operations, after tax</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1107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88" w:lineRule="exact"/>
        <w:rPr>
          <w:sz w:val="20"/>
          <w:szCs w:val="20"/>
          <w:color w:val="auto"/>
        </w:rPr>
      </w:pPr>
    </w:p>
    <w:p>
      <w:pPr>
        <w:ind w:left="400" w:hanging="377"/>
        <w:spacing w:after="0"/>
        <w:tabs>
          <w:tab w:leader="none" w:pos="4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Gain (loss) on divestitures is recorded in </w:t>
      </w:r>
      <w:r>
        <w:rPr>
          <w:rFonts w:ascii="Times New Roman" w:cs="Times New Roman" w:eastAsia="Times New Roman" w:hAnsi="Times New Roman"/>
          <w:sz w:val="16"/>
          <w:szCs w:val="16"/>
          <w:i w:val="1"/>
          <w:iCs w:val="1"/>
          <w:color w:val="auto"/>
        </w:rPr>
        <w:t>Net (gain) loss on divestitures, disposals and impairments charges</w:t>
      </w:r>
      <w:r>
        <w:rPr>
          <w:rFonts w:ascii="Times New Roman" w:cs="Times New Roman" w:eastAsia="Times New Roman" w:hAnsi="Times New Roman"/>
          <w:sz w:val="16"/>
          <w:szCs w:val="16"/>
          <w:color w:val="auto"/>
        </w:rPr>
        <w:t xml:space="preserve"> on our Consolidated Statements of Operations.</w:t>
      </w:r>
    </w:p>
    <w:p>
      <w:pPr>
        <w:spacing w:after="0" w:line="364" w:lineRule="exact"/>
        <w:rPr>
          <w:rFonts w:ascii="Times New Roman" w:cs="Times New Roman" w:eastAsia="Times New Roman" w:hAnsi="Times New Roman"/>
          <w:sz w:val="16"/>
          <w:szCs w:val="16"/>
          <w:color w:val="auto"/>
        </w:rPr>
      </w:pPr>
    </w:p>
    <w:p>
      <w:pPr>
        <w:ind w:left="640" w:hanging="635"/>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receivable is comprised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5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8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8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24,209</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1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25,570</w:t>
            </w: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05"/>
        </w:trPr>
        <w:tc>
          <w:tcPr>
            <w:tcW w:w="5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8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r>
      <w:tr>
        <w:trPr>
          <w:trHeight w:val="218"/>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activity in our allowance for credit losses by portfolio segment (in thousands):</w:t>
      </w: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Write Offs</w:t>
            </w:r>
          </w:p>
        </w:tc>
        <w:tc>
          <w:tcPr>
            <w:tcW w:w="12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0" w:type="dxa"/>
            <w:vAlign w:val="bottom"/>
          </w:tcPr>
          <w:p>
            <w:pPr>
              <w:spacing w:after="0"/>
              <w:rPr>
                <w:sz w:val="1"/>
                <w:szCs w:val="1"/>
                <w:color w:val="auto"/>
              </w:rPr>
            </w:pPr>
          </w:p>
        </w:tc>
      </w:tr>
      <w:tr>
        <w:trPr>
          <w:trHeight w:val="210"/>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0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151"/>
        </w:trPr>
        <w:tc>
          <w:tcPr>
            <w:tcW w:w="440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allowance for credit losses on Trade and financed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31"/>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Preneed Cemetery Receivables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12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7"/>
              </w:rPr>
              <w:t>Our preneed cemetery receivables are comprised of the following (in thousands):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0" w:type="dxa"/>
            <w:vAlign w:val="bottom"/>
          </w:tcPr>
          <w:p>
            <w:pPr>
              <w:spacing w:after="0"/>
              <w:rPr>
                <w:sz w:val="1"/>
                <w:szCs w:val="1"/>
                <w:color w:val="auto"/>
              </w:rPr>
            </w:pPr>
          </w:p>
        </w:tc>
      </w:tr>
      <w:tr>
        <w:trPr>
          <w:trHeight w:val="21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Interment rights</w:t>
            </w:r>
          </w:p>
        </w:tc>
        <w:tc>
          <w:tcPr>
            <w:tcW w:w="1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40,863</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and services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finance charges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cemetery receivables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52,855</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our preneed cemetery receivables are as follows (in thousands):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9"/>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6"/>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0" w:type="dxa"/>
            <w:vAlign w:val="bottom"/>
          </w:tcPr>
          <w:p>
            <w:pPr>
              <w:spacing w:after="0"/>
              <w:rPr>
                <w:sz w:val="1"/>
                <w:szCs w:val="1"/>
                <w:color w:val="auto"/>
              </w:rPr>
            </w:pPr>
          </w:p>
        </w:tc>
      </w:tr>
      <w:tr>
        <w:trPr>
          <w:trHeight w:val="219"/>
        </w:trPr>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w:t>
            </w:r>
          </w:p>
        </w:tc>
        <w:tc>
          <w:tcPr>
            <w:tcW w:w="4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52,726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unearned finance charges</w:t>
            </w: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 at amortized cost</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48,153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Less: balances due on undelivered cemetery preneed contracts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amounts in accounts receivable</w:t>
            </w: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4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gridSpan w:val="3"/>
          </w:tcPr>
          <w:p>
            <w:pPr>
              <w:spacing w:after="0" w:line="20" w:lineRule="exact"/>
              <w:rPr>
                <w:sz w:val="1"/>
                <w:szCs w:val="1"/>
                <w:color w:val="auto"/>
              </w:rPr>
            </w:pPr>
          </w:p>
        </w:tc>
        <w:tc>
          <w:tcPr>
            <w:tcW w:w="90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0020" w:type="dxa"/>
            <w:vAlign w:val="bottom"/>
            <w:gridSpan w:val="25"/>
          </w:tcPr>
          <w:p>
            <w:pPr>
              <w:ind w:left="360"/>
              <w:spacing w:after="0"/>
              <w:rPr>
                <w:sz w:val="20"/>
                <w:szCs w:val="20"/>
                <w:color w:val="auto"/>
              </w:rPr>
            </w:pPr>
            <w:r>
              <w:rPr>
                <w:rFonts w:ascii="Times New Roman" w:cs="Times New Roman" w:eastAsia="Times New Roman" w:hAnsi="Times New Roman"/>
                <w:sz w:val="18"/>
                <w:szCs w:val="18"/>
                <w:color w:val="auto"/>
              </w:rPr>
              <w:t xml:space="preserve">The following table summarizes the activity in our allowance for credit losses for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6"/>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00" w:type="dxa"/>
            <w:vAlign w:val="bottom"/>
          </w:tcPr>
          <w:p>
            <w:pPr>
              <w:spacing w:after="0"/>
              <w:rPr>
                <w:sz w:val="16"/>
                <w:szCs w:val="16"/>
                <w:color w:val="auto"/>
              </w:rPr>
            </w:pP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Write Offs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506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 xml:space="preserve">Total allowance for credit losses on </w:t>
            </w:r>
            <w:r>
              <w:rPr>
                <w:rFonts w:ascii="Times New Roman" w:cs="Times New Roman" w:eastAsia="Times New Roman" w:hAnsi="Times New Roman"/>
                <w:sz w:val="18"/>
                <w:szCs w:val="18"/>
                <w:i w:val="1"/>
                <w:iCs w:val="1"/>
                <w:color w:val="auto"/>
                <w:w w:val="98"/>
              </w:rPr>
              <w:t>Preneed cemetery receivables, net</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07"/>
        </w:trPr>
        <w:tc>
          <w:tcPr>
            <w:tcW w:w="10020" w:type="dxa"/>
            <w:vAlign w:val="bottom"/>
            <w:gridSpan w:val="25"/>
          </w:tcPr>
          <w:p>
            <w:pPr>
              <w:ind w:left="360"/>
              <w:spacing w:after="0"/>
              <w:rPr>
                <w:sz w:val="20"/>
                <w:szCs w:val="20"/>
                <w:color w:val="auto"/>
              </w:rPr>
            </w:pPr>
            <w:r>
              <w:rPr>
                <w:rFonts w:ascii="Times New Roman" w:cs="Times New Roman" w:eastAsia="Times New Roman" w:hAnsi="Times New Roman"/>
                <w:sz w:val="18"/>
                <w:szCs w:val="18"/>
                <w:color w:val="auto"/>
              </w:rPr>
              <w:t>The amortized cost basis of our preneed cemetery receivables by year of origination at March 31, 2022 is as follows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36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T</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364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preneed cemetery receivables, at amortized</w:t>
            </w: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2,604</w:t>
            </w: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2,145</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aging of past due preneed cemetery receivables at March 31, 2022 is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31-60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61-90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91-120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&gt;120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6"/>
                <w:szCs w:val="16"/>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6"/>
                <w:szCs w:val="16"/>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Due</w:t>
            </w: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37,358</w:t>
            </w:r>
          </w:p>
        </w:tc>
        <w:tc>
          <w:tcPr>
            <w:tcW w:w="0" w:type="dxa"/>
            <w:vAlign w:val="bottom"/>
          </w:tcPr>
          <w:p>
            <w:pPr>
              <w:spacing w:after="0"/>
              <w:rPr>
                <w:sz w:val="1"/>
                <w:szCs w:val="1"/>
                <w:color w:val="auto"/>
              </w:rPr>
            </w:pPr>
          </w:p>
        </w:tc>
      </w:tr>
      <w:tr>
        <w:trPr>
          <w:trHeight w:val="224"/>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0" w:type="dxa"/>
            <w:vAlign w:val="bottom"/>
          </w:tcPr>
          <w:p>
            <w:pPr>
              <w:spacing w:after="0"/>
              <w:rPr>
                <w:sz w:val="1"/>
                <w:szCs w:val="1"/>
                <w:color w:val="auto"/>
              </w:rPr>
            </w:pPr>
          </w:p>
        </w:tc>
      </w:tr>
      <w:tr>
        <w:trPr>
          <w:trHeight w:val="24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- 16 -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890" w:right="239" w:bottom="1440" w:gutter="0" w:footer="0" w:header="0"/>
        </w:sectPr>
      </w:pPr>
    </w:p>
    <w:bookmarkStart w:id="16" w:name="page17"/>
    <w:bookmarkEnd w:id="16"/>
    <w:p>
      <w:pPr>
        <w:ind w:left="640" w:hanging="635"/>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INVESTMENTS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our 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 w:cs="Times New Roman" w:eastAsia="Times New Roman" w:hAnsi="Times New Roman"/>
          <w:sz w:val="18"/>
          <w:szCs w:val="18"/>
          <w:i w:val="1"/>
          <w:iCs w:val="1"/>
          <w:color w:val="auto"/>
        </w:rPr>
        <w:t>Other revenue.</w:t>
      </w:r>
    </w:p>
    <w:p>
      <w:pPr>
        <w:spacing w:after="0" w:line="7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We review and update our fair value hierarchy classifications quarterly. See Note 8 to the Consolidated Financial Statements included herein for further information of the fair value measurement.</w:t>
      </w:r>
    </w:p>
    <w:p>
      <w:pPr>
        <w:spacing w:after="0" w:line="80"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Changes in the fair value of our trust fund assets (</w:t>
      </w:r>
      <w:r>
        <w:rPr>
          <w:rFonts w:ascii="Times New Roman" w:cs="Times New Roman" w:eastAsia="Times New Roman" w:hAnsi="Times New Roman"/>
          <w:sz w:val="18"/>
          <w:szCs w:val="18"/>
          <w:i w:val="1"/>
          <w:iCs w:val="1"/>
          <w:color w:val="auto"/>
        </w:rPr>
        <w:t>Preneed funeral, cemetery and perpetual care trust investments</w:t>
      </w:r>
      <w:r>
        <w:rPr>
          <w:rFonts w:ascii="Times New Roman" w:cs="Times New Roman" w:eastAsia="Times New Roman" w:hAnsi="Times New Roman"/>
          <w:sz w:val="18"/>
          <w:szCs w:val="18"/>
          <w:color w:val="auto"/>
        </w:rPr>
        <w:t>) are offset by changes in the fair value of our trust fund liabilities (</w:t>
      </w:r>
      <w:r>
        <w:rPr>
          <w:rFonts w:ascii="Times New Roman" w:cs="Times New Roman" w:eastAsia="Times New Roman" w:hAnsi="Times New Roman"/>
          <w:sz w:val="18"/>
          <w:szCs w:val="18"/>
          <w:i w:val="1"/>
          <w:iCs w:val="1"/>
          <w:color w:val="auto"/>
        </w:rPr>
        <w:t>Deferred preneed funeral and cemetery receipts held in trust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Care trusts’ corpus</w:t>
      </w:r>
      <w:r>
        <w:rPr>
          <w:rFonts w:ascii="Times New Roman" w:cs="Times New Roman" w:eastAsia="Times New Roman" w:hAnsi="Times New Roman"/>
          <w:sz w:val="18"/>
          <w:szCs w:val="18"/>
          <w:color w:val="auto"/>
        </w:rPr>
        <w:t xml:space="preserve">) and reflected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There is no impact on earnings until such time the services are performed or the merchandise is delivered, causing the contract to be withdrawn from the trust in accordance with state regulations and the gain or loss is allocated to the contract.</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Preneed Cemetery Trust Investments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cemetery trust investments</w:t>
      </w:r>
      <w:r>
        <w:rPr>
          <w:rFonts w:ascii="Times New Roman" w:cs="Times New Roman" w:eastAsia="Times New Roman" w:hAnsi="Times New Roman"/>
          <w:sz w:val="18"/>
          <w:szCs w:val="18"/>
          <w:color w:val="auto"/>
        </w:rPr>
        <w:t xml:space="preserve"> on our Consolidated Balance Sheet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6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0" w:type="dxa"/>
            <w:vAlign w:val="bottom"/>
          </w:tcPr>
          <w:p>
            <w:pPr>
              <w:spacing w:after="0"/>
              <w:rPr>
                <w:sz w:val="1"/>
                <w:szCs w:val="1"/>
                <w:color w:val="auto"/>
              </w:rPr>
            </w:pPr>
          </w:p>
        </w:tc>
      </w:tr>
      <w:tr>
        <w:trPr>
          <w:trHeight w:val="21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 at market value</w:t>
            </w:r>
          </w:p>
        </w:tc>
        <w:tc>
          <w:tcPr>
            <w:tcW w:w="27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103,808</w:t>
            </w: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2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27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100,903</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352"/>
              <w:spacing w:after="0"/>
              <w:rPr>
                <w:sz w:val="20"/>
                <w:szCs w:val="20"/>
                <w:color w:val="auto"/>
              </w:rPr>
            </w:pPr>
            <w:r>
              <w:rPr>
                <w:rFonts w:ascii="Times New Roman" w:cs="Times New Roman" w:eastAsia="Times New Roman" w:hAnsi="Times New Roman"/>
                <w:sz w:val="18"/>
                <w:szCs w:val="18"/>
                <w:color w:val="auto"/>
              </w:rPr>
              <w:t>- 18 -</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5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6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March 31, 2022 are detailed below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obligations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105,459</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11"/>
            <w:vMerge w:val="restart"/>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800" w:type="dxa"/>
            <w:vAlign w:val="bottom"/>
            <w:gridSpan w:val="11"/>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December 31, 2021 are detailed below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3"/>
                <w:szCs w:val="13"/>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00" w:type="dxa"/>
            <w:vAlign w:val="bottom"/>
            <w:tcBorders>
              <w:top w:val="single" w:sz="8" w:color="auto"/>
            </w:tcBorders>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43,819</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income</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96,817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103,808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7"/>
              </w:rPr>
              <w:t>- 19 -</w:t>
            </w: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8" w:name="page19"/>
    <w:bookmarkEnd w:id="18"/>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preneed cemetery trust investments in an unrealized loss position at March 31,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9"/>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preneed cemetery trust investments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6"/>
          </w:tcPr>
          <w:p>
            <w:pPr>
              <w:jc w:val="center"/>
              <w:ind w:right="280"/>
              <w:spacing w:after="0" w:line="154" w:lineRule="exact"/>
              <w:rPr>
                <w:sz w:val="20"/>
                <w:szCs w:val="20"/>
                <w:color w:val="auto"/>
              </w:rPr>
            </w:pPr>
            <w:r>
              <w:rPr>
                <w:rFonts w:ascii="Times New Roman" w:cs="Times New Roman" w:eastAsia="Times New Roman" w:hAnsi="Times New Roman"/>
                <w:sz w:val="16"/>
                <w:szCs w:val="16"/>
                <w:b w:val="1"/>
                <w:bCs w:val="1"/>
                <w:color w:val="auto"/>
                <w:w w:val="99"/>
              </w:rPr>
              <w:t>In Loss Position Less than 12</w:t>
            </w:r>
          </w:p>
        </w:tc>
        <w:tc>
          <w:tcPr>
            <w:tcW w:w="60" w:type="dxa"/>
            <w:vAlign w:val="bottom"/>
          </w:tcPr>
          <w:p>
            <w:pPr>
              <w:spacing w:after="0"/>
              <w:rPr>
                <w:sz w:val="13"/>
                <w:szCs w:val="13"/>
                <w:color w:val="auto"/>
              </w:rPr>
            </w:pPr>
          </w:p>
        </w:tc>
        <w:tc>
          <w:tcPr>
            <w:tcW w:w="2440" w:type="dxa"/>
            <w:vAlign w:val="bottom"/>
            <w:gridSpan w:val="7"/>
          </w:tcPr>
          <w:p>
            <w:pPr>
              <w:jc w:val="center"/>
              <w:ind w:right="141"/>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vMerge w:val="restart"/>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4"/>
            <w:vMerge w:val="continue"/>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36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38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000" w:type="dxa"/>
            <w:vAlign w:val="bottom"/>
            <w:tcBorders>
              <w:top w:val="single" w:sz="8" w:color="auto"/>
            </w:tcBorders>
            <w:gridSpan w:val="3"/>
          </w:tcPr>
          <w:p>
            <w:pPr>
              <w:jc w:val="right"/>
              <w:ind w:right="92"/>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5"/>
              <w:spacing w:after="0" w:line="126" w:lineRule="exact"/>
              <w:rPr>
                <w:sz w:val="20"/>
                <w:szCs w:val="20"/>
                <w:color w:val="auto"/>
              </w:rPr>
            </w:pPr>
            <w:r>
              <w:rPr>
                <w:rFonts w:ascii="Times New Roman" w:cs="Times New Roman" w:eastAsia="Times New Roman" w:hAnsi="Times New Roman"/>
                <w:sz w:val="14"/>
                <w:szCs w:val="14"/>
                <w:color w:val="auto"/>
                <w:w w:val="97"/>
              </w:rPr>
              <w:t>Unrealized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Losses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5"/>
              </w:rPr>
              <w:t>Value</w:t>
            </w:r>
          </w:p>
        </w:tc>
        <w:tc>
          <w:tcPr>
            <w:tcW w:w="32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Losses</w:t>
            </w:r>
          </w:p>
        </w:tc>
        <w:tc>
          <w:tcPr>
            <w:tcW w:w="24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Value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9"/>
                <w:szCs w:val="19"/>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19"/>
                <w:szCs w:val="19"/>
                <w:color w:val="auto"/>
              </w:rPr>
            </w:pP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32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Preneed cemetery trust investment security transactions recorded</w:t>
            </w:r>
          </w:p>
        </w:tc>
        <w:tc>
          <w:tcPr>
            <w:tcW w:w="8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Other, net</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on</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our Consolidated</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Statements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Operations are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follows</w:t>
            </w:r>
          </w:p>
        </w:tc>
        <w:tc>
          <w:tcPr>
            <w:tcW w:w="0" w:type="dxa"/>
            <w:vAlign w:val="bottom"/>
          </w:tcPr>
          <w:p>
            <w:pPr>
              <w:spacing w:after="0"/>
              <w:rPr>
                <w:sz w:val="1"/>
                <w:szCs w:val="1"/>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205"/>
        </w:trPr>
        <w:tc>
          <w:tcPr>
            <w:tcW w:w="4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net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4"/>
        </w:trPr>
        <w:tc>
          <w:tcPr>
            <w:tcW w:w="53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cemetery receipts held in trust</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12"/>
            <w:vMerge w:val="restart"/>
          </w:tcPr>
          <w:p>
            <w:pPr>
              <w:ind w:left="400"/>
              <w:spacing w:after="0"/>
              <w:rPr>
                <w:sz w:val="20"/>
                <w:szCs w:val="20"/>
                <w:color w:val="auto"/>
              </w:rPr>
            </w:pPr>
            <w:r>
              <w:rPr>
                <w:rFonts w:ascii="Times New Roman" w:cs="Times New Roman" w:eastAsia="Times New Roman" w:hAnsi="Times New Roman"/>
                <w:sz w:val="18"/>
                <w:szCs w:val="18"/>
                <w:color w:val="auto"/>
              </w:rPr>
              <w:t>Purchases and sales of investments in the preneed cemetery trusts are as follows (in thousands):</w:t>
            </w: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74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205"/>
        </w:trPr>
        <w:tc>
          <w:tcPr>
            <w:tcW w:w="4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(8,411)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- 20 -</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Preneed Funeral Trust Investments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Preneed funeral trust investments represent trust fund assets that we are permitted to withdraw as services and merchandise are provided to customers.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funeral contracts are secured by payments from customers, less retained amounts not required to be deposited into trust.</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funeral trust investments</w:t>
      </w:r>
      <w:r>
        <w:rPr>
          <w:rFonts w:ascii="Times New Roman" w:cs="Times New Roman" w:eastAsia="Times New Roman" w:hAnsi="Times New Roman"/>
          <w:sz w:val="18"/>
          <w:szCs w:val="18"/>
          <w:color w:val="auto"/>
        </w:rPr>
        <w:t xml:space="preserve"> on our Consolidated Balance Sheet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0" w:type="dxa"/>
            <w:vAlign w:val="bottom"/>
          </w:tcPr>
          <w:p>
            <w:pPr>
              <w:spacing w:after="0"/>
              <w:rPr>
                <w:sz w:val="1"/>
                <w:szCs w:val="1"/>
                <w:color w:val="auto"/>
              </w:rPr>
            </w:pPr>
          </w:p>
        </w:tc>
      </w:tr>
      <w:tr>
        <w:trPr>
          <w:trHeight w:val="21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 at market value</w:t>
            </w:r>
          </w:p>
        </w:tc>
        <w:tc>
          <w:tcPr>
            <w:tcW w:w="1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116,973</w:t>
            </w: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9"/>
              </w:rPr>
              <w:t>116,605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113,658</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9"/>
              </w:rPr>
              <w:t>113,332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80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w w:val="99"/>
              </w:rPr>
              <w:t>The cost and market values associated with preneed funeral trust investments at March 31, 2022 are detailed below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1100" w:type="dxa"/>
            <w:vAlign w:val="bottom"/>
          </w:tcPr>
          <w:p>
            <w:pPr>
              <w:jc w:val="center"/>
              <w:ind w:left="35"/>
              <w:spacing w:after="0" w:line="15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ind w:right="196"/>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20" w:type="dxa"/>
            <w:vAlign w:val="bottom"/>
            <w:gridSpan w:val="3"/>
          </w:tcPr>
          <w:p>
            <w:pPr>
              <w:jc w:val="right"/>
              <w:ind w:right="192"/>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Fair Market</w:t>
            </w: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2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109,121</w:t>
            </w:r>
          </w:p>
        </w:tc>
        <w:tc>
          <w:tcPr>
            <w:tcW w:w="2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40" w:type="dxa"/>
            <w:vAlign w:val="bottom"/>
            <w:tcBorders>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116,605</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7"/>
              </w:rPr>
              <w:t>106.0%</w:t>
            </w:r>
          </w:p>
        </w:tc>
        <w:tc>
          <w:tcPr>
            <w:tcW w:w="40" w:type="dxa"/>
            <w:vAlign w:val="bottom"/>
            <w:tcBorders>
              <w:left w:val="single" w:sz="8" w:color="CCEEFF"/>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14"/>
            <w:vMerge w:val="restart"/>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800" w:type="dxa"/>
            <w:vAlign w:val="bottom"/>
            <w:gridSpan w:val="14"/>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7"/>
              </w:rPr>
              <w:t>- 21 -</w:t>
            </w: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color w:val="auto"/>
        </w:rPr>
        <w:t>The cost and market values associated with preneed funeral trust investments at December 31, 2021 are detailed below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3"/>
                <w:szCs w:val="13"/>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39,537</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42"/>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45"/>
        </w:trPr>
        <w:tc>
          <w:tcPr>
            <w:tcW w:w="432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116,973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preneed funeral trust investment in an unrealized loss position at March 31,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color w:val="auto"/>
                <w:w w:val="99"/>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9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1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preneed funeral trust investment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3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w w:val="97"/>
              </w:rPr>
              <w:t>- 22 -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6"/>
          <w:szCs w:val="16"/>
          <w:color w:val="auto"/>
        </w:rPr>
        <w:t xml:space="preserve">Preneed funeral trust investment security transactions recorded in </w:t>
      </w:r>
      <w:r>
        <w:rPr>
          <w:rFonts w:ascii="Times New Roman" w:cs="Times New Roman" w:eastAsia="Times New Roman" w:hAnsi="Times New Roman"/>
          <w:sz w:val="16"/>
          <w:szCs w:val="16"/>
          <w:i w:val="1"/>
          <w:iCs w:val="1"/>
          <w:color w:val="auto"/>
        </w:rPr>
        <w:t>Other, net</w:t>
      </w:r>
      <w:r>
        <w:rPr>
          <w:rFonts w:ascii="Times New Roman" w:cs="Times New Roman" w:eastAsia="Times New Roman" w:hAnsi="Times New Roman"/>
          <w:sz w:val="16"/>
          <w:szCs w:val="16"/>
          <w:color w:val="auto"/>
        </w:rPr>
        <w:t xml:space="preserve"> on the Consolidated Statements of Operations are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funeral receipts held in trust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Purchases and sales of investments in the preneed funeral trusts are as follows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8"/>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Perpetual Care Trust Investments</w:t>
      </w:r>
    </w:p>
    <w:p>
      <w:pPr>
        <w:spacing w:after="0" w:line="109" w:lineRule="exact"/>
        <w:rPr>
          <w:sz w:val="20"/>
          <w:szCs w:val="20"/>
          <w:color w:val="auto"/>
        </w:rPr>
      </w:pPr>
    </w:p>
    <w:p>
      <w:pPr>
        <w:jc w:val="both"/>
        <w:ind w:firstLine="395"/>
        <w:spacing w:after="0" w:line="269" w:lineRule="auto"/>
        <w:rPr>
          <w:sz w:val="20"/>
          <w:szCs w:val="20"/>
          <w:color w:val="auto"/>
        </w:rPr>
      </w:pPr>
      <w:r>
        <w:rPr>
          <w:rFonts w:ascii="Times New Roman" w:cs="Times New Roman" w:eastAsia="Times New Roman" w:hAnsi="Times New Roman"/>
          <w:sz w:val="18"/>
          <w:szCs w:val="18"/>
          <w:color w:val="auto"/>
        </w:rPr>
        <w:t xml:space="preserve">Care trusts’ corpus on our Consolidated Balance Sheet represent the corpus of those trusts plus undistributed income. The components of </w:t>
      </w:r>
      <w:r>
        <w:rPr>
          <w:rFonts w:ascii="Times New Roman" w:cs="Times New Roman" w:eastAsia="Times New Roman" w:hAnsi="Times New Roman"/>
          <w:sz w:val="18"/>
          <w:szCs w:val="18"/>
          <w:i w:val="1"/>
          <w:iCs w:val="1"/>
          <w:color w:val="auto"/>
        </w:rPr>
        <w:t>Care trusts’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corpus </w:t>
      </w:r>
      <w:r>
        <w:rPr>
          <w:rFonts w:ascii="Times New Roman" w:cs="Times New Roman" w:eastAsia="Times New Roman" w:hAnsi="Times New Roman"/>
          <w:sz w:val="18"/>
          <w:szCs w:val="18"/>
          <w:color w:val="auto"/>
        </w:rPr>
        <w:t>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6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0" w:type="dxa"/>
            <w:vAlign w:val="bottom"/>
          </w:tcPr>
          <w:p>
            <w:pPr>
              <w:spacing w:after="0"/>
              <w:rPr>
                <w:sz w:val="1"/>
                <w:szCs w:val="1"/>
                <w:color w:val="auto"/>
              </w:rPr>
            </w:pPr>
          </w:p>
        </w:tc>
      </w:tr>
      <w:tr>
        <w:trPr>
          <w:trHeight w:val="21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 at market value</w:t>
            </w:r>
          </w:p>
        </w:tc>
        <w:tc>
          <w:tcPr>
            <w:tcW w:w="24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72,400</w:t>
            </w: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Obligations due from trust</w:t>
            </w:r>
          </w:p>
        </w:tc>
        <w:tc>
          <w:tcPr>
            <w:tcW w:w="2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8"/>
              </w:rPr>
              <w:t>(1,244)</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2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71,156</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1352"/>
              <w:spacing w:after="0"/>
              <w:rPr>
                <w:sz w:val="20"/>
                <w:szCs w:val="20"/>
                <w:color w:val="auto"/>
              </w:rPr>
            </w:pPr>
            <w:r>
              <w:rPr>
                <w:rFonts w:ascii="Times New Roman" w:cs="Times New Roman" w:eastAsia="Times New Roman" w:hAnsi="Times New Roman"/>
                <w:sz w:val="18"/>
                <w:szCs w:val="18"/>
                <w:color w:val="auto"/>
              </w:rPr>
              <w:t>- 23 -</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7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22" w:name="page23"/>
    <w:bookmarkEnd w:id="22"/>
    <w:p>
      <w:pPr>
        <w:ind w:right="2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reflects the cost and market values associated with the trust investments held in cemetery perpetual care trust funds at March 31, 2022 (in thousands):</w:t>
      </w:r>
    </w:p>
    <w:tbl>
      <w:tblPr>
        <w:tblLayout w:type="fixed"/>
        <w:tblInd w:w="0" w:type="dxa"/>
        <w:tblCellMar>
          <w:top w:w="0" w:type="dxa"/>
          <w:left w:w="0" w:type="dxa"/>
          <w:bottom w:w="0" w:type="dxa"/>
          <w:right w:w="0" w:type="dxa"/>
        </w:tblCellMar>
      </w:tblPr>
      <w:tr>
        <w:trPr>
          <w:trHeight w:val="145"/>
        </w:trPr>
        <w:tc>
          <w:tcPr>
            <w:tcW w:w="4260" w:type="dxa"/>
            <w:vAlign w:val="bottom"/>
          </w:tcPr>
          <w:p>
            <w:pPr>
              <w:spacing w:after="0"/>
              <w:rPr>
                <w:sz w:val="12"/>
                <w:szCs w:val="12"/>
                <w:color w:val="auto"/>
              </w:rPr>
            </w:pPr>
          </w:p>
        </w:tc>
        <w:tc>
          <w:tcPr>
            <w:tcW w:w="14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2"/>
                <w:szCs w:val="12"/>
                <w:color w:val="auto"/>
              </w:rPr>
            </w:pPr>
          </w:p>
        </w:tc>
        <w:tc>
          <w:tcPr>
            <w:tcW w:w="1040" w:type="dxa"/>
            <w:vAlign w:val="bottom"/>
          </w:tcPr>
          <w:p>
            <w:pPr>
              <w:jc w:val="right"/>
              <w:ind w:right="216"/>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74"/>
              <w:spacing w:after="0" w:line="145"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68,006</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6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73,525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gridSpan w:val="11"/>
            <w:vMerge w:val="restart"/>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760" w:type="dxa"/>
            <w:vAlign w:val="bottom"/>
            <w:gridSpan w:val="11"/>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reflects the cost and market values associated with the trust investments held in cemetery perpetual care trust funds at December 31, 2021 (in thousands):</w:t>
      </w:r>
    </w:p>
    <w:tbl>
      <w:tblPr>
        <w:tblLayout w:type="fixed"/>
        <w:tblInd w:w="0" w:type="dxa"/>
        <w:tblCellMar>
          <w:top w:w="0" w:type="dxa"/>
          <w:left w:w="0" w:type="dxa"/>
          <w:bottom w:w="0" w:type="dxa"/>
          <w:right w:w="0" w:type="dxa"/>
        </w:tblCellMar>
      </w:tblPr>
      <w:tr>
        <w:trPr>
          <w:trHeight w:val="145"/>
        </w:trPr>
        <w:tc>
          <w:tcPr>
            <w:tcW w:w="4320" w:type="dxa"/>
            <w:vAlign w:val="bottom"/>
          </w:tcPr>
          <w:p>
            <w:pPr>
              <w:spacing w:after="0"/>
              <w:rPr>
                <w:sz w:val="12"/>
                <w:szCs w:val="12"/>
                <w:color w:val="auto"/>
              </w:rPr>
            </w:pPr>
          </w:p>
        </w:tc>
        <w:tc>
          <w:tcPr>
            <w:tcW w:w="1100" w:type="dxa"/>
            <w:vAlign w:val="bottom"/>
          </w:tcPr>
          <w:p>
            <w:pPr>
              <w:jc w:val="center"/>
              <w:ind w:left="36"/>
              <w:spacing w:after="0" w:line="14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2"/>
                <w:szCs w:val="12"/>
                <w:color w:val="auto"/>
              </w:rPr>
            </w:pPr>
          </w:p>
        </w:tc>
        <w:tc>
          <w:tcPr>
            <w:tcW w:w="1060" w:type="dxa"/>
            <w:vAlign w:val="bottom"/>
          </w:tcPr>
          <w:p>
            <w:pPr>
              <w:jc w:val="right"/>
              <w:ind w:right="155"/>
              <w:spacing w:after="0" w:line="145"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00" w:type="dxa"/>
            <w:vAlign w:val="bottom"/>
            <w:tcBorders>
              <w:top w:val="single" w:sz="8" w:color="auto"/>
            </w:tcBorders>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income</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7"/>
              </w:rPr>
              <w:t>- 24 -</w:t>
            </w: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3" w:name="page24"/>
    <w:bookmarkEnd w:id="23"/>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cemetery perpetual care trust investment in an unrealized loss position at March 31,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perpetual care trust investment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98"/>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8"/>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8"/>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firstLine="395"/>
        <w:spacing w:after="0" w:line="269" w:lineRule="auto"/>
        <w:rPr>
          <w:sz w:val="20"/>
          <w:szCs w:val="20"/>
          <w:color w:val="auto"/>
        </w:rPr>
      </w:pPr>
      <w:r>
        <w:rPr>
          <w:rFonts w:ascii="Times New Roman" w:cs="Times New Roman" w:eastAsia="Times New Roman" w:hAnsi="Times New Roman"/>
          <w:sz w:val="18"/>
          <w:szCs w:val="18"/>
          <w:color w:val="auto"/>
        </w:rPr>
        <w:t xml:space="preserve">Cemetery perpetual care trust investment security transactions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on our Consolidated Statements of Operations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r>
      <w:tr>
        <w:trPr>
          <w:trHeight w:val="22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Care trusts’ corpus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w:t>
            </w:r>
          </w:p>
        </w:tc>
      </w:tr>
      <w:tr>
        <w:trPr>
          <w:trHeight w:val="24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Cemetery perpetual care trust investment security transactions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2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Purchases and sales of investments in the cemetery perpetual care trusts are as follows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8"/>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24"/>
        </w:trPr>
        <w:tc>
          <w:tcPr>
            <w:tcW w:w="844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- 25 -</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4" w:name="page25"/>
    <w:bookmarkEnd w:id="24"/>
    <w:p>
      <w:pPr>
        <w:ind w:left="640" w:hanging="635"/>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FROM PRENEED FUNERAL TRUSTS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funds, at cost</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funeral trusts,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summary reflects the composition of the assets held in trust and controlled by third parties to satisfy our future obligations under preneed arrangements related to the preceding contracts at December 31, 2021 and March 31, 2022. The cost basis includes reinvested interest and dividends that have been earned on the trust assets. Fair value includes unrealized gains and losses on trust assets.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composition of the preneed funeral trust funds at March 31, 2022 is as follows (in thousands):</w:t>
      </w:r>
    </w:p>
    <w:p>
      <w:pPr>
        <w:spacing w:after="0" w:line="22" w:lineRule="exact"/>
        <w:rPr>
          <w:sz w:val="20"/>
          <w:szCs w:val="20"/>
          <w:color w:val="auto"/>
        </w:rPr>
      </w:pPr>
    </w:p>
    <w:tbl>
      <w:tblPr>
        <w:tblLayout w:type="fixed"/>
        <w:tblInd w:w="134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80" w:type="dxa"/>
            <w:vAlign w:val="bottom"/>
          </w:tcPr>
          <w:p>
            <w:pPr>
              <w:spacing w:after="0"/>
              <w:rPr>
                <w:sz w:val="16"/>
                <w:szCs w:val="16"/>
                <w:color w:val="auto"/>
              </w:rPr>
            </w:pPr>
          </w:p>
        </w:tc>
        <w:tc>
          <w:tcPr>
            <w:tcW w:w="124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5,752</w:t>
            </w: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3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11,351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2,646</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19,752</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composition of the preneed funeral trust funds at December 31, 2021 is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80" w:type="dxa"/>
            <w:vAlign w:val="bottom"/>
          </w:tcPr>
          <w:p>
            <w:pPr>
              <w:spacing w:after="0"/>
              <w:rPr>
                <w:sz w:val="16"/>
                <w:szCs w:val="16"/>
                <w:color w:val="auto"/>
              </w:rPr>
            </w:pPr>
          </w:p>
        </w:tc>
        <w:tc>
          <w:tcPr>
            <w:tcW w:w="124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5,595</w:t>
            </w: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3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11,386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11,386</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2,611</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19,597</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19,668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left="640" w:hanging="635"/>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the sale of an asset or paid to transfer a liability in an orderly transaction between market participants at the measurement date applicable for items that are recognized or disclosed at fair value in the financial statements on a recurring basis. 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10) and Senior Notes (as defined in Note 11) are classified within Level 2 of the Fair Value Measurements hierarchy.</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At March 31, 2022, the carrying value and fair value of our Credit Facility was $174.2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March 31, 2022, the carrying value of our acquisition debt was $4.5 million, which approximated its fair value. The fair value of our Senior Notes was $373.4 million at March 31, 2022 based on the last traded or broker quoted price.</w:t>
      </w:r>
    </w:p>
    <w:p>
      <w:pPr>
        <w:spacing w:after="0" w:line="29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2021 and March 31, 2022, we did not have any assets that had fair values determined by Level 3 inputs and no liabilities measured at fair value.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5" w:name="page26"/>
    <w:bookmarkEnd w:id="25"/>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identified investments in fixed income securities, common stock and mutual funds presented within the preneed and perpetual care trust investments categories on our Consolidated Balance Sheet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investments at cost. See Notes 6 and 7 to our Consolidated Financial Statements herein for the fair value hierarchy levels of our trust investments.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INTANGIBLE AND OTHER NON-CURRENT ASSETS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16"/>
        </w:trPr>
        <w:tc>
          <w:tcPr>
            <w:tcW w:w="260" w:type="dxa"/>
            <w:vAlign w:val="bottom"/>
          </w:tcPr>
          <w:p>
            <w:pPr>
              <w:spacing w:after="0"/>
              <w:rPr>
                <w:sz w:val="24"/>
                <w:szCs w:val="24"/>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and other non-current assets are as follows (in thousands):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5"/>
        </w:trPr>
        <w:tc>
          <w:tcPr>
            <w:tcW w:w="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9"/>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r>
      <w:tr>
        <w:trPr>
          <w:trHeight w:val="171"/>
        </w:trPr>
        <w:tc>
          <w:tcPr>
            <w:tcW w:w="73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Prepaid agreements not-to-compete, net of accumulated amortization of $3,316 and $3,464,</w:t>
            </w:r>
          </w:p>
        </w:tc>
        <w:tc>
          <w:tcPr>
            <w:tcW w:w="300" w:type="dxa"/>
            <w:vAlign w:val="bottom"/>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2,247</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2,156</w:t>
            </w:r>
          </w:p>
        </w:tc>
      </w:tr>
      <w:tr>
        <w:trPr>
          <w:trHeight w:val="23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75"/>
        </w:trPr>
        <w:tc>
          <w:tcPr>
            <w:tcW w:w="7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8"/>
              </w:rPr>
              <w:t>Capitalized commissions on preneed contracts, net of accumulated amortization of $2,278 and $2,448,</w:t>
            </w: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3,560</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3,665</w:t>
            </w:r>
          </w:p>
        </w:tc>
      </w:tr>
      <w:tr>
        <w:trPr>
          <w:trHeight w:val="237"/>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4"/>
        </w:trPr>
        <w:tc>
          <w:tcPr>
            <w:tcW w:w="7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2"/>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Tradenames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tradenames have indefinite lives and therefore are not amortized.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Agreements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Prepaid agreements not-to-compete are amortized over the term of the respective agreements, ranging generally from one to ten years. Amortization expense was $168,000 and $148,000 for the three months ended March 31, 2021 and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Commissions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capitalize our selling costs related to preneed cemetery merchandise and services and preneed funeral trust contracts. These costs are amortized on a straight-line basis over the average maturity period for our preneed cemetery merchandise and services contracts and preneed funeral trust contracts, of eight and ten years, respectively. Amortization expense was $152,000 and $170,000 for the three months ended March 31, 2021 and 2022, respectively.</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aggregate amortization expense for our non-compete agreements and capitalized commissions as of March 31, 2022 is as follows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Prepaid Agreements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Commissions</w:t>
            </w:r>
          </w:p>
        </w:tc>
        <w:tc>
          <w:tcPr>
            <w:tcW w:w="0" w:type="dxa"/>
            <w:vAlign w:val="bottom"/>
          </w:tcPr>
          <w:p>
            <w:pPr>
              <w:spacing w:after="0"/>
              <w:rPr>
                <w:sz w:val="1"/>
                <w:szCs w:val="1"/>
                <w:color w:val="auto"/>
              </w:rPr>
            </w:pPr>
          </w:p>
        </w:tc>
      </w:tr>
      <w:tr>
        <w:trPr>
          <w:trHeight w:val="204"/>
        </w:trPr>
        <w:tc>
          <w:tcPr>
            <w:tcW w:w="74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Years ending December 31,</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Remainder of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640" w:hanging="635"/>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ACQUISITION DEBT</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At March 31, 2022, our senior secured revolving credit facility (the “Credit Facility”) was comprised of: (i) a $200.0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13, 2026.</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6" w:name="page27"/>
    <w:bookmarkEnd w:id="26"/>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obligations under the Credit Facility are unconditionally guaranteed on a joint and several basis by the same subsidiaries which guarantee the Senior Notes (as defined in Note 11) and certain of our subsequently acquired or organized domestic subsidiaries (collectively, the “Subsidiary Guarantors”). The Credit Facility allows for future increases in the facility size in the form of increased revolving commitments or new incremental term loans by an additional amount of up to $75.0 million in the aggregate.</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Credit Facility is secured by a first-priority perfected security interest in and lien on substantially all of the Company’s personal property assets and those of the Subsidiary Guarantors. In addition, the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Credit Facility, to grant additional liens on real property assets accounting for no less than 50% of the Company’s and the Subsidiary Guarantors’ funeral operations if requested by the administrative agent.</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March 31, 2022, we were subject to the following financial covenants under our Credit Facility: (A) a Total Leverage Ratio not to exceed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were in compliance with all of the covenants contained in our Credit Facility as of March 31, 2022.</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Credit Facility and Acquisition debt consisted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155,400</w:t>
            </w:r>
          </w:p>
        </w:tc>
        <w:tc>
          <w:tcPr>
            <w:tcW w:w="2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174,200</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$1,324 and $1,413, respectively</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4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Facility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153,857</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7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4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 debt, net of current portion</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March 31, 2022, we had outstanding borrowings under the Credit Facility of $174.2 million. We also had one letter of credit for $2.3 million under the Credit Facility. The letter of credit will expire on November 25, 2022 and is expected to automatically renew annually and secures our obligations under our various self-insured policies. At March 31, 2022, we had $23.5 million of availability under the Credit Facility.</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Outstanding borrowings under our Credit Facility bear interest at either a prime rate or a LIBOR rate, plus an applicable margin based upon our leverage ratio. At March 31, 2022, the prime rate margin was equivalent to 0.875% and the LIBOR rate margin was 1.875%. The weighted average interest rate on our Credit Facility was 3.3% and 2.1% for the three months ended March 31, 2021 and 2022, respectively.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7"/>
              </w:rPr>
              <w:t>Three months ended March 31,</w:t>
            </w:r>
          </w:p>
        </w:tc>
        <w:tc>
          <w:tcPr>
            <w:tcW w:w="340" w:type="dxa"/>
            <w:vAlign w:val="bottom"/>
            <w:tcBorders>
              <w:bottom w:val="single" w:sz="8" w:color="auto"/>
            </w:tcBorders>
          </w:tcPr>
          <w:p>
            <w:pPr>
              <w:spacing w:after="0"/>
              <w:rPr>
                <w:sz w:val="18"/>
                <w:szCs w:val="18"/>
                <w:color w:val="auto"/>
              </w:rPr>
            </w:pPr>
          </w:p>
        </w:tc>
      </w:tr>
      <w:tr>
        <w:trPr>
          <w:trHeight w:val="205"/>
        </w:trPr>
        <w:tc>
          <w:tcPr>
            <w:tcW w:w="448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21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847</w:t>
            </w: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824"/>
        </w:trPr>
        <w:tc>
          <w:tcPr>
            <w:tcW w:w="4480" w:type="dxa"/>
            <w:vAlign w:val="bottom"/>
          </w:tcPr>
          <w:p>
            <w:pPr>
              <w:spacing w:after="0"/>
              <w:rPr>
                <w:sz w:val="24"/>
                <w:szCs w:val="24"/>
                <w:color w:val="auto"/>
              </w:rPr>
            </w:pPr>
          </w:p>
        </w:tc>
        <w:tc>
          <w:tcPr>
            <w:tcW w:w="3960" w:type="dxa"/>
            <w:vAlign w:val="bottom"/>
          </w:tcPr>
          <w:p>
            <w:pPr>
              <w:jc w:val="right"/>
              <w:ind w:right="2532"/>
              <w:spacing w:after="0"/>
              <w:rPr>
                <w:sz w:val="20"/>
                <w:szCs w:val="20"/>
                <w:color w:val="auto"/>
              </w:rPr>
            </w:pPr>
            <w:r>
              <w:rPr>
                <w:rFonts w:ascii="Times New Roman" w:cs="Times New Roman" w:eastAsia="Times New Roman" w:hAnsi="Times New Roman"/>
                <w:sz w:val="18"/>
                <w:szCs w:val="18"/>
                <w:color w:val="auto"/>
              </w:rPr>
              <w:t>- 28 -</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2"/>
        </w:trPr>
        <w:tc>
          <w:tcPr>
            <w:tcW w:w="448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7" w:name="page28"/>
    <w:bookmarkEnd w:id="27"/>
    <w:p>
      <w:pPr>
        <w:ind w:firstLine="395"/>
        <w:spacing w:after="0" w:line="268"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imputed interest expense related to our acquisition debt is as follows (in thousands):</w:t>
      </w:r>
    </w:p>
    <w:p>
      <w:pPr>
        <w:spacing w:after="0" w:line="4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5359400</wp:posOffset>
            </wp:positionH>
            <wp:positionV relativeFrom="paragraph">
              <wp:posOffset>18415</wp:posOffset>
            </wp:positionV>
            <wp:extent cx="17799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spacing w:after="0" w:line="20" w:lineRule="exact"/>
        <w:rPr>
          <w:sz w:val="20"/>
          <w:szCs w:val="20"/>
          <w:color w:val="auto"/>
        </w:rPr>
      </w:pPr>
    </w:p>
    <w:p>
      <w:pPr>
        <w:ind w:left="9420"/>
        <w:spacing w:after="0"/>
        <w:tabs>
          <w:tab w:leader="none" w:pos="10880" w:val="left"/>
        </w:tabs>
        <w:rPr>
          <w:sz w:val="20"/>
          <w:szCs w:val="20"/>
          <w:color w:val="auto"/>
        </w:rPr>
      </w:pP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5495" cy="150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8440" w:val="left"/>
          <w:tab w:leader="none" w:pos="9500" w:val="left"/>
          <w:tab w:leader="none" w:pos="9920" w:val="left"/>
          <w:tab w:leader="none" w:pos="10980" w:val="left"/>
        </w:tabs>
        <w:rPr>
          <w:sz w:val="20"/>
          <w:szCs w:val="20"/>
          <w:color w:val="auto"/>
        </w:rPr>
      </w:pPr>
      <w:r>
        <w:rPr>
          <w:rFonts w:ascii="Times New Roman" w:cs="Times New Roman" w:eastAsia="Times New Roman" w:hAnsi="Times New Roman"/>
          <w:sz w:val="18"/>
          <w:szCs w:val="18"/>
          <w:color w:val="auto"/>
        </w:rPr>
        <w:t>Acquisition debt imputed 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w:t>
        <w:tab/>
        <w:t>$</w:t>
      </w:r>
      <w:r>
        <w:rPr>
          <w:sz w:val="20"/>
          <w:szCs w:val="20"/>
          <w:color w:val="auto"/>
        </w:rPr>
        <w:tab/>
      </w:r>
      <w:r>
        <w:rPr>
          <w:rFonts w:ascii="Times New Roman" w:cs="Times New Roman" w:eastAsia="Times New Roman" w:hAnsi="Times New Roman"/>
          <w:sz w:val="18"/>
          <w:szCs w:val="18"/>
          <w:color w:val="auto"/>
        </w:rPr>
        <w:t>80</w:t>
      </w:r>
    </w:p>
    <w:p>
      <w:pPr>
        <w:spacing w:after="0" w:line="357" w:lineRule="exact"/>
        <w:rPr>
          <w:sz w:val="20"/>
          <w:szCs w:val="20"/>
          <w:color w:val="auto"/>
        </w:rPr>
      </w:pPr>
    </w:p>
    <w:p>
      <w:pPr>
        <w:ind w:left="660" w:hanging="655"/>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NOTES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 of our 4.25% senior notes due 2029 (the “Senior Notes”) is reflected on our Consolidated Balance Sheet as follows (in thousands):</w:t>
      </w:r>
    </w:p>
    <w:p>
      <w:pPr>
        <w:spacing w:after="0" w:line="45" w:lineRule="exact"/>
        <w:rPr>
          <w:sz w:val="20"/>
          <w:szCs w:val="20"/>
          <w:color w:val="auto"/>
        </w:rPr>
      </w:pPr>
    </w:p>
    <w:p>
      <w:pPr>
        <w:ind w:left="6020"/>
        <w:spacing w:after="0"/>
        <w:tabs>
          <w:tab w:leader="none" w:pos="7920" w:val="left"/>
        </w:tabs>
        <w:rPr>
          <w:sz w:val="20"/>
          <w:szCs w:val="20"/>
          <w:color w:val="auto"/>
        </w:rPr>
      </w:pPr>
      <w:r>
        <w:rPr>
          <w:rFonts w:ascii="Times New Roman" w:cs="Times New Roman" w:eastAsia="Times New Roman" w:hAnsi="Times New Roman"/>
          <w:sz w:val="16"/>
          <w:szCs w:val="16"/>
          <w:b w:val="1"/>
          <w:bCs w:val="1"/>
          <w:color w:val="auto"/>
        </w:rPr>
        <w:t>December 31, 2021</w:t>
      </w:r>
      <w:r>
        <w:rPr>
          <w:sz w:val="20"/>
          <w:szCs w:val="20"/>
          <w:color w:val="auto"/>
        </w:rPr>
        <w:tab/>
      </w:r>
      <w:r>
        <w:rPr>
          <w:rFonts w:ascii="Times New Roman" w:cs="Times New Roman" w:eastAsia="Times New Roman" w:hAnsi="Times New Roman"/>
          <w:sz w:val="15"/>
          <w:szCs w:val="15"/>
          <w:b w:val="1"/>
          <w:bCs w:val="1"/>
          <w:color w:val="auto"/>
        </w:rPr>
        <w:t>March 31, 2022</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5715000" cy="158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000" cy="15875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p>
      <w:pPr>
        <w:spacing w:after="0" w:line="42" w:lineRule="exact"/>
        <w:rPr>
          <w:sz w:val="20"/>
          <w:szCs w:val="20"/>
          <w:color w:val="auto"/>
        </w:rPr>
      </w:pPr>
    </w:p>
    <w:p>
      <w:pPr>
        <w:ind w:left="220"/>
        <w:spacing w:after="0"/>
        <w:tabs>
          <w:tab w:leader="none" w:pos="5800" w:val="left"/>
        </w:tabs>
        <w:rPr>
          <w:sz w:val="20"/>
          <w:szCs w:val="20"/>
          <w:color w:val="auto"/>
        </w:rPr>
      </w:pPr>
      <w:r>
        <w:rPr>
          <w:rFonts w:ascii="Times New Roman" w:cs="Times New Roman" w:eastAsia="Times New Roman" w:hAnsi="Times New Roman"/>
          <w:sz w:val="18"/>
          <w:szCs w:val="18"/>
          <w:color w:val="auto"/>
        </w:rPr>
        <w:t>Principal amount</w:t>
      </w:r>
      <w:r>
        <w:rPr>
          <w:sz w:val="20"/>
          <w:szCs w:val="20"/>
          <w:color w:val="auto"/>
        </w:rPr>
        <w:tab/>
      </w:r>
      <w:r>
        <w:rPr>
          <w:rFonts w:ascii="Times New Roman" w:cs="Times New Roman" w:eastAsia="Times New Roman" w:hAnsi="Times New Roman"/>
          <w:sz w:val="18"/>
          <w:szCs w:val="18"/>
          <w:color w:val="auto"/>
        </w:rPr>
        <w:t>$</w:t>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Debt discount, net of accumulated amortization of $301 and $422,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5715000" cy="158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000" cy="1587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$86 and $120,</w:t>
      </w:r>
    </w:p>
    <w:p>
      <w:pPr>
        <w:ind w:left="220"/>
        <w:spacing w:after="0"/>
        <w:rPr>
          <w:sz w:val="20"/>
          <w:szCs w:val="20"/>
          <w:color w:val="auto"/>
        </w:rPr>
      </w:pPr>
      <w:r>
        <w:rPr>
          <w:rFonts w:ascii="Times New Roman" w:cs="Times New Roman" w:eastAsia="Times New Roman" w:hAnsi="Times New Roman"/>
          <w:sz w:val="18"/>
          <w:szCs w:val="18"/>
          <w:color w:val="auto"/>
        </w:rPr>
        <w:t>respectively</w:t>
      </w:r>
    </w:p>
    <w:p>
      <w:pPr>
        <w:spacing w:after="0" w:line="10" w:lineRule="exact"/>
        <w:rPr>
          <w:sz w:val="20"/>
          <w:szCs w:val="20"/>
          <w:color w:val="auto"/>
        </w:rPr>
      </w:pPr>
    </w:p>
    <w:p>
      <w:pPr>
        <w:ind w:left="20"/>
        <w:spacing w:after="0"/>
        <w:tabs>
          <w:tab w:leader="none" w:pos="5800" w:val="left"/>
        </w:tabs>
        <w:rPr>
          <w:sz w:val="20"/>
          <w:szCs w:val="20"/>
          <w:color w:val="auto"/>
        </w:rPr>
      </w:pPr>
      <w:r>
        <w:rPr>
          <w:rFonts w:ascii="Times New Roman" w:cs="Times New Roman" w:eastAsia="Times New Roman" w:hAnsi="Times New Roman"/>
          <w:sz w:val="18"/>
          <w:szCs w:val="18"/>
          <w:color w:val="auto"/>
        </w:rPr>
        <w:t>Carrying value of the Senior Notes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5715000" cy="167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00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2"/>
              </w:rPr>
              <w:t>400,000</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76"/>
        </w:trPr>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(4,199)</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r>
      <w:tr>
        <w:trPr>
          <w:trHeight w:val="408"/>
        </w:trPr>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(1,191)</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17"/>
        </w:trPr>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2"/>
              </w:rPr>
              <w:t>394,610</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394,765</w:t>
            </w:r>
          </w:p>
        </w:tc>
      </w:tr>
      <w:tr>
        <w:trPr>
          <w:trHeight w:val="20"/>
        </w:trPr>
        <w:tc>
          <w:tcPr>
            <w:tcW w:w="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-7620</wp:posOffset>
            </wp:positionV>
            <wp:extent cx="952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5940" w:space="720"/>
            <w:col w:w="4580"/>
          </w:cols>
          <w:pgMar w:left="320" w:top="97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8"/>
          <w:szCs w:val="18"/>
          <w:color w:val="auto"/>
        </w:rPr>
        <w:t>At March 31, 2022, the fair value of the Senior Notes, which are Level 2 measurements, was $373.4 million.</w:t>
      </w:r>
    </w:p>
    <w:p>
      <w:pPr>
        <w:spacing w:after="0" w:line="109"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w:t>
      </w:r>
    </w:p>
    <w:p>
      <w:pPr>
        <w:spacing w:after="0" w:line="49"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 concurrently), and (2) each such redemption must occur within 180 days of the date of the consummation of any such equity offering.</w:t>
      </w:r>
    </w:p>
    <w:p>
      <w:pPr>
        <w:spacing w:after="0" w:line="6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28" w:name="page29"/>
    <w:bookmarkEnd w:id="28"/>
    <w:p>
      <w:pPr>
        <w:ind w:left="400"/>
        <w:spacing w:after="0"/>
        <w:rPr>
          <w:sz w:val="20"/>
          <w:szCs w:val="20"/>
          <w:color w:val="auto"/>
        </w:rPr>
      </w:pPr>
      <w:r>
        <w:rPr>
          <w:rFonts w:ascii="Times New Roman" w:cs="Times New Roman" w:eastAsia="Times New Roman" w:hAnsi="Times New Roman"/>
          <w:sz w:val="16"/>
          <w:szCs w:val="16"/>
          <w:color w:val="auto"/>
        </w:rPr>
        <w:t>The interest expense and amortization of debt discount, debt premium and debt issuance costs related to our Senior Notes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4"/>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premium</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7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debt discount and the debt issuance costs are being amortized using the effective interest method over the remaining term of approximately 86 months of the Senior Notes. For the three months ended March 31, 2022, the effective interest rate on the unamortized debt discount and the unamortized debt issuance costs for the Senior Notes was 4.42% and 4.30%, respectively.</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2021, the effective interest rate on the unamortized debt discount and unamortized debt issuance costs for our $400 million in aggregate principal amount of 6.625% senior notes due 2026 (the “Original Senior Notes”) was 6.69%. For the three months ended March 31, 2021, the effective interest rate on the unamortized debt premium and the unamortized debt issuance costs for the additional Original Senior Notes, issued in December 2019 was 6.88%. All of our Original Senior Notes were redeemed on June 1, 2021.</w:t>
      </w:r>
    </w:p>
    <w:p>
      <w:pPr>
        <w:spacing w:after="0" w:line="234" w:lineRule="exact"/>
        <w:rPr>
          <w:sz w:val="20"/>
          <w:szCs w:val="20"/>
          <w:color w:val="auto"/>
        </w:rPr>
      </w:pPr>
    </w:p>
    <w:p>
      <w:pPr>
        <w:ind w:left="640" w:hanging="635"/>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related to real estate and equipment. The components of lease cost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07"/>
        </w:trPr>
        <w:tc>
          <w:tcPr>
            <w:tcW w:w="302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rPr>
              <w:t>Income Statement Classification</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60" w:type="dxa"/>
            <w:vAlign w:val="bottom"/>
            <w:tcBorders>
              <w:top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44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44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45"/>
        </w:trPr>
        <w:tc>
          <w:tcPr>
            <w:tcW w:w="3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444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2"/>
                <w:szCs w:val="22"/>
                <w:color w:val="auto"/>
                <w:vertAlign w:val="superscript"/>
              </w:rPr>
              <w:t>(2)</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9"/>
                <w:szCs w:val="19"/>
                <w:color w:val="auto"/>
              </w:rPr>
            </w:pP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4"/>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7"/>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4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133985</wp:posOffset>
            </wp:positionV>
            <wp:extent cx="70942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201" w:lineRule="exact"/>
        <w:rPr>
          <w:sz w:val="20"/>
          <w:szCs w:val="20"/>
          <w:color w:val="auto"/>
        </w:rPr>
      </w:pPr>
    </w:p>
    <w:p>
      <w:pPr>
        <w:ind w:left="460" w:hanging="404"/>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Facilities and grounds expense is included within </w:t>
      </w:r>
      <w:r>
        <w:rPr>
          <w:rFonts w:ascii="Times New Roman" w:cs="Times New Roman" w:eastAsia="Times New Roman" w:hAnsi="Times New Roman"/>
          <w:sz w:val="16"/>
          <w:szCs w:val="16"/>
          <w:i w:val="1"/>
          <w:iCs w:val="1"/>
          <w:color w:val="auto"/>
        </w:rPr>
        <w:t>Cost of service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General, administrative and other</w:t>
      </w:r>
      <w:r>
        <w:rPr>
          <w:rFonts w:ascii="Times New Roman" w:cs="Times New Roman" w:eastAsia="Times New Roman" w:hAnsi="Times New Roman"/>
          <w:sz w:val="16"/>
          <w:szCs w:val="16"/>
          <w:color w:val="auto"/>
        </w:rPr>
        <w:t xml:space="preserve"> on our Consolidated Statements of Operations.</w:t>
      </w:r>
    </w:p>
    <w:p>
      <w:pPr>
        <w:spacing w:after="0" w:line="26" w:lineRule="exact"/>
        <w:rPr>
          <w:rFonts w:ascii="Times New Roman" w:cs="Times New Roman" w:eastAsia="Times New Roman" w:hAnsi="Times New Roman"/>
          <w:sz w:val="16"/>
          <w:szCs w:val="16"/>
          <w:color w:val="auto"/>
        </w:rPr>
      </w:pPr>
    </w:p>
    <w:p>
      <w:pPr>
        <w:ind w:left="460" w:hanging="404"/>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Depreciation and amortization expense is included within </w:t>
      </w:r>
      <w:r>
        <w:rPr>
          <w:rFonts w:ascii="Times New Roman" w:cs="Times New Roman" w:eastAsia="Times New Roman" w:hAnsi="Times New Roman"/>
          <w:sz w:val="16"/>
          <w:szCs w:val="16"/>
          <w:i w:val="1"/>
          <w:iCs w:val="1"/>
          <w:color w:val="auto"/>
        </w:rPr>
        <w:t>Field depreciation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General, administrative and other</w:t>
      </w:r>
      <w:r>
        <w:rPr>
          <w:rFonts w:ascii="Times New Roman" w:cs="Times New Roman" w:eastAsia="Times New Roman" w:hAnsi="Times New Roman"/>
          <w:sz w:val="16"/>
          <w:szCs w:val="16"/>
          <w:color w:val="auto"/>
        </w:rPr>
        <w:t xml:space="preserve"> on our Consolidated Statements of Operations.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4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activities</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finance leases included in financing activities</w:t>
            </w:r>
          </w:p>
        </w:tc>
        <w:tc>
          <w:tcPr>
            <w:tcW w:w="460" w:type="dxa"/>
            <w:vAlign w:val="bottom"/>
          </w:tcPr>
          <w:p>
            <w:pPr>
              <w:spacing w:after="0"/>
              <w:rPr>
                <w:sz w:val="19"/>
                <w:szCs w:val="19"/>
                <w:color w:val="auto"/>
              </w:rPr>
            </w:pPr>
          </w:p>
        </w:tc>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r>
      <w:tr>
        <w:trPr>
          <w:trHeight w:val="403"/>
        </w:trPr>
        <w:tc>
          <w:tcPr>
            <w:tcW w:w="20" w:type="dxa"/>
            <w:vAlign w:val="bottom"/>
          </w:tcPr>
          <w:p>
            <w:pPr>
              <w:spacing w:after="0"/>
              <w:rPr>
                <w:sz w:val="24"/>
                <w:szCs w:val="24"/>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 obtained in exchange for new leases is as follows (in thousands):</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74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85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7"/>
                <w:szCs w:val="17"/>
                <w:color w:val="auto"/>
              </w:rPr>
            </w:pPr>
          </w:p>
        </w:tc>
      </w:tr>
      <w:tr>
        <w:trPr>
          <w:trHeight w:val="218"/>
        </w:trPr>
        <w:tc>
          <w:tcPr>
            <w:tcW w:w="2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897"/>
              <w:spacing w:after="0"/>
              <w:rPr>
                <w:sz w:val="20"/>
                <w:szCs w:val="20"/>
                <w:color w:val="auto"/>
              </w:rPr>
            </w:pPr>
            <w:r>
              <w:rPr>
                <w:rFonts w:ascii="Times New Roman" w:cs="Times New Roman" w:eastAsia="Times New Roman" w:hAnsi="Times New Roman"/>
                <w:sz w:val="18"/>
                <w:szCs w:val="18"/>
                <w:color w:val="auto"/>
                <w:w w:val="88"/>
              </w:rPr>
              <w:t>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460" w:type="dxa"/>
            <w:vAlign w:val="bottom"/>
          </w:tcPr>
          <w:p>
            <w:pPr>
              <w:spacing w:after="0"/>
              <w:rPr>
                <w:sz w:val="19"/>
                <w:szCs w:val="19"/>
                <w:color w:val="auto"/>
              </w:rPr>
            </w:pPr>
          </w:p>
        </w:tc>
        <w:tc>
          <w:tcPr>
            <w:tcW w:w="1560" w:type="dxa"/>
            <w:vAlign w:val="bottom"/>
            <w:gridSpan w:val="4"/>
          </w:tcPr>
          <w:p>
            <w:pPr>
              <w:jc w:val="center"/>
              <w:ind w:left="63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824"/>
        </w:trPr>
        <w:tc>
          <w:tcPr>
            <w:tcW w:w="7460" w:type="dxa"/>
            <w:vAlign w:val="bottom"/>
            <w:gridSpan w:val="2"/>
          </w:tcPr>
          <w:p>
            <w:pPr>
              <w:jc w:val="right"/>
              <w:ind w:right="1552"/>
              <w:spacing w:after="0"/>
              <w:rPr>
                <w:sz w:val="20"/>
                <w:szCs w:val="20"/>
                <w:color w:val="auto"/>
              </w:rPr>
            </w:pPr>
            <w:r>
              <w:rPr>
                <w:rFonts w:ascii="Times New Roman" w:cs="Times New Roman" w:eastAsia="Times New Roman" w:hAnsi="Times New Roman"/>
                <w:sz w:val="18"/>
                <w:szCs w:val="18"/>
                <w:color w:val="auto"/>
              </w:rPr>
              <w:t>- 30 -</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4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2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Lease Type</w:t>
            </w:r>
          </w:p>
        </w:tc>
        <w:tc>
          <w:tcPr>
            <w:tcW w:w="4580" w:type="dxa"/>
            <w:vAlign w:val="bottom"/>
          </w:tcPr>
          <w:p>
            <w:pPr>
              <w:ind w:left="152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9"/>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lease right-of-use assets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w:t>
            </w:r>
          </w:p>
        </w:tc>
      </w:tr>
      <w:tr>
        <w:trPr>
          <w:trHeight w:val="145"/>
        </w:trPr>
        <w:tc>
          <w:tcPr>
            <w:tcW w:w="30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145"/>
        </w:trPr>
        <w:tc>
          <w:tcPr>
            <w:tcW w:w="30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Current portion of operating lease obligations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current liabilities</w:t>
            </w: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i w:val="1"/>
                <w:iCs w:val="1"/>
                <w:color w:val="auto"/>
              </w:rPr>
              <w:t>Current portion of finance lease obligations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145"/>
        </w:trPr>
        <w:tc>
          <w:tcPr>
            <w:tcW w:w="30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Obligations under operating leases, net of current portion</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i w:val="1"/>
                <w:iCs w:val="1"/>
                <w:color w:val="auto"/>
              </w:rPr>
              <w:t>Obligations under finance leases, net of current portion</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r>
      <w:tr>
        <w:trPr>
          <w:trHeight w:val="158"/>
        </w:trPr>
        <w:tc>
          <w:tcPr>
            <w:tcW w:w="3020" w:type="dxa"/>
            <w:vAlign w:val="bottom"/>
            <w:tcBorders>
              <w:bottom w:val="single" w:sz="8" w:color="CCEEFF"/>
            </w:tcBorders>
          </w:tcPr>
          <w:p>
            <w:pPr>
              <w:spacing w:after="0"/>
              <w:rPr>
                <w:sz w:val="13"/>
                <w:szCs w:val="13"/>
                <w:color w:val="auto"/>
              </w:rPr>
            </w:pPr>
          </w:p>
        </w:tc>
        <w:tc>
          <w:tcPr>
            <w:tcW w:w="45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24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average lease terms and discount rates at March 31, 2022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Weighted-average discount</w:t>
            </w:r>
          </w:p>
        </w:tc>
        <w:tc>
          <w:tcPr>
            <w:tcW w:w="0" w:type="dxa"/>
            <w:vAlign w:val="bottom"/>
          </w:tcPr>
          <w:p>
            <w:pPr>
              <w:spacing w:after="0"/>
              <w:rPr>
                <w:sz w:val="1"/>
                <w:szCs w:val="1"/>
                <w:color w:val="auto"/>
              </w:rPr>
            </w:pPr>
          </w:p>
        </w:tc>
      </w:tr>
      <w:tr>
        <w:trPr>
          <w:trHeight w:val="158"/>
        </w:trPr>
        <w:tc>
          <w:tcPr>
            <w:tcW w:w="7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remaining lease term</w:t>
            </w:r>
          </w:p>
        </w:tc>
        <w:tc>
          <w:tcPr>
            <w:tcW w:w="1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18"/>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390"/>
        </w:trPr>
        <w:tc>
          <w:tcPr>
            <w:tcW w:w="93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at March 31, 2022 are as follows (in thousands):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0" w:type="dxa"/>
            <w:vAlign w:val="bottom"/>
          </w:tcPr>
          <w:p>
            <w:pPr>
              <w:spacing w:after="0"/>
              <w:rPr>
                <w:sz w:val="1"/>
                <w:szCs w:val="1"/>
                <w:color w:val="auto"/>
              </w:rPr>
            </w:pPr>
          </w:p>
        </w:tc>
      </w:tr>
      <w:tr>
        <w:trPr>
          <w:trHeight w:val="206"/>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Remainder of 2022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19"/>
                <w:szCs w:val="19"/>
                <w:color w:val="auto"/>
              </w:rPr>
            </w:pPr>
          </w:p>
        </w:tc>
        <w:tc>
          <w:tcPr>
            <w:tcW w:w="5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24"/>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4"/>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0" w:type="dxa"/>
            <w:vAlign w:val="bottom"/>
          </w:tcPr>
          <w:p>
            <w:pPr>
              <w:spacing w:after="0"/>
              <w:rPr>
                <w:sz w:val="1"/>
                <w:szCs w:val="1"/>
                <w:color w:val="auto"/>
              </w:rPr>
            </w:pPr>
          </w:p>
        </w:tc>
      </w:tr>
      <w:tr>
        <w:trPr>
          <w:trHeight w:val="21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1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March 31, 2022, we had no additional significant operating or finance leases that had not yet commenced.</w:t>
      </w:r>
    </w:p>
    <w:p>
      <w:pPr>
        <w:spacing w:after="0" w:line="265" w:lineRule="exact"/>
        <w:rPr>
          <w:sz w:val="20"/>
          <w:szCs w:val="20"/>
          <w:color w:val="auto"/>
        </w:rPr>
      </w:pPr>
    </w:p>
    <w:p>
      <w:pPr>
        <w:ind w:left="640" w:hanging="635"/>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Chinchilla v. Carriage Services, Inc., et al., </w:t>
      </w:r>
      <w:r>
        <w:rPr>
          <w:rFonts w:ascii="Times New Roman" w:cs="Times New Roman" w:eastAsia="Times New Roman" w:hAnsi="Times New Roman"/>
          <w:sz w:val="18"/>
          <w:szCs w:val="18"/>
          <w:color w:val="auto"/>
        </w:rPr>
        <w:t>Superior Court of California, San Joaquin County, Case No. STK-CV-UOE-2021-0004661. On May 19,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putative class action against the Company and several of our subsidiaries was filed. The plaintiff, a former employee, seeks monetary damages on behalf of himself and other similarly situated current and former non-exempt employees. The plaintiff claims that the Company failed to, among other things, pay minimum wages, provide meal and rest breaks, pay overtime, provide accurately itemized wage statements, reimburse employees for business expenses, and provide wages when due.</w:t>
      </w:r>
    </w:p>
    <w:p>
      <w:pPr>
        <w:spacing w:after="0" w:line="8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January 5, 2022, the parties to the litigation engaged in and executed a Memorandum of Understanding for class settlement in the amount of $1.0 million. The parties subsequently executed a Class Settlement Agreement, and the court granted preliminary approval of the Class Settlement Agreement on March 29, 2022. The parties are now working with the Claims Administrator. At March 31, 2022, we accrued $1.1 million for the expected settlement amount and associated legal fees.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Restricted Stock</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6"/>
        </w:trPr>
        <w:tc>
          <w:tcPr>
            <w:tcW w:w="320" w:type="dxa"/>
            <w:vAlign w:val="bottom"/>
          </w:tcPr>
          <w:p>
            <w:pPr>
              <w:spacing w:after="0"/>
              <w:rPr>
                <w:sz w:val="24"/>
                <w:szCs w:val="24"/>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activity is as follows (in thousands, except shares):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0"/>
        </w:trPr>
        <w:tc>
          <w:tcPr>
            <w:tcW w:w="3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05"/>
        </w:trPr>
        <w:tc>
          <w:tcPr>
            <w:tcW w:w="320" w:type="dxa"/>
            <w:vAlign w:val="bottom"/>
            <w:tcBorders>
              <w:bottom w:val="single" w:sz="8" w:color="CCEEFF"/>
            </w:tcBorders>
          </w:tcPr>
          <w:p>
            <w:pPr>
              <w:spacing w:after="0"/>
              <w:rPr>
                <w:sz w:val="17"/>
                <w:szCs w:val="17"/>
                <w:color w:val="auto"/>
              </w:rPr>
            </w:pPr>
          </w:p>
        </w:tc>
        <w:tc>
          <w:tcPr>
            <w:tcW w:w="66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05"/>
        </w:trPr>
        <w:tc>
          <w:tcPr>
            <w:tcW w:w="32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692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Returned for payroll taxes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8"/>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10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77" w:lineRule="exact"/>
        <w:rPr>
          <w:sz w:val="20"/>
          <w:szCs w:val="20"/>
          <w:color w:val="auto"/>
        </w:rPr>
      </w:pPr>
    </w:p>
    <w:p>
      <w:pPr>
        <w:ind w:left="400" w:right="60" w:hanging="377"/>
        <w:spacing w:after="0" w:line="184" w:lineRule="auto"/>
        <w:tabs>
          <w:tab w:leader="none" w:pos="40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Restricted stock granted during the three months ended March 31 2021 vests over a three-year period, if the employee has remained continuously employed by us during the vesting period, at a weighted average stock price of $34.79.</w:t>
      </w:r>
    </w:p>
    <w:p>
      <w:pPr>
        <w:spacing w:after="0" w:line="189"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restricted stock awards of $121,000 and $57,000, for the three months ended March 31, 2021 and 2022,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grants and cancellations are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69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05"/>
        </w:trPr>
        <w:tc>
          <w:tcPr>
            <w:tcW w:w="69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69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4"/>
        </w:trPr>
        <w:tc>
          <w:tcPr>
            <w:tcW w:w="69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107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90" w:lineRule="exact"/>
        <w:rPr>
          <w:sz w:val="20"/>
          <w:szCs w:val="20"/>
          <w:color w:val="auto"/>
        </w:rPr>
      </w:pPr>
    </w:p>
    <w:p>
      <w:pPr>
        <w:jc w:val="both"/>
        <w:ind w:left="400" w:right="60" w:hanging="377"/>
        <w:spacing w:after="0" w:line="184" w:lineRule="auto"/>
        <w:tabs>
          <w:tab w:leader="none" w:pos="40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Stock options granted during the three months ended March 31, 2021 and 2022 had a weighted average price of $34.79 and $49.48, respectively. The fair value of these options was calculated using the Black-Scholes option pricing model. The options granted in 2021 and 2022 vest over a five-year period and have a ten-year term. These options will vest if the employee has remained continuously employed by us through the vesting period.</w:t>
      </w:r>
    </w:p>
    <w:p>
      <w:pPr>
        <w:spacing w:after="0" w:line="54" w:lineRule="exact"/>
        <w:rPr>
          <w:rFonts w:ascii="Times New Roman" w:cs="Times New Roman" w:eastAsia="Times New Roman" w:hAnsi="Times New Roman"/>
          <w:sz w:val="26"/>
          <w:szCs w:val="26"/>
          <w:color w:val="auto"/>
          <w:vertAlign w:val="superscript"/>
        </w:rPr>
      </w:pPr>
    </w:p>
    <w:p>
      <w:pPr>
        <w:ind w:left="400" w:right="60" w:hanging="377"/>
        <w:spacing w:after="0" w:line="187" w:lineRule="auto"/>
        <w:tabs>
          <w:tab w:leader="none" w:pos="4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2"/>
          <w:szCs w:val="12"/>
          <w:color w:val="auto"/>
        </w:rPr>
        <w:t>Stock options granted during the three months ended March 31, 2022 had a weighted average price of $49.48. The fair value of these options was calculated using the Black-Scholes option pricing model and vest over a seven-year period and have a ten-year term. These options will vest if the employee has remained continuously employed by us through the vesting period.</w:t>
      </w:r>
    </w:p>
    <w:p>
      <w:pPr>
        <w:spacing w:after="0" w:line="20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Additionally, during the three months ended March 31, 2021, we granted 150,000 options to a certain key employee at a weighted average price of $34.79. These options will vest when the price of our common stock closes at or above $53.39 (50,000 options) and $77.34 (100,000 options) for three consecutive days within the ten-year term and the employee has remained continuously employed by us through such date. The fair value of these options was $1.7 million.</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the options granted during the three months ended March 31, 2022 were estimated using the Black-Scholes option pricing model with the following assumptions: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180" w:type="dxa"/>
            <w:vAlign w:val="bottom"/>
            <w:tcBorders>
              <w:bottom w:val="single" w:sz="8" w:color="CCEEFF"/>
            </w:tcBorders>
          </w:tcPr>
          <w:p>
            <w:pPr>
              <w:spacing w:after="0"/>
              <w:rPr>
                <w:sz w:val="19"/>
                <w:szCs w:val="19"/>
                <w:color w:val="auto"/>
              </w:rPr>
            </w:pPr>
          </w:p>
        </w:tc>
        <w:tc>
          <w:tcPr>
            <w:tcW w:w="22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February 23, 2022</w:t>
            </w:r>
          </w:p>
        </w:tc>
        <w:tc>
          <w:tcPr>
            <w:tcW w:w="940" w:type="dxa"/>
            <w:vAlign w:val="bottom"/>
            <w:tcBorders>
              <w:top w:val="single" w:sz="8" w:color="auto"/>
              <w:bottom w:val="single" w:sz="8" w:color="auto"/>
            </w:tcBorders>
          </w:tcPr>
          <w:p>
            <w:pPr>
              <w:spacing w:after="0"/>
              <w:rPr>
                <w:sz w:val="19"/>
                <w:szCs w:val="19"/>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holding period (years)</w:t>
            </w:r>
          </w:p>
        </w:tc>
        <w:tc>
          <w:tcPr>
            <w:tcW w:w="418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7.00</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6440" w:type="dxa"/>
            <w:vAlign w:val="bottom"/>
            <w:gridSpan w:val="2"/>
          </w:tcPr>
          <w:p>
            <w:pPr>
              <w:jc w:val="right"/>
              <w:ind w:right="737"/>
              <w:spacing w:after="0"/>
              <w:rPr>
                <w:sz w:val="20"/>
                <w:szCs w:val="20"/>
                <w:color w:val="auto"/>
              </w:rPr>
            </w:pPr>
            <w:r>
              <w:rPr>
                <w:rFonts w:ascii="Times New Roman" w:cs="Times New Roman" w:eastAsia="Times New Roman" w:hAnsi="Times New Roman"/>
                <w:sz w:val="18"/>
                <w:szCs w:val="18"/>
                <w:color w:val="auto"/>
              </w:rPr>
              <w:t>310,000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w:t>
            </w: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440" w:type="dxa"/>
            <w:vAlign w:val="bottom"/>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0.91%</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0.91%</w:t>
            </w: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440" w:type="dxa"/>
            <w:vAlign w:val="bottom"/>
            <w:gridSpan w:val="2"/>
          </w:tcPr>
          <w:p>
            <w:pPr>
              <w:jc w:val="right"/>
              <w:ind w:right="777"/>
              <w:spacing w:after="0"/>
              <w:rPr>
                <w:sz w:val="20"/>
                <w:szCs w:val="20"/>
                <w:color w:val="auto"/>
              </w:rPr>
            </w:pPr>
            <w:r>
              <w:rPr>
                <w:rFonts w:ascii="Times New Roman" w:cs="Times New Roman" w:eastAsia="Times New Roman" w:hAnsi="Times New Roman"/>
                <w:sz w:val="18"/>
                <w:szCs w:val="18"/>
                <w:color w:val="auto"/>
              </w:rPr>
              <w:t>34.35%</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33.18%</w:t>
            </w: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440" w:type="dxa"/>
            <w:vAlign w:val="bottom"/>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1.98%</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Black-Scholes value</w:t>
            </w:r>
          </w:p>
        </w:tc>
        <w:tc>
          <w:tcPr>
            <w:tcW w:w="6440" w:type="dxa"/>
            <w:vAlign w:val="bottom"/>
            <w:gridSpan w:val="2"/>
          </w:tcPr>
          <w:p>
            <w:pPr>
              <w:jc w:val="right"/>
              <w:ind w:right="777"/>
              <w:spacing w:after="0"/>
              <w:rPr>
                <w:sz w:val="20"/>
                <w:szCs w:val="20"/>
                <w:color w:val="auto"/>
              </w:rPr>
            </w:pPr>
            <w:r>
              <w:rPr>
                <w:rFonts w:ascii="Times New Roman" w:cs="Times New Roman" w:eastAsia="Times New Roman" w:hAnsi="Times New Roman"/>
                <w:sz w:val="18"/>
                <w:szCs w:val="18"/>
                <w:color w:val="auto"/>
              </w:rPr>
              <w:t>$17.38</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$16.39</w:t>
            </w:r>
          </w:p>
        </w:tc>
      </w:tr>
      <w:tr>
        <w:trPr>
          <w:trHeight w:val="824"/>
        </w:trPr>
        <w:tc>
          <w:tcPr>
            <w:tcW w:w="3860" w:type="dxa"/>
            <w:vAlign w:val="bottom"/>
          </w:tcPr>
          <w:p>
            <w:pPr>
              <w:spacing w:after="0"/>
              <w:rPr>
                <w:sz w:val="24"/>
                <w:szCs w:val="24"/>
                <w:color w:val="auto"/>
              </w:rPr>
            </w:pPr>
          </w:p>
        </w:tc>
        <w:tc>
          <w:tcPr>
            <w:tcW w:w="4180" w:type="dxa"/>
            <w:vAlign w:val="bottom"/>
          </w:tcPr>
          <w:p>
            <w:pPr>
              <w:jc w:val="right"/>
              <w:ind w:right="2132"/>
              <w:spacing w:after="0"/>
              <w:rPr>
                <w:sz w:val="20"/>
                <w:szCs w:val="20"/>
                <w:color w:val="auto"/>
              </w:rPr>
            </w:pPr>
            <w:r>
              <w:rPr>
                <w:rFonts w:ascii="Times New Roman" w:cs="Times New Roman" w:eastAsia="Times New Roman" w:hAnsi="Times New Roman"/>
                <w:sz w:val="18"/>
                <w:szCs w:val="18"/>
                <w:color w:val="auto"/>
              </w:rPr>
              <w:t>- 32 -</w:t>
            </w:r>
          </w:p>
        </w:tc>
        <w:tc>
          <w:tcPr>
            <w:tcW w:w="2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2"/>
        </w:trPr>
        <w:tc>
          <w:tcPr>
            <w:tcW w:w="386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color w:val="auto"/>
        </w:rPr>
        <w:t>Additional stock option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5"/>
        </w:trPr>
        <w:tc>
          <w:tcPr>
            <w:tcW w:w="69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7"/>
                <w:szCs w:val="17"/>
                <w:color w:val="auto"/>
              </w:rPr>
            </w:pPr>
          </w:p>
        </w:tc>
      </w:tr>
      <w:tr>
        <w:trPr>
          <w:trHeight w:val="205"/>
        </w:trPr>
        <w:tc>
          <w:tcPr>
            <w:tcW w:w="69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Cash</w:t>
            </w:r>
          </w:p>
        </w:tc>
      </w:tr>
      <w:tr>
        <w:trPr>
          <w:trHeight w:val="224"/>
        </w:trPr>
        <w:tc>
          <w:tcPr>
            <w:tcW w:w="69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2"/>
                <w:szCs w:val="22"/>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28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280" w:type="dxa"/>
            <w:vAlign w:val="bottom"/>
          </w:tcPr>
          <w:p>
            <w:pPr>
              <w:spacing w:after="0"/>
              <w:rPr>
                <w:sz w:val="19"/>
                <w:szCs w:val="19"/>
                <w:color w:val="auto"/>
              </w:rPr>
            </w:pPr>
          </w:p>
        </w:tc>
        <w:tc>
          <w:tcPr>
            <w:tcW w:w="7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6"/>
              </w:rPr>
              <w:t>N/A</w:t>
            </w:r>
          </w:p>
        </w:tc>
      </w:tr>
      <w:tr>
        <w:trPr>
          <w:trHeight w:val="224"/>
        </w:trPr>
        <w:tc>
          <w:tcPr>
            <w:tcW w:w="69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Returned for option price</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62,766</w:t>
            </w:r>
          </w:p>
        </w:tc>
        <w:tc>
          <w:tcPr>
            <w:tcW w:w="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9"/>
              </w:rPr>
              <w:t>60</w:t>
            </w:r>
          </w:p>
        </w:tc>
      </w:tr>
      <w:tr>
        <w:trPr>
          <w:trHeight w:val="30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Returned for payroll taxes</w:t>
            </w:r>
            <w:r>
              <w:rPr>
                <w:rFonts w:ascii="Times New Roman" w:cs="Times New Roman" w:eastAsia="Times New Roman" w:hAnsi="Times New Roman"/>
                <w:sz w:val="22"/>
                <w:szCs w:val="22"/>
                <w:color w:val="auto"/>
                <w:vertAlign w:val="superscript"/>
              </w:rPr>
              <w:t>(3)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9"/>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1189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05" w:lineRule="exact"/>
        <w:rPr>
          <w:sz w:val="20"/>
          <w:szCs w:val="20"/>
          <w:color w:val="auto"/>
        </w:rPr>
      </w:pPr>
    </w:p>
    <w:p>
      <w:pPr>
        <w:ind w:left="400" w:right="40" w:hanging="377"/>
        <w:spacing w:after="0" w:line="184" w:lineRule="auto"/>
        <w:tabs>
          <w:tab w:leader="none" w:pos="40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Stock options exercised during the three months ended March 31, 2021 and 2022 had a weighted average exercise price of $24.18 and $25.88, respectively, with an aggregate intrinsic value of $1.3 million and $0.5 million, respectively.</w:t>
      </w:r>
    </w:p>
    <w:p>
      <w:pPr>
        <w:spacing w:after="0" w:line="15" w:lineRule="exact"/>
        <w:rPr>
          <w:rFonts w:ascii="Times New Roman" w:cs="Times New Roman" w:eastAsia="Times New Roman" w:hAnsi="Times New Roman"/>
          <w:sz w:val="24"/>
          <w:szCs w:val="24"/>
          <w:color w:val="auto"/>
          <w:vertAlign w:val="superscript"/>
        </w:rPr>
      </w:pPr>
    </w:p>
    <w:p>
      <w:pPr>
        <w:ind w:left="400" w:hanging="377"/>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withheld/cash received for the payment of the option price.</w:t>
      </w:r>
    </w:p>
    <w:p>
      <w:pPr>
        <w:spacing w:after="0" w:line="36" w:lineRule="exact"/>
        <w:rPr>
          <w:rFonts w:ascii="Times New Roman" w:cs="Times New Roman" w:eastAsia="Times New Roman" w:hAnsi="Times New Roman"/>
          <w:sz w:val="14"/>
          <w:szCs w:val="14"/>
          <w:color w:val="auto"/>
        </w:rPr>
      </w:pPr>
    </w:p>
    <w:p>
      <w:pPr>
        <w:ind w:left="400" w:hanging="377"/>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withheld/cash paid for the payment of payroll taxes.</w:t>
      </w:r>
    </w:p>
    <w:p>
      <w:pPr>
        <w:spacing w:after="0" w:line="210"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stock options of $560,000 and $638,000, for the three months ended March 31, 2021 and 2022,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Performance award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20" w:type="dxa"/>
            <w:vAlign w:val="bottom"/>
          </w:tcPr>
          <w:p>
            <w:pPr>
              <w:spacing w:after="0"/>
              <w:rPr>
                <w:sz w:val="18"/>
                <w:szCs w:val="18"/>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69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05"/>
        </w:trPr>
        <w:tc>
          <w:tcPr>
            <w:tcW w:w="69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27,948 $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the performance awards granted during the three months ended March 31, 2022 was determined by using the Monte-Carlo simulation pricing model with the following assumptions:</w:t>
      </w:r>
    </w:p>
    <w:tbl>
      <w:tblPr>
        <w:tblLayout w:type="fixed"/>
        <w:tblInd w:w="0" w:type="dxa"/>
        <w:tblCellMar>
          <w:top w:w="0" w:type="dxa"/>
          <w:left w:w="0" w:type="dxa"/>
          <w:bottom w:w="0" w:type="dxa"/>
          <w:right w:w="0" w:type="dxa"/>
        </w:tblCellMar>
      </w:tblPr>
      <w:tr>
        <w:trPr>
          <w:trHeight w:val="207"/>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760" w:type="dxa"/>
            <w:vAlign w:val="bottom"/>
            <w:tcBorders>
              <w:top w:val="single" w:sz="8" w:color="auto"/>
              <w:bottom w:val="single" w:sz="8" w:color="auto"/>
            </w:tcBorders>
          </w:tcPr>
          <w:p>
            <w:pPr>
              <w:jc w:val="right"/>
              <w:ind w:right="1174"/>
              <w:spacing w:after="0"/>
              <w:rPr>
                <w:sz w:val="20"/>
                <w:szCs w:val="20"/>
                <w:color w:val="auto"/>
              </w:rPr>
            </w:pPr>
            <w:r>
              <w:rPr>
                <w:rFonts w:ascii="Times New Roman" w:cs="Times New Roman" w:eastAsia="Times New Roman" w:hAnsi="Times New Roman"/>
                <w:sz w:val="16"/>
                <w:szCs w:val="16"/>
                <w:b w:val="1"/>
                <w:bCs w:val="1"/>
                <w:color w:val="auto"/>
              </w:rPr>
              <w:t>February 23, 2022</w:t>
            </w:r>
          </w:p>
        </w:tc>
      </w:tr>
      <w:tr>
        <w:trPr>
          <w:trHeight w:val="21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23, 2022 - December 31, 2024</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Simulation period (years)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grant date</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bl>
    <w:p>
      <w:pPr>
        <w:spacing w:after="0" w:line="177"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performance awards of $237,000 and $566,000 for the three months ended March 31, 2021 and 2022,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ESPP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5"/>
        </w:trPr>
        <w:tc>
          <w:tcPr>
            <w:tcW w:w="69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7"/>
                <w:szCs w:val="17"/>
                <w:color w:val="auto"/>
              </w:rPr>
            </w:pPr>
          </w:p>
        </w:tc>
      </w:tr>
      <w:tr>
        <w:trPr>
          <w:trHeight w:val="205"/>
        </w:trPr>
        <w:tc>
          <w:tcPr>
            <w:tcW w:w="69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w:t>
            </w: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r>
    </w:tbl>
    <w:p>
      <w:pPr>
        <w:spacing w:after="0" w:line="161" w:lineRule="exact"/>
        <w:rPr>
          <w:sz w:val="20"/>
          <w:szCs w:val="20"/>
          <w:color w:val="auto"/>
        </w:rPr>
      </w:pPr>
    </w:p>
    <w:p>
      <w:pPr>
        <w:jc w:val="both"/>
        <w:ind w:firstLine="395"/>
        <w:spacing w:after="0" w:line="265" w:lineRule="auto"/>
        <w:rPr>
          <w:sz w:val="20"/>
          <w:szCs w:val="20"/>
          <w:color w:val="auto"/>
        </w:rPr>
      </w:pPr>
      <w:r>
        <w:rPr>
          <w:rFonts w:ascii="Times New Roman" w:cs="Times New Roman" w:eastAsia="Times New Roman" w:hAnsi="Times New Roman"/>
          <w:sz w:val="18"/>
          <w:szCs w:val="18"/>
          <w:color w:val="auto"/>
        </w:rPr>
        <w:t>The fair value of the right (option) to purchase shares under the ESPP is estimated at the date of purchase with the four quarterly purchase dates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0.22%, 0.31%, 0.40%</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0.25, 0.50, 0.75, 1.00</w:t>
            </w:r>
          </w:p>
        </w:tc>
      </w:tr>
    </w:tbl>
    <w:p>
      <w:pPr>
        <w:spacing w:after="0" w:line="172"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 and Regional and unallocated funeral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cemetery costs</w:t>
      </w:r>
      <w:r>
        <w:rPr>
          <w:rFonts w:ascii="Times New Roman" w:cs="Times New Roman" w:eastAsia="Times New Roman" w:hAnsi="Times New Roman"/>
          <w:sz w:val="18"/>
          <w:szCs w:val="18"/>
          <w:color w:val="auto"/>
        </w:rPr>
        <w:t>, for the ESPP totaling $206,000 and $199,000 for the three months ended March 31, 2021 and 2022,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Good To Great Incentive Program</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we issued 27,448 shares of our common stock to certain employees, which were valued at approximately $1.4 million at a grant date stock price of $49.48. During the three months ended March 31, 2021, we did not issue any shares of common stock related to this incentive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and Board Advisor Compensation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Non-Employee Director and Board Advisor common stock activity is as follows (in thousands, except shares):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68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05"/>
        </w:trPr>
        <w:tc>
          <w:tcPr>
            <w:tcW w:w="6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 to the Board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42" w:lineRule="exact"/>
        <w:rPr>
          <w:sz w:val="20"/>
          <w:szCs w:val="20"/>
          <w:color w:val="auto"/>
        </w:rPr>
      </w:pPr>
    </w:p>
    <w:p>
      <w:pPr>
        <w:ind w:left="400" w:hanging="377"/>
        <w:spacing w:after="0"/>
        <w:tabs>
          <w:tab w:leader="none" w:pos="40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Common stock granted during the three months ended March 31, 2021 and 2022 had a weighted average price of $35.19 and $53.33, respectively.</w:t>
      </w:r>
    </w:p>
    <w:p>
      <w:pPr>
        <w:spacing w:after="0" w:line="188"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related to annual retainers, including the value of stock granted to non-employee Directors and an advisor to our Board, of $236,000 and $201,000 for the three months ended March 31, 2021 and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Securities Exchange Act of 1934, as amended (“the Exchange Act”). Prior to the Board's approval of the increase, we had $8.1 million remaining available for repurchase under our authorized program.</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Share repurchase activity is as follows (dollar value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00" w:type="dxa"/>
            <w:vAlign w:val="bottom"/>
            <w:tcBorders>
              <w:bottom w:val="single" w:sz="8" w:color="CCEEFF"/>
            </w:tcBorders>
          </w:tcPr>
          <w:p>
            <w:pPr>
              <w:spacing w:after="0"/>
              <w:rPr>
                <w:sz w:val="18"/>
                <w:szCs w:val="18"/>
                <w:color w:val="auto"/>
              </w:rPr>
            </w:pPr>
          </w:p>
        </w:tc>
        <w:tc>
          <w:tcPr>
            <w:tcW w:w="314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06"/>
        </w:trPr>
        <w:tc>
          <w:tcPr>
            <w:tcW w:w="74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shd w:val="clear" w:color="auto" w:fill="CCEEFF"/>
          </w:tcPr>
          <w:p>
            <w:pPr>
              <w:spacing w:after="0"/>
              <w:rPr>
                <w:sz w:val="17"/>
                <w:szCs w:val="17"/>
                <w:color w:val="auto"/>
              </w:rPr>
            </w:pPr>
          </w:p>
        </w:tc>
      </w:tr>
      <w:tr>
        <w:trPr>
          <w:trHeight w:val="217"/>
        </w:trPr>
        <w:tc>
          <w:tcPr>
            <w:tcW w:w="7400" w:type="dxa"/>
            <w:vAlign w:val="bottom"/>
          </w:tcPr>
          <w:p>
            <w:pPr>
              <w:ind w:left="20"/>
              <w:spacing w:after="0" w:line="217" w:lineRule="exact"/>
              <w:rPr>
                <w:sz w:val="20"/>
                <w:szCs w:val="20"/>
                <w:color w:val="auto"/>
              </w:rPr>
            </w:pPr>
            <w:r>
              <w:rPr>
                <w:rFonts w:ascii="Times New Roman" w:cs="Times New Roman" w:eastAsia="Times New Roman" w:hAnsi="Times New Roman"/>
                <w:sz w:val="16"/>
                <w:szCs w:val="16"/>
                <w:color w:val="auto"/>
              </w:rPr>
              <w:t>Number of Shares Repurchased</w:t>
            </w:r>
            <w:r>
              <w:rPr>
                <w:rFonts w:ascii="Times New Roman" w:cs="Times New Roman" w:eastAsia="Times New Roman" w:hAnsi="Times New Roman"/>
                <w:sz w:val="20"/>
                <w:szCs w:val="20"/>
                <w:color w:val="auto"/>
                <w:vertAlign w:val="superscript"/>
              </w:rPr>
              <w:t>(1)</w:t>
            </w:r>
          </w:p>
        </w:tc>
        <w:tc>
          <w:tcPr>
            <w:tcW w:w="134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w:t>
            </w: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1340" w:type="dxa"/>
            <w:vAlign w:val="bottom"/>
            <w:shd w:val="clear" w:color="auto" w:fill="CCEEFF"/>
          </w:tcPr>
          <w:p>
            <w:pPr>
              <w:jc w:val="right"/>
              <w:ind w:right="11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8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 Value of Shares Repurchased</w:t>
            </w:r>
            <w:r>
              <w:rPr>
                <w:rFonts w:ascii="Times New Roman" w:cs="Times New Roman" w:eastAsia="Times New Roman" w:hAnsi="Times New Roman"/>
                <w:sz w:val="20"/>
                <w:szCs w:val="20"/>
                <w:color w:val="auto"/>
                <w:vertAlign w:val="superscript"/>
              </w:rPr>
              <w:t>(1)</w:t>
            </w:r>
          </w:p>
        </w:tc>
        <w:tc>
          <w:tcPr>
            <w:tcW w:w="1340" w:type="dxa"/>
            <w:vAlign w:val="bottom"/>
          </w:tcPr>
          <w:p>
            <w:pPr>
              <w:jc w:val="right"/>
              <w:ind w:right="11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10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ind w:left="400" w:hanging="377"/>
        <w:spacing w:after="0"/>
        <w:tabs>
          <w:tab w:leader="none" w:pos="40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During the three months ended March 31, 2022, 52,242 shares settled in April 2022, which had a cost of $2.8 million.</w:t>
      </w:r>
    </w:p>
    <w:p>
      <w:pPr>
        <w:spacing w:after="0" w:line="176" w:lineRule="exact"/>
        <w:rPr>
          <w:sz w:val="20"/>
          <w:szCs w:val="20"/>
          <w:color w:val="auto"/>
        </w:rPr>
      </w:pPr>
    </w:p>
    <w:p>
      <w:pPr>
        <w:jc w:val="both"/>
        <w:ind w:firstLine="395"/>
        <w:spacing w:after="0" w:line="235" w:lineRule="auto"/>
        <w:rPr>
          <w:sz w:val="20"/>
          <w:szCs w:val="20"/>
          <w:color w:val="auto"/>
        </w:rPr>
      </w:pPr>
      <w:r>
        <w:rPr>
          <w:rFonts w:ascii="Times New Roman" w:cs="Times New Roman" w:eastAsia="Times New Roman" w:hAnsi="Times New Roman"/>
          <w:sz w:val="18"/>
          <w:szCs w:val="18"/>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 At March 31, 2022, our share repurchase program had $57.1 million authorized for repurchases.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declared the following dividends payable on the dates below (in thousands,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3"/>
                <w:szCs w:val="13"/>
                <w:color w:val="auto"/>
              </w:rPr>
            </w:pP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5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303"/>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24"/>
                <w:szCs w:val="24"/>
                <w:color w:val="auto"/>
              </w:rPr>
            </w:pPr>
          </w:p>
        </w:tc>
        <w:tc>
          <w:tcPr>
            <w:tcW w:w="12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5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84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00" w:type="dxa"/>
            <w:vAlign w:val="bottom"/>
          </w:tcPr>
          <w:p>
            <w:pPr>
              <w:jc w:val="right"/>
              <w:ind w:right="2252"/>
              <w:spacing w:after="0"/>
              <w:rPr>
                <w:sz w:val="20"/>
                <w:szCs w:val="20"/>
                <w:color w:val="auto"/>
              </w:rPr>
            </w:pPr>
            <w:r>
              <w:rPr>
                <w:rFonts w:ascii="Times New Roman" w:cs="Times New Roman" w:eastAsia="Times New Roman" w:hAnsi="Times New Roman"/>
                <w:sz w:val="18"/>
                <w:szCs w:val="18"/>
                <w:color w:val="auto"/>
              </w:rPr>
              <w:t>- 34 -</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3" w:name="page34"/>
    <w:bookmarkEnd w:id="33"/>
    <w:p>
      <w:pPr>
        <w:ind w:left="640" w:hanging="635"/>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11" w:lineRule="exact"/>
        <w:rPr>
          <w:sz w:val="20"/>
          <w:szCs w:val="20"/>
          <w:color w:val="auto"/>
        </w:rPr>
      </w:pPr>
    </w:p>
    <w:p>
      <w:pPr>
        <w:ind w:left="400"/>
        <w:spacing w:after="0"/>
        <w:tabs>
          <w:tab w:leader="none" w:pos="800" w:val="left"/>
          <w:tab w:leader="none" w:pos="1620" w:val="left"/>
          <w:tab w:leader="none" w:pos="2100" w:val="left"/>
          <w:tab w:leader="none" w:pos="2500" w:val="left"/>
          <w:tab w:leader="none" w:pos="2980" w:val="left"/>
          <w:tab w:leader="none" w:pos="3340" w:val="left"/>
          <w:tab w:leader="none" w:pos="4360" w:val="left"/>
          <w:tab w:leader="none" w:pos="4640" w:val="left"/>
          <w:tab w:leader="none" w:pos="5000" w:val="left"/>
          <w:tab w:leader="none" w:pos="5500" w:val="left"/>
          <w:tab w:leader="none" w:pos="5900" w:val="left"/>
          <w:tab w:leader="none" w:pos="6520" w:val="left"/>
          <w:tab w:leader="none" w:pos="7260" w:val="left"/>
          <w:tab w:leader="none" w:pos="7620" w:val="left"/>
          <w:tab w:leader="none" w:pos="8120" w:val="left"/>
          <w:tab w:leader="none" w:pos="8460" w:val="left"/>
          <w:tab w:leader="none" w:pos="9340" w:val="left"/>
          <w:tab w:leader="none" w:pos="9940" w:val="left"/>
          <w:tab w:leader="none" w:pos="10320" w:val="left"/>
          <w:tab w:leader="none" w:pos="10820" w:val="left"/>
        </w:tabs>
        <w:rPr>
          <w:sz w:val="20"/>
          <w:szCs w:val="20"/>
          <w:color w:val="auto"/>
        </w:rPr>
      </w:pPr>
      <w:r>
        <w:rPr>
          <w:rFonts w:ascii="Times New Roman" w:cs="Times New Roman" w:eastAsia="Times New Roman" w:hAnsi="Times New Roman"/>
          <w:sz w:val="18"/>
          <w:szCs w:val="18"/>
          <w:color w:val="auto"/>
        </w:rPr>
        <w:t>The</w:t>
        <w:tab/>
        <w:t>following</w:t>
        <w:tab/>
        <w:t>table</w:t>
        <w:tab/>
        <w:t>sets</w:t>
        <w:tab/>
        <w:t>forth</w:t>
        <w:tab/>
        <w:t>the</w:t>
        <w:tab/>
        <w:t>computation</w:t>
        <w:tab/>
        <w:t>of</w:t>
        <w:tab/>
        <w:t>the</w:t>
        <w:tab/>
        <w:t>basic</w:t>
        <w:tab/>
        <w:t>and</w:t>
        <w:tab/>
        <w:t>diluted</w:t>
        <w:tab/>
        <w:t>earnings</w:t>
        <w:tab/>
        <w:t>per</w:t>
        <w:tab/>
        <w:t>share</w:t>
        <w:tab/>
        <w:t>(in</w:t>
        <w:tab/>
        <w:t>thousands,</w:t>
        <w:tab/>
        <w:t>except</w:t>
        <w:tab/>
        <w:t>per</w:t>
        <w:tab/>
        <w:t>share</w:t>
      </w:r>
      <w:r>
        <w:rPr>
          <w:sz w:val="20"/>
          <w:szCs w:val="20"/>
          <w:color w:val="auto"/>
        </w:rPr>
        <w:tab/>
      </w:r>
      <w:r>
        <w:rPr>
          <w:rFonts w:ascii="Times New Roman" w:cs="Times New Roman" w:eastAsia="Times New Roman" w:hAnsi="Times New Roman"/>
          <w:sz w:val="16"/>
          <w:szCs w:val="16"/>
          <w:color w:val="auto"/>
        </w:rPr>
        <w:t>data):</w:t>
      </w:r>
    </w:p>
    <w:p>
      <w:pPr>
        <w:spacing w:after="0" w:line="8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earnings per share:</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12,933</w:t>
            </w:r>
          </w:p>
        </w:tc>
        <w:tc>
          <w:tcPr>
            <w:tcW w:w="180" w:type="dxa"/>
            <w:vAlign w:val="bottom"/>
          </w:tcPr>
          <w:p>
            <w:pPr>
              <w:spacing w:after="0"/>
              <w:rPr>
                <w:sz w:val="21"/>
                <w:szCs w:val="21"/>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Earnings allocated to unvested restricted stock</w:t>
            </w: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stockholders</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12,906</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2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Denominator for basic earnings per common share - weighted average shares</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17,965</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5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awards</w:t>
            </w:r>
          </w:p>
        </w:tc>
        <w:tc>
          <w:tcPr>
            <w:tcW w:w="4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151"/>
        </w:trPr>
        <w:tc>
          <w:tcPr>
            <w:tcW w:w="624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Denominator for diluted earnings per common share - weighted average shares</w:t>
            </w:r>
          </w:p>
        </w:tc>
        <w:tc>
          <w:tcPr>
            <w:tcW w:w="4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18,199</w:t>
            </w:r>
          </w:p>
        </w:tc>
        <w:tc>
          <w:tcPr>
            <w:tcW w:w="1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0" w:type="dxa"/>
            <w:vAlign w:val="bottom"/>
          </w:tcPr>
          <w:p>
            <w:pPr>
              <w:spacing w:after="0"/>
              <w:rPr>
                <w:sz w:val="1"/>
                <w:szCs w:val="1"/>
                <w:color w:val="auto"/>
              </w:rPr>
            </w:pPr>
          </w:p>
        </w:tc>
      </w:tr>
      <w:tr>
        <w:trPr>
          <w:trHeight w:val="23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0.71</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three months ended March 31, 2021 and 2022, no stock options were excluded from the computation of diluted earnings per share.</w:t>
      </w:r>
    </w:p>
    <w:p>
      <w:pPr>
        <w:spacing w:after="0" w:line="109"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performance awards are considered to be contingently issuable shares because their issuance is contingent upon the satisfaction of certain performance and service conditions. At March 31, 2022,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pacing w:after="0" w:line="234" w:lineRule="exact"/>
        <w:rPr>
          <w:sz w:val="20"/>
          <w:szCs w:val="20"/>
          <w:color w:val="auto"/>
        </w:rPr>
      </w:pPr>
    </w:p>
    <w:p>
      <w:pPr>
        <w:ind w:left="640" w:hanging="635"/>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disaggregated by major source for each of our reportable segments was as follows (in thousands):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0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3"/>
        </w:trPr>
        <w:tc>
          <w:tcPr>
            <w:tcW w:w="366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80" w:type="dxa"/>
            <w:vAlign w:val="bottom"/>
          </w:tcPr>
          <w:p>
            <w:pPr>
              <w:spacing w:after="0"/>
              <w:rPr>
                <w:sz w:val="16"/>
                <w:szCs w:val="16"/>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r>
      <w:tr>
        <w:trPr>
          <w:trHeight w:val="219"/>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45,516</w:t>
            </w: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3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4"/>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4"/>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3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2"/>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74,355</w:t>
            </w: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80" w:type="dxa"/>
            <w:vAlign w:val="bottom"/>
          </w:tcPr>
          <w:p>
            <w:pPr>
              <w:spacing w:after="0"/>
              <w:rPr>
                <w:sz w:val="16"/>
                <w:szCs w:val="16"/>
                <w:color w:val="auto"/>
              </w:rPr>
            </w:pP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20" w:type="dxa"/>
            <w:vAlign w:val="bottom"/>
          </w:tcPr>
          <w:p>
            <w:pPr>
              <w:spacing w:after="0"/>
              <w:rPr>
                <w:sz w:val="16"/>
                <w:szCs w:val="16"/>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2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3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3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Merchandise</w:t>
            </w:r>
          </w:p>
        </w:tc>
        <w:tc>
          <w:tcPr>
            <w:tcW w:w="2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24,461</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property</w:t>
            </w:r>
          </w:p>
        </w:tc>
        <w:tc>
          <w:tcPr>
            <w:tcW w:w="2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3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71,774</w:t>
            </w: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24,863</w:t>
            </w: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- 35 -</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color w:val="auto"/>
        </w:rPr>
        <w:t>The following table presents operating income (loss), income (loss) before income taxes and total assets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Funeral</w:t>
            </w:r>
          </w:p>
        </w:tc>
        <w:tc>
          <w:tcPr>
            <w:tcW w:w="460" w:type="dxa"/>
            <w:vAlign w:val="bottom"/>
          </w:tcPr>
          <w:p>
            <w:pPr>
              <w:spacing w:after="0"/>
              <w:rPr>
                <w:sz w:val="16"/>
                <w:szCs w:val="16"/>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Cemetery</w:t>
            </w:r>
          </w:p>
        </w:tc>
        <w:tc>
          <w:tcPr>
            <w:tcW w:w="440" w:type="dxa"/>
            <w:vAlign w:val="bottom"/>
          </w:tcPr>
          <w:p>
            <w:pPr>
              <w:spacing w:after="0"/>
              <w:rPr>
                <w:sz w:val="16"/>
                <w:szCs w:val="16"/>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49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Three months ended March 31, 2022</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25,463</w:t>
            </w:r>
          </w:p>
        </w:tc>
        <w:tc>
          <w:tcPr>
            <w:tcW w:w="2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2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25,151</w:t>
            </w:r>
          </w:p>
        </w:tc>
      </w:tr>
      <w:tr>
        <w:trPr>
          <w:trHeight w:val="22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March 31, 2021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w:t>
            </w:r>
          </w:p>
        </w:tc>
      </w:tr>
      <w:tr>
        <w:trPr>
          <w:trHeight w:val="105"/>
        </w:trPr>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Three months ended March 31, 2022</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2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2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1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21,484</w:t>
            </w:r>
          </w:p>
        </w:tc>
      </w:tr>
      <w:tr>
        <w:trPr>
          <w:trHeight w:val="22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March 31, 2021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w:t>
            </w:r>
          </w:p>
        </w:tc>
      </w:tr>
      <w:tr>
        <w:trPr>
          <w:trHeight w:val="105"/>
        </w:trPr>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31, 2022</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769,717</w:t>
            </w:r>
          </w:p>
        </w:tc>
        <w:tc>
          <w:tcPr>
            <w:tcW w:w="2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394,627</w:t>
            </w:r>
          </w:p>
        </w:tc>
        <w:tc>
          <w:tcPr>
            <w:tcW w:w="2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1,180,349</w:t>
            </w:r>
          </w:p>
        </w:tc>
      </w:tr>
      <w:tr>
        <w:trPr>
          <w:trHeight w:val="22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769,539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390,344</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1,178,631</w:t>
            </w:r>
          </w:p>
        </w:tc>
      </w:tr>
      <w:tr>
        <w:trPr>
          <w:trHeight w:val="842"/>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- 36 -</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2"/>
        </w:trPr>
        <w:tc>
          <w:tcPr>
            <w:tcW w:w="4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17.</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SUPPLEMENTARY DATA</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6"/>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6"/>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following table presents the detail of certain balance sheet accounts (in thousands):</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6"/>
        </w:trPr>
        <w:tc>
          <w:tcPr>
            <w:tcW w:w="40" w:type="dxa"/>
            <w:vAlign w:val="bottom"/>
          </w:tcPr>
          <w:p>
            <w:pPr>
              <w:spacing w:after="0"/>
              <w:rPr>
                <w:sz w:val="17"/>
                <w:szCs w:val="17"/>
                <w:color w:val="auto"/>
              </w:rPr>
            </w:pPr>
          </w:p>
        </w:tc>
        <w:tc>
          <w:tcPr>
            <w:tcW w:w="7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 receivable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4"/>
        </w:trPr>
        <w:tc>
          <w:tcPr>
            <w:tcW w:w="4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2"/>
        </w:trPr>
        <w:tc>
          <w:tcPr>
            <w:tcW w:w="40" w:type="dxa"/>
            <w:vAlign w:val="bottom"/>
          </w:tcPr>
          <w:p>
            <w:pPr>
              <w:spacing w:after="0"/>
              <w:rPr>
                <w:sz w:val="20"/>
                <w:szCs w:val="20"/>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0"/>
        </w:trPr>
        <w:tc>
          <w:tcPr>
            <w:tcW w:w="40" w:type="dxa"/>
            <w:vAlign w:val="bottom"/>
          </w:tcPr>
          <w:p>
            <w:pPr>
              <w:spacing w:after="0" w:line="20" w:lineRule="exact"/>
              <w:rPr>
                <w:sz w:val="1"/>
                <w:szCs w:val="1"/>
                <w:color w:val="auto"/>
              </w:rPr>
            </w:pPr>
          </w:p>
        </w:tc>
        <w:tc>
          <w:tcPr>
            <w:tcW w:w="72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91"/>
        </w:trPr>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0" w:type="dxa"/>
            <w:vAlign w:val="bottom"/>
          </w:tcPr>
          <w:p>
            <w:pPr>
              <w:spacing w:after="0"/>
              <w:rPr>
                <w:sz w:val="7"/>
                <w:szCs w:val="7"/>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debt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4"/>
        </w:trPr>
        <w:tc>
          <w:tcPr>
            <w:tcW w:w="4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42"/>
        </w:trPr>
        <w:tc>
          <w:tcPr>
            <w:tcW w:w="40" w:type="dxa"/>
            <w:vAlign w:val="bottom"/>
          </w:tcPr>
          <w:p>
            <w:pPr>
              <w:spacing w:after="0"/>
              <w:rPr>
                <w:sz w:val="20"/>
                <w:szCs w:val="20"/>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portion of debt and lease obligations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0"/>
        </w:trPr>
        <w:tc>
          <w:tcPr>
            <w:tcW w:w="40" w:type="dxa"/>
            <w:vAlign w:val="bottom"/>
          </w:tcPr>
          <w:p>
            <w:pPr>
              <w:spacing w:after="0" w:line="20" w:lineRule="exact"/>
              <w:rPr>
                <w:sz w:val="1"/>
                <w:szCs w:val="1"/>
                <w:color w:val="auto"/>
              </w:rPr>
            </w:pPr>
          </w:p>
        </w:tc>
        <w:tc>
          <w:tcPr>
            <w:tcW w:w="72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91"/>
        </w:trPr>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0" w:type="dxa"/>
            <w:vAlign w:val="bottom"/>
          </w:tcPr>
          <w:p>
            <w:pPr>
              <w:spacing w:after="0"/>
              <w:rPr>
                <w:sz w:val="7"/>
                <w:szCs w:val="7"/>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2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disaster liability</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payroll tax deferral</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Employee meetings and award trips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 valorem and franchise taxes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Perpetual care trust payable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17"/>
        </w:trPr>
        <w:tc>
          <w:tcPr>
            <w:tcW w:w="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31,345</w:t>
            </w: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11"/>
        </w:trPr>
        <w:tc>
          <w:tcPr>
            <w:tcW w:w="40" w:type="dxa"/>
            <w:vAlign w:val="bottom"/>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4"/>
        </w:trPr>
        <w:tc>
          <w:tcPr>
            <w:tcW w:w="4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0" w:type="dxa"/>
            <w:vAlign w:val="bottom"/>
          </w:tcPr>
          <w:p>
            <w:pPr>
              <w:spacing w:after="0"/>
              <w:rPr>
                <w:sz w:val="20"/>
                <w:szCs w:val="20"/>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0"/>
        </w:trPr>
        <w:tc>
          <w:tcPr>
            <w:tcW w:w="4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information is supplemental disclosure for the Consolidated Statements of Cash Flows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5"/>
        </w:trPr>
        <w:tc>
          <w:tcPr>
            <w:tcW w:w="400" w:type="dxa"/>
            <w:vAlign w:val="bottom"/>
          </w:tcPr>
          <w:p>
            <w:pPr>
              <w:spacing w:after="0"/>
              <w:rPr>
                <w:sz w:val="17"/>
                <w:szCs w:val="17"/>
                <w:color w:val="auto"/>
              </w:rPr>
            </w:pPr>
          </w:p>
        </w:tc>
        <w:tc>
          <w:tcPr>
            <w:tcW w:w="374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18"/>
        </w:trPr>
        <w:tc>
          <w:tcPr>
            <w:tcW w:w="400" w:type="dxa"/>
            <w:vAlign w:val="bottom"/>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5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4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40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3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8"/>
        </w:trPr>
        <w:tc>
          <w:tcPr>
            <w:tcW w:w="4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donated real property</w:t>
            </w:r>
          </w:p>
        </w:tc>
        <w:tc>
          <w:tcPr>
            <w:tcW w:w="3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37"/>
        </w:trPr>
        <w:tc>
          <w:tcPr>
            <w:tcW w:w="4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20" w:type="dxa"/>
            <w:vAlign w:val="bottom"/>
          </w:tcPr>
          <w:p>
            <w:pPr>
              <w:jc w:val="right"/>
              <w:ind w:right="1752"/>
              <w:spacing w:after="0"/>
              <w:rPr>
                <w:sz w:val="20"/>
                <w:szCs w:val="20"/>
                <w:color w:val="auto"/>
              </w:rPr>
            </w:pPr>
            <w:r>
              <w:rPr>
                <w:rFonts w:ascii="Times New Roman" w:cs="Times New Roman" w:eastAsia="Times New Roman" w:hAnsi="Times New Roman"/>
                <w:sz w:val="18"/>
                <w:szCs w:val="18"/>
                <w:color w:val="auto"/>
              </w:rPr>
              <w:t>- 37 -</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11"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color w:val="auto"/>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The words “may”, “will”, “estimate”, “intend”, “believe”, “expect”, “seek”, “project”, “forecast”, “foresee”, “should”, “would”, “could”, “plan”, “anticipate” and other similar words or expressions are intended to identify forward-looking statements, which are generally not historical in nature. These forward-looking statements include, but are not limited to, statements regarding any projections of earnings, revenue, cash flow, debt levels or other financial items; any statements of the plans, strategies and objectives of management for future operations; including, but not limited to, technology innovations; any statements of the plans, timing and objectives of management for acquisition activities; any statements of the plans, timing, expectations and objectives of management for future financing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214" w:lineRule="exact"/>
        <w:rPr>
          <w:sz w:val="20"/>
          <w:szCs w:val="20"/>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find and retain skilled personnel;</w:t>
      </w:r>
    </w:p>
    <w:p>
      <w:pPr>
        <w:spacing w:after="0" w:line="22"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effects of our incentive and compensation plans and programs, including such effects on our Standards Operating Model and the Company’s operational and financial performance;</w:t>
      </w: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execute our growth strategy;</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execution of our Standards Operating, 4E Leadership and Standard Acquisition Models;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effects of competition;</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the number of deaths in our markets;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consumer preferences and our ability to adapt to or meet those changes;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generate preneed sales, including implementing our cemetery portfolio sales strategy and optimization plan;</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investment performance of our funeral and cemetery trust funds;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interest rates;</w:t>
      </w:r>
    </w:p>
    <w:p>
      <w:pPr>
        <w:spacing w:after="0" w:line="2"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jc w:val="both"/>
        <w:ind w:left="640" w:hanging="319"/>
        <w:spacing w:after="0" w:line="243" w:lineRule="auto"/>
        <w:tabs>
          <w:tab w:leader="none" w:pos="636"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spacing w:after="0" w:line="2" w:lineRule="exact"/>
        <w:rPr>
          <w:rFonts w:ascii="Arial" w:cs="Arial" w:eastAsia="Arial" w:hAnsi="Arial"/>
          <w:sz w:val="18"/>
          <w:szCs w:val="18"/>
          <w:color w:val="auto"/>
        </w:rPr>
      </w:pPr>
    </w:p>
    <w:p>
      <w:pPr>
        <w:ind w:left="640" w:hanging="319"/>
        <w:spacing w:after="0" w:line="243" w:lineRule="auto"/>
        <w:tabs>
          <w:tab w:leader="none" w:pos="636"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meet the projected financial and equity performance metrics to our updated three-year roughly right range and performance scenario, our rolling four quarter outlook, and intrinsic value per share range, if at all;</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timely and full payment of death benefits related to preneed funeral contracts funded through life insurance contracts;</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financial condition of third-party insurance companies that fund our preneed funeral contracts;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or unanticipated costs, such as insurance or taxes;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level of indebtedness and the cash required to service our indebtedness;</w:t>
      </w:r>
    </w:p>
    <w:p>
      <w:pPr>
        <w:spacing w:after="0" w:line="2"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federal income tax laws and regulations and the implementation and interpretation of these laws and regulations by the Internal Revenue Service;</w:t>
      </w: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effects of the application of other applicable laws and regulations, including changes in such regulations or the interpretation thereof;</w:t>
      </w:r>
    </w:p>
    <w:p>
      <w:pPr>
        <w:spacing w:after="0" w:line="5"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potential impact of epidemics and pandemics, including the COVID-19 coronavirus, including new variants of COVID-19, such as the Delta and Omicron variants, on customer preferences and on our business;</w:t>
      </w:r>
    </w:p>
    <w:p>
      <w:pPr>
        <w:ind w:left="640" w:hanging="319"/>
        <w:spacing w:after="0" w:line="243" w:lineRule="auto"/>
        <w:tabs>
          <w:tab w:leader="none" w:pos="636"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government, social, business and other actions that have been and will be taken in response to pandemics, including potential responses to new variants of COVID-19, such as the Delta and Omicron variants;</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effects and expense of litigation;</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consolidation of the funeral and cemetery industry;</w:t>
      </w:r>
    </w:p>
    <w:p>
      <w:pPr>
        <w:spacing w:after="0" w:line="2"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identify and consummate strategic acquisitions, if at all, and successfully integrate acquired businesses with our existing businesses, including expected performance and financial improvements related thereto;</w:t>
      </w: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economic, financial and stock market fluctuations,</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interruptions or security lapses of our information technology, including any cybersecurity or ransomware incidents,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540" w:hanging="106"/>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7" w:name="page38"/>
    <w:bookmarkEnd w:id="37"/>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terrorists acts and the governmental or military response to such acts;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maintain effective control over financial reporting; and</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other factors and uncertainties inherent in the funeral and cemetery industry.</w:t>
      </w:r>
    </w:p>
    <w:p>
      <w:pPr>
        <w:spacing w:after="0" w:line="8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2021.</w:t>
      </w:r>
    </w:p>
    <w:p>
      <w:pPr>
        <w:spacing w:after="0" w:line="7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Carriage Services, Inc. (“Carriage,” the “Company,” “we,” “us,” or “our”) was incorporated in the State of Delaware in December 1993 and is a leading U.S. provider of funeral and cemetery services and merchandise. We operate in two business segments: Funeral Home Operations, which currently account for approximately 70% of our revenue, and Cemetery Operations, which currently account for approximately 30% of our revenue.</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March 31, 2022, we operated 168 funeral homes in 26 states and 31 cemeteries in 11 states. We compete with other publicly held and independent operators of funeral and cemetery companies. We believe we are a market leader in most of our markets.</w:t>
      </w:r>
    </w:p>
    <w:p>
      <w:pPr>
        <w:spacing w:after="0" w:line="6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cemeteries provide interment rights (primarily grave sites, lawn crypts, mausoleum spaces and niches), related cemetery merchandise (such as outer burial containers, memorial markers and floral placements) and services (interments, inurnments and installation of cemetery merchandise).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provide funeral and cemetery services and products on both an “atneed” (time of death) and “preneed” (planned prior to death) basis.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98"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On February 23, 2022, our Board of Directors (our “Board”) authorized an increase in our share repurchase program to permit us to purchase up to an additional $75.0 million under our share repurchase program, in addition to amounts previously authorized. At March 31, 2022, our share repurchase program had $57.1 million authorized for repurchases.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March 31, 2022, we sold two funeral homes for an aggregate of $0.9 million for a loss of $0.7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Impact under the Macroeconomic Environment of COVID-19</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March 11, 2020, COVID-19 was deemed a global pandemic and since then, the Company has continued to proactively monitor and assess the pandemic’s current and potential impact to the Company’s operations. Throughout the pandemic, the Company’s senior leadership team has taken steps to assist our businesses in appropriately adjusting and adapting to the conditions resulting from the COVID-19 pandemic.</w:t>
      </w:r>
    </w:p>
    <w:p>
      <w:pPr>
        <w:spacing w:after="0" w:line="75"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Our businesses are open and ready to provide service to the families and communities they serve. While our businesses provide an essential public function, along with a critical responsibility to the communities and families they serve, the health and safety of our employees and the families we serve remain our top priority. We continue to review and update our processes and procedures to comply with all regulatory mandates and procure additional supplies to ensure that each of our businesses have appropriate personal protective equipment to provide these essential services. The Company also implemented additional safety and precautionary measures as it concerns our businesses’ day-to-day interaction with the families and communities they serve.</w:t>
      </w:r>
    </w:p>
    <w:p>
      <w:pPr>
        <w:spacing w:after="0" w:line="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overall impact of the macroeconomic environment to the deathcare industry from the pandemic may provide varying results as compared to other industries. Our industry’s revenues are impacted by various factors, including the number of funeral services performed, the average price for a service and the mix of traditional burial versus cremation contracts. During the first quarter of 2022, we continued to see the number of funeral contracts normalize to pre-COVID-19 levels. Regardless of these recent trends, our businesses have remained focused on being innovative and resourceful, providing families immediate service as part of the grieving process.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Within our financial reporting environment, we have considered various areas that could affect the results of our operations, though the scope, severity and duration of these impacts remain uncertain at this time because the ultimate impact of COVID-19 remains uncertain, including the potential impacts of new variants of COVID-19, such as the Delta and Omicron variants, and any resulting government responses to such variants. We do not believe we are particularly vulnerable to concentrations, with respect to geographic area, revenue for specific products or our relationships with our vendors. Our relationships with our vendors and suppliers have remained consistent and we continue to receive reliable service. To date, we have not experienced any material supply chain impacts or disruptions from our vendors. Remote working arrangements, when utilized, have not materially affected our ability to maintain and support operations, including financial reporting systems, internal controls over financial reporting, and disclosure controls and procedures.</w:t>
      </w:r>
    </w:p>
    <w:p>
      <w:pPr>
        <w:spacing w:after="0" w:line="5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believe our access to capital, the cost of our capital, or the sources and uses of our cash should be relatively consistent in the near term. While the expected duration of the pandemic is unknown, we have not currently experienced any material negative impacts to our liquidity position, access to capital, or cash flows as a result of COVID-19. See Part II, Item 7, Management's Discussion and Analysis of Financial Condition and Results of Operations, Liquidity and Capital Resources for additional information related to our liquidity position.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During the first quarter of 2022, we continued to see a decrease in COVID-19-related deaths and the normalization of funeral contracts to pre-COVID-19</w:t>
      </w:r>
    </w:p>
    <w:p>
      <w:pPr>
        <w:spacing w:after="0" w:line="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levels at broadly higher funeral contract revenue averages. During this same time, we have not seen an adverse impact to our overall financial performance. Although we expect these trends to continue, we will continue to assess these impacts, including the potential impacts of new variants of COVID-19, such as the Delta and Omicron variants, and implement appropriate procedures, plans, strategy, and issue any disclosures that may be required, as the situation surrounding the pandemic and related regulatory mandates and restrictions, if any, evolves.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Operations</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Cemetery Operations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 culture and operating framework linked with incentive compensation programs that attract top quality industry talent to our organization. We also believe that Carriage provides a unique consolidation and operating framework that offers a highly attractive succession planning solution for independent funeral home owners who want their legacy family business to remain operationally prosperous in their local communities.</w:t>
      </w:r>
    </w:p>
    <w:p>
      <w:pPr>
        <w:spacing w:after="0" w:line="7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 Statement</w:t>
      </w:r>
      <w:r>
        <w:rPr>
          <w:rFonts w:ascii="Times New Roman" w:cs="Times New Roman" w:eastAsia="Times New Roman" w:hAnsi="Times New Roman"/>
          <w:sz w:val="18"/>
          <w:szCs w:val="18"/>
          <w:color w:val="auto"/>
        </w:rPr>
        <w:t xml:space="preserve"> states that “we are committed to being the most professional, ethical and highest quality funeral and cemetery service organization in our industry” and our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state our core values, which are comprised of:</w:t>
      </w:r>
    </w:p>
    <w:p>
      <w:pPr>
        <w:spacing w:after="0" w:line="8" w:lineRule="exact"/>
        <w:rPr>
          <w:sz w:val="20"/>
          <w:szCs w:val="20"/>
          <w:color w:val="auto"/>
        </w:rPr>
      </w:pPr>
    </w:p>
    <w:p>
      <w:pPr>
        <w:ind w:left="1180" w:hanging="622"/>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Honesty, integrity and quality in all that we do;</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work, pride of accomplishment, and shared success through employee ownership;</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 in the power of people through individual initiative and teamwork;</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service and profitability go hand-in-hand; and</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the Company is driven by decentralization and partnership.</w:t>
      </w:r>
    </w:p>
    <w:p>
      <w:pPr>
        <w:spacing w:after="0" w:line="200" w:lineRule="exact"/>
        <w:rPr>
          <w:rFonts w:ascii="Times New Roman" w:cs="Times New Roman" w:eastAsia="Times New Roman" w:hAnsi="Times New Roman"/>
          <w:sz w:val="18"/>
          <w:szCs w:val="18"/>
          <w:color w:val="auto"/>
        </w:rPr>
      </w:pPr>
    </w:p>
    <w:p>
      <w:pPr>
        <w:spacing w:after="0" w:line="343" w:lineRule="exact"/>
        <w:rPr>
          <w:rFonts w:ascii="Times New Roman" w:cs="Times New Roman" w:eastAsia="Times New Roman" w:hAnsi="Times New Roman"/>
          <w:sz w:val="18"/>
          <w:szCs w:val="18"/>
          <w:color w:val="auto"/>
        </w:rPr>
      </w:pPr>
    </w:p>
    <w:p>
      <w:pPr>
        <w:ind w:left="5540" w:hanging="106"/>
        <w:spacing w:after="0"/>
        <w:tabs>
          <w:tab w:leader="none" w:pos="5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0" w:name="page41"/>
    <w:bookmarkEnd w:id="40"/>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Our five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collectively embody our </w:t>
      </w:r>
      <w:r>
        <w:rPr>
          <w:rFonts w:ascii="Times New Roman" w:cs="Times New Roman" w:eastAsia="Times New Roman" w:hAnsi="Times New Roman"/>
          <w:sz w:val="18"/>
          <w:szCs w:val="18"/>
          <w:b w:val="1"/>
          <w:bCs w:val="1"/>
          <w:color w:val="auto"/>
        </w:rPr>
        <w:t>Being The Best</w:t>
      </w:r>
      <w:r>
        <w:rPr>
          <w:rFonts w:ascii="Times New Roman" w:cs="Times New Roman" w:eastAsia="Times New Roman" w:hAnsi="Times New Roman"/>
          <w:sz w:val="18"/>
          <w:szCs w:val="18"/>
          <w:color w:val="auto"/>
        </w:rPr>
        <w:t xml:space="preserve"> high-performance culture and operating framework. Our operations and business strategy are built upon the execution of the following three models:</w:t>
      </w:r>
    </w:p>
    <w:p>
      <w:pPr>
        <w:spacing w:after="0" w:line="8" w:lineRule="exact"/>
        <w:rPr>
          <w:sz w:val="20"/>
          <w:szCs w:val="20"/>
          <w:color w:val="auto"/>
        </w:rPr>
      </w:pPr>
    </w:p>
    <w:p>
      <w:pPr>
        <w:ind w:left="1180" w:hanging="622"/>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Standards Operating Model;</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4E Leadership Model; and</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 Model.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Operating Model</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4E Leadership Model</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 performance culture: </w:t>
      </w:r>
      <w:r>
        <w:rPr>
          <w:rFonts w:ascii="Times New Roman" w:cs="Times New Roman" w:eastAsia="Times New Roman" w:hAnsi="Times New Roman"/>
          <w:sz w:val="18"/>
          <w:szCs w:val="18"/>
          <w:i w:val="1"/>
          <w:iCs w:val="1"/>
          <w:color w:val="auto"/>
        </w:rPr>
        <w:t>Energy</w:t>
      </w:r>
      <w:r>
        <w:rPr>
          <w:rFonts w:ascii="Times New Roman" w:cs="Times New Roman" w:eastAsia="Times New Roman" w:hAnsi="Times New Roman"/>
          <w:sz w:val="18"/>
          <w:szCs w:val="18"/>
          <w:color w:val="auto"/>
        </w:rPr>
        <w:t xml:space="preserve"> to get the job done; the ability to </w:t>
      </w:r>
      <w:r>
        <w:rPr>
          <w:rFonts w:ascii="Times New Roman" w:cs="Times New Roman" w:eastAsia="Times New Roman" w:hAnsi="Times New Roman"/>
          <w:sz w:val="18"/>
          <w:szCs w:val="18"/>
          <w:i w:val="1"/>
          <w:iCs w:val="1"/>
          <w:color w:val="auto"/>
        </w:rPr>
        <w:t>Energiz</w:t>
      </w:r>
      <w:r>
        <w:rPr>
          <w:rFonts w:ascii="Times New Roman" w:cs="Times New Roman" w:eastAsia="Times New Roman" w:hAnsi="Times New Roman"/>
          <w:sz w:val="18"/>
          <w:szCs w:val="18"/>
          <w:color w:val="auto"/>
        </w:rPr>
        <w:t xml:space="preserve">e others; the </w:t>
      </w:r>
      <w:r>
        <w:rPr>
          <w:rFonts w:ascii="Times New Roman" w:cs="Times New Roman" w:eastAsia="Times New Roman" w:hAnsi="Times New Roman"/>
          <w:sz w:val="18"/>
          <w:szCs w:val="18"/>
          <w:i w:val="1"/>
          <w:iCs w:val="1"/>
          <w:color w:val="auto"/>
        </w:rPr>
        <w:t>Edge</w:t>
      </w:r>
      <w:r>
        <w:rPr>
          <w:rFonts w:ascii="Times New Roman" w:cs="Times New Roman" w:eastAsia="Times New Roman" w:hAnsi="Times New Roman"/>
          <w:sz w:val="18"/>
          <w:szCs w:val="18"/>
          <w:color w:val="auto"/>
        </w:rPr>
        <w:t xml:space="preserve"> necessary to make difficult decisions; and the ability to </w:t>
      </w:r>
      <w:r>
        <w:rPr>
          <w:rFonts w:ascii="Times New Roman" w:cs="Times New Roman" w:eastAsia="Times New Roman" w:hAnsi="Times New Roman"/>
          <w:sz w:val="18"/>
          <w:szCs w:val="18"/>
          <w:i w:val="1"/>
          <w:iCs w:val="1"/>
          <w:color w:val="auto"/>
        </w:rPr>
        <w:t>Execute</w:t>
      </w:r>
      <w:r>
        <w:rPr>
          <w:rFonts w:ascii="Times New Roman" w:cs="Times New Roman" w:eastAsia="Times New Roman" w:hAnsi="Times New Roman"/>
          <w:sz w:val="18"/>
          <w:szCs w:val="18"/>
          <w:color w:val="auto"/>
        </w:rPr>
        <w:t xml:space="preserve"> and produce results. To achieve a high level within our Standards in a business year after year, we require our local Managing Partners that have the 4E Leadership skills to entrepreneurially grow the business by hiring, training and developing highly motivated and productive local teams.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 Model</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criteria to assess acquisition candidates. As we execute this strategy over time, we expect to acquire larger, higher margin strategic businesses.</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7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Our belief in our </w:t>
      </w:r>
      <w:r>
        <w:rPr>
          <w:rFonts w:ascii="Times New Roman" w:cs="Times New Roman" w:eastAsia="Times New Roman" w:hAnsi="Times New Roman"/>
          <w:sz w:val="18"/>
          <w:szCs w:val="18"/>
          <w:b w:val="1"/>
          <w:bCs w:val="1"/>
          <w:color w:val="auto"/>
        </w:rPr>
        <w:t>Mission Statement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internally generated cash flows from operating activities and availability under our Credit Facility (defined below).</w:t>
      </w:r>
    </w:p>
    <w:p>
      <w:pPr>
        <w:spacing w:after="0" w:line="6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expenditures or acquisition plans change, we may need to access the capital markets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2021.</w:t>
      </w:r>
    </w:p>
    <w:p>
      <w:pPr>
        <w:spacing w:after="0" w:line="8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plan is to use cash on hand and borrowings under our Credit Facility primarily for general corporate purposes, payment of dividends and debt obligations, strategic acquisitions, internal growth capital expenditures, share repurchases, dividend increases and further debt repayments. We also expect continued divestiture activity for the next three to six months, which could yield an aggregate of approximately $3-4 million of cash from the proceeds of the sales. From time to time we may also use available cash resources (including borrowings under our Credit Facility) to repurchase shares of our common stock, subject to satisfying certain financial covenants in our Credit Facility and in the Indenture (defined below) governing our Senior Notes (defined below). We believe that our existing and anticipated cash resources will be sufficient to meet our anticipated working capital requirements, capital expenditures, scheduled debt payments, commitments and dividends for the next 12 months, as well as our long-term financial obligations.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began 2022 with $1.1 million in cash and ended the first quarter with $0.9 million in cash. At March 31, 2022, we had borrowings of $174.2 million outstanding on our Credit Facility compared to $155.4 million at December 31, 2021.</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elements of cash flow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the year</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145"/>
        </w:trPr>
        <w:tc>
          <w:tcPr>
            <w:tcW w:w="8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w:t>
            </w:r>
          </w:p>
        </w:tc>
      </w:tr>
      <w:tr>
        <w:trPr>
          <w:trHeight w:val="145"/>
        </w:trPr>
        <w:tc>
          <w:tcPr>
            <w:tcW w:w="8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real estate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divestitures and sale of other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insurance reimbursements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r>
      <w:tr>
        <w:trPr>
          <w:trHeight w:val="21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r>
      <w:tr>
        <w:trPr>
          <w:trHeight w:val="145"/>
        </w:trPr>
        <w:tc>
          <w:tcPr>
            <w:tcW w:w="8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 on our Credit Facility, acquisition debt and finance lease obligations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w:t>
            </w: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Conversions and maturity of the Convertibles Notes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related to employee equity plans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(25,655)</w:t>
            </w:r>
          </w:p>
        </w:tc>
      </w:tr>
      <w:tr>
        <w:trPr>
          <w:trHeight w:val="22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costs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r>
      <w:tr>
        <w:trPr>
          <w:trHeight w:val="145"/>
        </w:trPr>
        <w:tc>
          <w:tcPr>
            <w:tcW w:w="80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4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end of the period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1"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For the three months ended March 31, 2022, cash provided by operating activities was $15.8 million compared to $26.8 million for the three months ended March 31, 2021. The decrease of $11.0 million is primarily due to unfavorable working capital changes in accrued liabilities and income tax receivables.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Our investing activities, resulted in a net cash outflow of $7.8 million for the three months ended March 31, 2022 compared to $1.9 million for the three months ended March 31, 2021, a decrease of $5.9 million.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and Divestiture Activity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During the three months ended March 31, 2022, we sold two funeral homes for an aggregate of $0.9 million and purchased real property for $2.6 million.</w:t>
      </w:r>
    </w:p>
    <w:p>
      <w:pPr>
        <w:spacing w:after="0" w:line="13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2021, we sold one funeral home for $1.5 million and real property for $1.3 million and we purchased real property for $0.4 million.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2022, capital expenditures (comprising of growth and maintenance spend) totaled $6.9 million compared to $4.3 million for the three months ended March 31, 2021, an increase of $2.6 million.</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our growth and maintenance capital expenditures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05"/>
        </w:trPr>
        <w:tc>
          <w:tcPr>
            <w:tcW w:w="73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7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Growth</w:t>
            </w: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 development</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tcPr>
          <w:p>
            <w:pPr>
              <w:spacing w:after="0"/>
              <w:rPr>
                <w:sz w:val="19"/>
                <w:szCs w:val="19"/>
                <w:color w:val="auto"/>
              </w:rPr>
            </w:pP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4"/>
        </w:trPr>
        <w:tc>
          <w:tcPr>
            <w:tcW w:w="7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Renovations at certain businesses</w:t>
            </w:r>
            <w:r>
              <w:rPr>
                <w:rFonts w:ascii="Times New Roman" w:cs="Times New Roman" w:eastAsia="Times New Roman" w:hAnsi="Times New Roman"/>
                <w:sz w:val="22"/>
                <w:szCs w:val="22"/>
                <w:color w:val="auto"/>
                <w:vertAlign w:val="superscript"/>
              </w:rPr>
              <w:t>(1)</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2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2"/>
        </w:trPr>
        <w:tc>
          <w:tcPr>
            <w:tcW w:w="7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Growth</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89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63" w:lineRule="exact"/>
        <w:rPr>
          <w:sz w:val="20"/>
          <w:szCs w:val="20"/>
          <w:color w:val="auto"/>
        </w:rPr>
      </w:pPr>
    </w:p>
    <w:p>
      <w:pPr>
        <w:ind w:left="400" w:right="60" w:hanging="377"/>
        <w:spacing w:after="0" w:line="181" w:lineRule="auto"/>
        <w:tabs>
          <w:tab w:leader="none" w:pos="40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During the three months ended March 31, 2022, we spent $0.4 million for renovations on two businesses that were affected by Hurricane Ida, all of which was reimbursed by our property insurance.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05"/>
        </w:trPr>
        <w:tc>
          <w:tcPr>
            <w:tcW w:w="73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7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Maintenance</w:t>
            </w: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repairs and improvements</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9"/>
                <w:szCs w:val="19"/>
                <w:color w:val="auto"/>
              </w:rPr>
            </w:pP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equipment and furniture</w:t>
            </w: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Paving roads and parking lots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2"/>
        </w:trPr>
        <w:tc>
          <w:tcPr>
            <w:tcW w:w="7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Maintenance</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financing activities resulted in a net cash outflow of $8.3 million for the three months ended March 31, 2022 compared to $25.4 million for the three months ended March 31, 2021, a decrease of $17.1 million.</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we had net borrowings on our Credit Facility, acquisition debt and finance leases of $18.7 million, offset by $25.7 million for the purchase of treasury stock and $1.7 million in dividends.</w:t>
      </w:r>
    </w:p>
    <w:p>
      <w:pPr>
        <w:spacing w:after="0" w:line="64" w:lineRule="exact"/>
        <w:rPr>
          <w:sz w:val="20"/>
          <w:szCs w:val="20"/>
          <w:color w:val="auto"/>
        </w:rPr>
      </w:pPr>
    </w:p>
    <w:p>
      <w:pPr>
        <w:jc w:val="both"/>
        <w:ind w:right="2340"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2021, we had net payments on our Credit Facility, acquisition debt and finance leases of $19.1 million, we paid $1.8 million in dividends and $4.0 million for the conversions and maturity of our Convertible Notes.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Securities Exchange Act of 1934, as amended (“the Exchange Act”). Prior to the Board's approval of the increase, we had $8.1 million remaining available for repurchase under our authorized program.</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color w:val="auto"/>
        </w:rPr>
        <w:t>Share repurchase activity is as follows (dollar value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Borders>
              <w:bottom w:val="single" w:sz="8" w:color="CCEEFF"/>
            </w:tcBorders>
          </w:tcPr>
          <w:p>
            <w:pPr>
              <w:spacing w:after="0"/>
              <w:rPr>
                <w:sz w:val="18"/>
                <w:szCs w:val="18"/>
                <w:color w:val="auto"/>
              </w:rPr>
            </w:pPr>
          </w:p>
        </w:tc>
        <w:tc>
          <w:tcPr>
            <w:tcW w:w="316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06"/>
        </w:trPr>
        <w:tc>
          <w:tcPr>
            <w:tcW w:w="738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shd w:val="clear" w:color="auto" w:fill="CCEEFF"/>
          </w:tcPr>
          <w:p>
            <w:pPr>
              <w:spacing w:after="0"/>
              <w:rPr>
                <w:sz w:val="17"/>
                <w:szCs w:val="17"/>
                <w:color w:val="auto"/>
              </w:rPr>
            </w:pPr>
          </w:p>
        </w:tc>
      </w:tr>
      <w:tr>
        <w:trPr>
          <w:trHeight w:val="217"/>
        </w:trPr>
        <w:tc>
          <w:tcPr>
            <w:tcW w:w="7380" w:type="dxa"/>
            <w:vAlign w:val="bottom"/>
          </w:tcPr>
          <w:p>
            <w:pPr>
              <w:ind w:left="20"/>
              <w:spacing w:after="0" w:line="217" w:lineRule="exact"/>
              <w:rPr>
                <w:sz w:val="20"/>
                <w:szCs w:val="20"/>
                <w:color w:val="auto"/>
              </w:rPr>
            </w:pPr>
            <w:r>
              <w:rPr>
                <w:rFonts w:ascii="Times New Roman" w:cs="Times New Roman" w:eastAsia="Times New Roman" w:hAnsi="Times New Roman"/>
                <w:sz w:val="16"/>
                <w:szCs w:val="16"/>
                <w:color w:val="auto"/>
              </w:rPr>
              <w:t>Number of Shares Repurchased</w:t>
            </w:r>
            <w:r>
              <w:rPr>
                <w:rFonts w:ascii="Times New Roman" w:cs="Times New Roman" w:eastAsia="Times New Roman" w:hAnsi="Times New Roman"/>
                <w:sz w:val="20"/>
                <w:szCs w:val="20"/>
                <w:color w:val="auto"/>
                <w:vertAlign w:val="superscript"/>
              </w:rPr>
              <w:t>(1)</w:t>
            </w:r>
          </w:p>
        </w:tc>
        <w:tc>
          <w:tcPr>
            <w:tcW w:w="132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w:t>
            </w: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1320" w:type="dxa"/>
            <w:vAlign w:val="bottom"/>
            <w:shd w:val="clear" w:color="auto" w:fill="CCEEFF"/>
          </w:tcPr>
          <w:p>
            <w:pPr>
              <w:jc w:val="right"/>
              <w:ind w:right="113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8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 Value of Shares Repurchased</w:t>
            </w:r>
            <w:r>
              <w:rPr>
                <w:rFonts w:ascii="Times New Roman" w:cs="Times New Roman" w:eastAsia="Times New Roman" w:hAnsi="Times New Roman"/>
                <w:sz w:val="20"/>
                <w:szCs w:val="20"/>
                <w:color w:val="auto"/>
                <w:vertAlign w:val="superscript"/>
              </w:rPr>
              <w:t>(1)</w:t>
            </w:r>
          </w:p>
        </w:tc>
        <w:tc>
          <w:tcPr>
            <w:tcW w:w="1320" w:type="dxa"/>
            <w:vAlign w:val="bottom"/>
          </w:tcPr>
          <w:p>
            <w:pPr>
              <w:jc w:val="right"/>
              <w:ind w:right="113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107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ind w:left="400" w:hanging="377"/>
        <w:spacing w:after="0"/>
        <w:tabs>
          <w:tab w:leader="none" w:pos="400"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During the three months ended March 31, 2022, 52,242 shares settled in April 2022, which had a cost of $2.8 million.</w:t>
      </w:r>
    </w:p>
    <w:p>
      <w:pPr>
        <w:spacing w:after="0" w:line="104" w:lineRule="exact"/>
        <w:rPr>
          <w:sz w:val="20"/>
          <w:szCs w:val="20"/>
          <w:color w:val="auto"/>
        </w:rPr>
      </w:pPr>
    </w:p>
    <w:p>
      <w:pPr>
        <w:jc w:val="both"/>
        <w:ind w:firstLine="395"/>
        <w:spacing w:after="0" w:line="244" w:lineRule="auto"/>
        <w:rPr>
          <w:sz w:val="20"/>
          <w:szCs w:val="20"/>
          <w:color w:val="auto"/>
        </w:rPr>
      </w:pPr>
      <w:r>
        <w:rPr>
          <w:rFonts w:ascii="Times New Roman" w:cs="Times New Roman" w:eastAsia="Times New Roman" w:hAnsi="Times New Roman"/>
          <w:sz w:val="18"/>
          <w:szCs w:val="18"/>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 At March 31, 2022, our share repurchase program had $57.1 million authorized for repurchases.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declared the following dividends payable on the dates below (in thousands,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3"/>
                <w:szCs w:val="13"/>
                <w:color w:val="auto"/>
              </w:rPr>
            </w:pP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303"/>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24"/>
                <w:szCs w:val="24"/>
                <w:color w:val="auto"/>
              </w:rPr>
            </w:pPr>
          </w:p>
        </w:tc>
        <w:tc>
          <w:tcPr>
            <w:tcW w:w="12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Lease Obligations and Acquisition Debt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outstanding principal of our Credit Facility, lease obligations and acquisition debt at March 31, 2022 is as follows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9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174,200</w:t>
            </w:r>
          </w:p>
        </w:tc>
      </w:tr>
      <w:tr>
        <w:trPr>
          <w:trHeight w:val="22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5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r>
      <w:tr>
        <w:trPr>
          <w:trHeight w:val="224"/>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20,131</w:t>
            </w:r>
          </w:p>
        </w:tc>
      </w:tr>
      <w:tr>
        <w:trPr>
          <w:trHeight w:val="224"/>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5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r>
      <w:tr>
        <w:trPr>
          <w:trHeight w:val="242"/>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204,263</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At March 31, 2022, our senior secured revolving credit facility (the “Credit Facility”) was comprised of: (i) a $200.0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13, 2026.</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obligations under the Credit Facility are unconditionally guaranteed on a joint and several basis by the same subsidiaries which guarantee the Senior Notes (defined below) and certain of our subsequently acquired or organized domestic subsidiaries (collectively, the “Subsidiary Guarantors”). The Credit Facility allows for future increases in the facility size in the form of increased revolving commitments or new incremental term loans by an additional amount of up to $75.0 million in the aggregate.</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Credit Facility is secured by a first-priority perfected security interest in and lien on substantially all of the Company’s personal property assets and those of the Subsidiary Guarantors. In addition, the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Credit Facility, to grant additional liens on real property assets accounting for no less than 50% of the Company’s and the Subsidiary Guarantors’ funeral operations if requested by the administrative agent.</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the Subsidiary Guarantors to incur indebtedness, grant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18"/>
          <w:szCs w:val="18"/>
          <w:color w:val="auto"/>
        </w:rPr>
        <w:t>liens, make investments, engage in mergers and acquisitions, and pay dividends and other restricted payments, and certain financial maintenance covenants. At March 31, 2022, we were subject to the following financial covenants under our Credit Facility: (A) a Total Leverage Ratio not to exceed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were in compliance with all of the covenants contained in our Credit Facility as of March 31, 2022.</w:t>
      </w:r>
    </w:p>
    <w:p>
      <w:pPr>
        <w:spacing w:after="0" w:line="10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March 31, 2022, we had outstanding borrowings under the Credit Facility of $174.2 million. We also had one letter of credit for $2.3 million under the Credit Facility. The letter of credit will expire on November 25, 2022 and is expected to automatically renew annually and secures our obligations under our various self-insured policies. At March 31, 2022, we had $23.5 million of availability under the Credit Facility.</w:t>
      </w:r>
    </w:p>
    <w:p>
      <w:pPr>
        <w:spacing w:after="0" w:line="75"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Outstanding borrowings under our Credit Facility bear interest at either a prime rate or a LIBOR rate, plus an applicable margin based upon our leverage ratio. At March 31, 2022, the prime rate margin was equivalent to 0.875% and the LIBOR rate margin was 1.875%. The weighted average interest rate on our Credit Facility was 3.3% and 2.1% for the three months ended March 31, 2021 and 2022, respectively. The interest payments on our remaining borrowings under the Credit Facility will be determined based on the average outstanding balance of our borrowings and the prevailing interest rate during that time.</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05"/>
        </w:trPr>
        <w:tc>
          <w:tcPr>
            <w:tcW w:w="8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300" w:type="dxa"/>
            <w:vAlign w:val="bottom"/>
          </w:tcPr>
          <w:p>
            <w:pPr>
              <w:spacing w:after="0"/>
              <w:rPr>
                <w:sz w:val="19"/>
                <w:szCs w:val="19"/>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 At March 31, 2022, operating and finance lease obligations were $37.4 million, with $4.4 million payable within 12 months.</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lease cost related to our operating leases and short-term leases and depreciation expense and interest expense related to our finance leases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7"/>
        </w:trPr>
        <w:tc>
          <w:tcPr>
            <w:tcW w:w="8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Debt</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 At March 31, 2022, acquisition debt obligations were $7.3 million, with $0.8 million payable within 12 months.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imputed interest expense related to our acquisition debt is as follows (in thousands):</w:t>
      </w:r>
    </w:p>
    <w:p>
      <w:pPr>
        <w:spacing w:after="0" w:line="4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5083810</wp:posOffset>
            </wp:positionH>
            <wp:positionV relativeFrom="paragraph">
              <wp:posOffset>18415</wp:posOffset>
            </wp:positionV>
            <wp:extent cx="20554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5495" cy="8255"/>
                    </a:xfrm>
                    <a:prstGeom prst="rect">
                      <a:avLst/>
                    </a:prstGeom>
                    <a:noFill/>
                  </pic:spPr>
                </pic:pic>
              </a:graphicData>
            </a:graphic>
          </wp:anchor>
        </w:drawing>
      </w:r>
    </w:p>
    <w:p>
      <w:pPr>
        <w:spacing w:after="0" w:line="20" w:lineRule="exact"/>
        <w:rPr>
          <w:sz w:val="20"/>
          <w:szCs w:val="20"/>
          <w:color w:val="auto"/>
        </w:rPr>
      </w:pPr>
    </w:p>
    <w:p>
      <w:pPr>
        <w:ind w:left="9180"/>
        <w:spacing w:after="0"/>
        <w:tabs>
          <w:tab w:leader="none" w:pos="10880" w:val="left"/>
        </w:tabs>
        <w:rPr>
          <w:sz w:val="20"/>
          <w:szCs w:val="20"/>
          <w:color w:val="auto"/>
        </w:rPr>
      </w:pP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5495" cy="150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8000" w:val="left"/>
          <w:tab w:leader="none" w:pos="9240" w:val="left"/>
          <w:tab w:leader="none" w:pos="9740" w:val="left"/>
          <w:tab w:leader="none" w:pos="10980" w:val="left"/>
        </w:tabs>
        <w:rPr>
          <w:sz w:val="20"/>
          <w:szCs w:val="20"/>
          <w:color w:val="auto"/>
        </w:rPr>
      </w:pPr>
      <w:r>
        <w:rPr>
          <w:rFonts w:ascii="Times New Roman" w:cs="Times New Roman" w:eastAsia="Times New Roman" w:hAnsi="Times New Roman"/>
          <w:sz w:val="18"/>
          <w:szCs w:val="18"/>
          <w:color w:val="auto"/>
        </w:rPr>
        <w:t>Acquisition debt imputed 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At March 31, 2022,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w:t>
      </w:r>
    </w:p>
    <w:p>
      <w:pPr>
        <w:spacing w:after="0" w:line="80"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 concurrently), and (2) each such redemption must occur within 180 days of the date of the consummation of any such equity offering.</w:t>
      </w:r>
    </w:p>
    <w:p>
      <w:pPr>
        <w:spacing w:after="0" w:line="6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debt discount and the debt issuance costs are being amortized using the effective interest method over the remaining term of approximately 86 months of the Senior Notes. For the three months ended March 31, 2022, the effective interest rate on the unamortized debt discount and the unamortized debt issuance costs for the Senior Notes was 4.42% and 4.30%, respectively.</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2021, the effective interest rate on the unamortized debt discount and unamortized debt issuance costs for our $400 million in aggregate principal amount of 6.625% senior notes due 2026 (the “Original Senior Notes”) was 6.69%. For the three months ended March 31, 2021, the effective interest rate on the unamortized debt premium and the unamortized debt issuance costs for the additional Original Senior Notes, issued in December 2019 was 6.88%. All of our Original Senior Notes were redeemed on June 1, 2021.</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March 31, 2022, the fair value of the Senior Notes, which are Level 2 measurements, was $373.4 million.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interest expense and amortization of debt discount, debt premium and debt issuance costs related to our Senior Notes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premium</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March 31, 2022, our future interest payments on our outstanding balance were $125.3 million, with $17.0 million payable within 12 months.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are our financial highlights (in thousands except for volumes and averages):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98,161</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Funeral contracts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13,515</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funeral contract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interment rights (property) sold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preneed interment right sold</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35,061</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34,478</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16,402</w:t>
            </w:r>
          </w:p>
        </w:tc>
      </w:tr>
    </w:tbl>
    <w:p>
      <w:pPr>
        <w:spacing w:after="0" w:line="17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Revenue for the three months ended March 31, 2022 increased $1.5 million compared to the three months ended March 31, 2021, as we experienced a 1.6% increase in funeral contract volume, as well as a 2.3% increase in average revenue per funeral contract primarily due to market share gains and higher normalized death rates, offset by a 10.5% decrease in the number of preneed interment rights (property) sold, as well as a 1.3% decrease in the average price per interment right sold.</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Gross profit for the three months ended March 31, 2022 decreased $0.6 million compared to the three months ended March 31, 2021, primarily due to the decrease in revenue from our cemetery segment.</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Net income for the three months ended March 31, 2022 increased $3.5 million compared to the three months ended March 31, 2021, primarily due to a $2.0 million decrease in interest expense, a $1.9 million gain on insurance reimbursements and a $0.6 million decrease in income tax expense, offset by a $1.1 million increase in net loss on divestitures, disposals and impairments charges.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Further discussion of Revenue and the components of Gross profit for our funeral home and cemetery segments is presented herein under “– Results of Operations.”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Further discussion of General, administrative and other expenses, Interest expense, Income taxes and other components of income and expenses are presented herein under “– Other Financial Statement Items.”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NON-GAAP FINANCIAL MEASURES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also present our financial performance in our “Operating and Financial Trend Report” (“Trend Report”) as reported in our earnings release for the three months ended March 31, 2022 issued on April 27, 2022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color w:val="auto"/>
        </w:rPr>
        <w:t>Below is a reconciliation of Net income, a GAAP measure, to Adjusted net income, a non-GAAP measure,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16,402</w:t>
            </w:r>
          </w:p>
        </w:tc>
      </w:tr>
      <w:tr>
        <w:trPr>
          <w:trHeight w:val="224"/>
        </w:trPr>
        <w:tc>
          <w:tcPr>
            <w:tcW w:w="80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Special items</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4"/>
        </w:trPr>
        <w:tc>
          <w:tcPr>
            <w:tcW w:w="80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Severance and separation costs</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0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Accretion of discount on Convertible Notes</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Net loss on divestitures and other costs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4"/>
        </w:trPr>
        <w:tc>
          <w:tcPr>
            <w:tcW w:w="800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Net gain on insurance reimbursements</w:t>
            </w:r>
            <w:r>
              <w:rPr>
                <w:rFonts w:ascii="Times New Roman" w:cs="Times New Roman" w:eastAsia="Times New Roman" w:hAnsi="Times New Roman"/>
                <w:sz w:val="22"/>
                <w:szCs w:val="22"/>
                <w:color w:val="auto"/>
                <w:vertAlign w:val="superscript"/>
              </w:rPr>
              <w:t>(3)</w:t>
            </w:r>
          </w:p>
        </w:tc>
        <w:tc>
          <w:tcPr>
            <w:tcW w:w="3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(1,899)</w:t>
            </w:r>
          </w:p>
        </w:tc>
      </w:tr>
      <w:tr>
        <w:trPr>
          <w:trHeight w:val="224"/>
        </w:trPr>
        <w:tc>
          <w:tcPr>
            <w:tcW w:w="80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Disaster recovery and pandemic costs</w:t>
            </w:r>
            <w:r>
              <w:rPr>
                <w:rFonts w:ascii="Times New Roman" w:cs="Times New Roman" w:eastAsia="Times New Roman" w:hAnsi="Times New Roman"/>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4"/>
        </w:trPr>
        <w:tc>
          <w:tcPr>
            <w:tcW w:w="800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Change in uncertain tax reserves and other</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17"/>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Sum of special items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(1,561)</w:t>
            </w:r>
          </w:p>
        </w:tc>
      </w:tr>
      <w:tr>
        <w:trPr>
          <w:trHeight w:val="224"/>
        </w:trPr>
        <w:tc>
          <w:tcPr>
            <w:tcW w:w="80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Tax effect on special items</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2"/>
        </w:trPr>
        <w:tc>
          <w:tcPr>
            <w:tcW w:w="800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2"/>
                <w:szCs w:val="22"/>
                <w:color w:val="auto"/>
                <w:vertAlign w:val="superscript"/>
              </w:rPr>
              <w:t>(5)</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15,114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89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90" w:lineRule="exact"/>
        <w:rPr>
          <w:sz w:val="20"/>
          <w:szCs w:val="20"/>
          <w:color w:val="auto"/>
        </w:rPr>
      </w:pPr>
    </w:p>
    <w:p>
      <w:pPr>
        <w:jc w:val="both"/>
        <w:ind w:left="400" w:right="40" w:hanging="377"/>
        <w:spacing w:after="0" w:line="221"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items are defined as charges or credits included in our GAAP financial statements that can vary from period to period and are not reflective of costs incurred in the ordinary course of our operations. In 2021, Special items were taxed at the federal statutory rate of 21.0%, except for the Accretion of the discount on Convertible Notes, as this is a non-tax deductible item. The Net loss on divestitures and other costs were taxed at the operating tax rate for the period. In 2022, Special items were taxed at the operating tax rate for the period, except for the Change in uncertain tax reserves and other, as this item is a tax benefit.</w:t>
      </w:r>
    </w:p>
    <w:p>
      <w:pPr>
        <w:spacing w:after="0" w:line="19" w:lineRule="exact"/>
        <w:rPr>
          <w:rFonts w:ascii="Times New Roman" w:cs="Times New Roman" w:eastAsia="Times New Roman" w:hAnsi="Times New Roman"/>
          <w:sz w:val="16"/>
          <w:szCs w:val="16"/>
          <w:color w:val="auto"/>
        </w:rPr>
      </w:pPr>
    </w:p>
    <w:p>
      <w:pPr>
        <w:ind w:left="400" w:hanging="377"/>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the termination or resignation of certain key members of leadership in the first quarter of 2021.</w:t>
      </w:r>
    </w:p>
    <w:p>
      <w:pPr>
        <w:spacing w:after="0" w:line="26" w:lineRule="exact"/>
        <w:rPr>
          <w:rFonts w:ascii="Times New Roman" w:cs="Times New Roman" w:eastAsia="Times New Roman" w:hAnsi="Times New Roman"/>
          <w:sz w:val="16"/>
          <w:szCs w:val="16"/>
          <w:color w:val="auto"/>
        </w:rPr>
      </w:pPr>
    </w:p>
    <w:p>
      <w:pPr>
        <w:ind w:left="400" w:hanging="377"/>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gain recognized on insurance reimbursements for property damaged caused by Hurricane Ida that occurred during the third quarter of 2021.</w:t>
      </w:r>
    </w:p>
    <w:p>
      <w:pPr>
        <w:spacing w:after="0" w:line="26" w:lineRule="exact"/>
        <w:rPr>
          <w:rFonts w:ascii="Times New Roman" w:cs="Times New Roman" w:eastAsia="Times New Roman" w:hAnsi="Times New Roman"/>
          <w:sz w:val="16"/>
          <w:szCs w:val="16"/>
          <w:color w:val="auto"/>
        </w:rPr>
      </w:pPr>
    </w:p>
    <w:p>
      <w:pPr>
        <w:ind w:left="400" w:right="40" w:hanging="377"/>
        <w:spacing w:after="0" w:line="237"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health and safety expenses, including personal protective equipment (“PPE”) due to COVID-19. We purchased more PPE during the first quarter of 2021 compared to the same period in 2022.</w:t>
      </w:r>
    </w:p>
    <w:p>
      <w:pPr>
        <w:spacing w:after="0" w:line="5" w:lineRule="exact"/>
        <w:rPr>
          <w:rFonts w:ascii="Times New Roman" w:cs="Times New Roman" w:eastAsia="Times New Roman" w:hAnsi="Times New Roman"/>
          <w:sz w:val="16"/>
          <w:szCs w:val="16"/>
          <w:color w:val="auto"/>
        </w:rPr>
      </w:pPr>
    </w:p>
    <w:p>
      <w:pPr>
        <w:ind w:left="400" w:right="40" w:hanging="377"/>
        <w:spacing w:after="0" w:line="237"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17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Below is a reconciliation of Gross profit (a GAAP measure) to Operating profit (a non-GAAP measure)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05"/>
        </w:trPr>
        <w:tc>
          <w:tcPr>
            <w:tcW w:w="79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35,061</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34,478</w:t>
            </w:r>
          </w:p>
        </w:tc>
      </w:tr>
      <w:tr>
        <w:trPr>
          <w:trHeight w:val="197"/>
        </w:trPr>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r>
      <w:tr>
        <w:trPr>
          <w:trHeight w:val="217"/>
        </w:trPr>
        <w:tc>
          <w:tcPr>
            <w:tcW w:w="798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Operating profit</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45,787</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45,454</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89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63" w:lineRule="exact"/>
        <w:rPr>
          <w:sz w:val="20"/>
          <w:szCs w:val="20"/>
          <w:color w:val="auto"/>
        </w:rPr>
      </w:pPr>
    </w:p>
    <w:p>
      <w:pPr>
        <w:ind w:left="400" w:hanging="377"/>
        <w:spacing w:after="0"/>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is defined as Gross profit less Cemetery property amortization, Field depreciation expense and Regional and unallocated funeral and cemetery costs.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operations are reported in two business segments: Funeral Home and Cemetery. Below is a breakdown of Operating profit (a non-GAAP measure) by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 Home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33,735</w:t>
            </w:r>
          </w:p>
        </w:tc>
      </w:tr>
      <w:tr>
        <w:trPr>
          <w:trHeight w:val="22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11,719</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45,787</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8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4"/>
        </w:trPr>
        <w:tc>
          <w:tcPr>
            <w:tcW w:w="80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Operating profit margin</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107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50" w:lineRule="exact"/>
        <w:rPr>
          <w:sz w:val="20"/>
          <w:szCs w:val="20"/>
          <w:color w:val="auto"/>
        </w:rPr>
      </w:pPr>
    </w:p>
    <w:p>
      <w:pPr>
        <w:ind w:left="400" w:hanging="377"/>
        <w:spacing w:after="0"/>
        <w:tabs>
          <w:tab w:leader="none" w:pos="4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margin is defined as Operating profit as a percentage of Revenue.</w:t>
      </w:r>
    </w:p>
    <w:p>
      <w:pPr>
        <w:spacing w:after="0" w:line="206"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Further discussion of Operating profit for our funeral home and cemetery segments is presented herein under “– Results of Operations.”</w:t>
      </w:r>
    </w:p>
    <w:p>
      <w:pPr>
        <w:spacing w:after="0" w:line="200" w:lineRule="exact"/>
        <w:rPr>
          <w:rFonts w:ascii="Times New Roman" w:cs="Times New Roman" w:eastAsia="Times New Roman" w:hAnsi="Times New Roman"/>
          <w:sz w:val="16"/>
          <w:szCs w:val="16"/>
          <w:color w:val="auto"/>
        </w:rPr>
      </w:pPr>
    </w:p>
    <w:p>
      <w:pPr>
        <w:spacing w:after="0" w:line="343" w:lineRule="exact"/>
        <w:rPr>
          <w:rFonts w:ascii="Times New Roman" w:cs="Times New Roman" w:eastAsia="Times New Roman" w:hAnsi="Times New Roman"/>
          <w:sz w:val="16"/>
          <w:szCs w:val="16"/>
          <w:color w:val="auto"/>
        </w:rPr>
      </w:pPr>
    </w:p>
    <w:p>
      <w:pPr>
        <w:ind w:left="5540" w:hanging="106"/>
        <w:spacing w:after="0"/>
        <w:tabs>
          <w:tab w:leader="none" w:pos="5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months ended March 31, 2022 and 2021.</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term “same store” refers to funeral homes and cemeteries acquired prior to January 1, 2018 and owned and operated for the entirety of each period being presented, excluding certain funeral home and cemetery businesses that we intend to divest in the near future.</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term “acquired” refers to funeral homes and cemeteries purchased after December 31, 2017, excluding any funeral home and cemetery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term “divested” when discussed in the Funeral Home Segment, refers to one funeral home we sold and one funeral home we merged with another business in an existing market in the three months ended March 31, 2021 and two funeral homes we sold in the three months ended March 31, 2022 . The term “divested” when discussed in the Cemetery Segment, refers to one cemetery we sold during 2021.</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“Planned divested” refers to the funeral home businesses that we intend to divest.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“Ancillary” in the Funeral Home Segment represents our flower shop, pet cremation business and online cremation business.</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Segment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funeral home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2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3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40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58,983</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61,632</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3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revenue</w:t>
            </w:r>
          </w:p>
        </w:tc>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Ancillary revenue</w:t>
            </w:r>
          </w:p>
        </w:tc>
        <w:tc>
          <w:tcPr>
            <w:tcW w:w="3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3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71,774</w:t>
            </w:r>
          </w:p>
        </w:tc>
        <w:tc>
          <w:tcPr>
            <w:tcW w:w="240" w:type="dxa"/>
            <w:vAlign w:val="bottom"/>
          </w:tcPr>
          <w:p>
            <w:pPr>
              <w:spacing w:after="0"/>
              <w:rPr>
                <w:sz w:val="18"/>
                <w:szCs w:val="18"/>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74,355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20" w:type="dxa"/>
            <w:vAlign w:val="bottom"/>
            <w:shd w:val="clear" w:color="auto" w:fill="CCEEFF"/>
          </w:tcPr>
          <w:p>
            <w:pPr>
              <w:spacing w:after="0"/>
              <w:rPr>
                <w:sz w:val="10"/>
                <w:szCs w:val="10"/>
                <w:color w:val="auto"/>
              </w:rPr>
            </w:pPr>
          </w:p>
        </w:tc>
        <w:tc>
          <w:tcPr>
            <w:tcW w:w="3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40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27,510</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Divested/planned divested operating profit</w:t>
            </w:r>
          </w:p>
        </w:tc>
        <w:tc>
          <w:tcPr>
            <w:tcW w:w="3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Ancillary operating profit</w:t>
            </w:r>
          </w:p>
        </w:tc>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3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3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32,906</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33,735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092"/>
              <w:spacing w:after="0"/>
              <w:rPr>
                <w:sz w:val="20"/>
                <w:szCs w:val="20"/>
                <w:color w:val="auto"/>
              </w:rPr>
            </w:pPr>
            <w:r>
              <w:rPr>
                <w:rFonts w:ascii="Times New Roman" w:cs="Times New Roman" w:eastAsia="Times New Roman" w:hAnsi="Times New Roman"/>
                <w:sz w:val="18"/>
                <w:szCs w:val="18"/>
                <w:color w:val="auto"/>
              </w:rPr>
              <w:t>- 50 -</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8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Same store: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11,675</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35.0%</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3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r>
      <w:tr>
        <w:trPr>
          <w:trHeight w:val="158"/>
        </w:trPr>
        <w:tc>
          <w:tcPr>
            <w:tcW w:w="8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3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57.5%</w:t>
            </w:r>
          </w:p>
        </w:tc>
      </w:tr>
    </w:tbl>
    <w:p>
      <w:pPr>
        <w:spacing w:after="0" w:line="179"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Funeral home same store operating revenue increased $2.6 million for the three months ended March 31, 2022 compared to the same period in 2021. The increase in operating revenue is primarily related to a 3.3% increase in same store contract volume, as well as a 1.2% increase in the average revenue per contract excluding preneed interest. The same store contract volume increased in spite of a 38.7% decrease in COVID-19 related contracts for the first quarter of 2022 compared to the first quarter of 2021. This additional volume increase is primarily due to market share gains and higher normalized death rates. The increase in average revenue per contract in the first quarter of 2022 reflects an increase in both burial and cremation contracts with services compared to the first quarter of 2021. The percentage of cremation contracts had the largest increase with a 3.4% increase in cremation contracts with memorial service. This increase is primarily due to our continued focus to welcome and educate families on the many products and service options that are available with cremation.</w:t>
      </w:r>
    </w:p>
    <w:p>
      <w:pPr>
        <w:spacing w:after="0" w:line="5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Funeral home same store operating profit for the three months ended March 31, 2022 increased $0.9 million when compared to the same period in 2021. The comparable operating profit margin decreased 60 basis points to 44.6%. The increase in operating profit is primarily related to the increase in same store operating revenue, offset by a slight increase in bad debt expenses as a percent of revenue, which is due to the aging of higher accounts receivable related to high sales volume in the third quarter of 2021 due to the COVID-19 spike.</w:t>
      </w:r>
    </w:p>
    <w:p>
      <w:pPr>
        <w:spacing w:after="0" w:line="7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Funeral home acquired operating revenue for the three months ended March 31, 2022 increased $0.6 million compared to the same period in 2021. The increase in operating revenue is primarily due to a 10.5% increase in the average revenue per contract excluding preneed interest, offset by a 2.4% decrease in acquired contract volume. The average revenue per contract in the first quarter of 2022 reflects an increase in both burial and cremation contracts with services compared to the first quarter of 2021. The percentage of cremation contracts had the largest increase with a 4.1% increase in cremation contracts with memorial services. This increase is primarily due to our continued focus to welcome and educate families on the many products and service options that are available with cremation. The acquired contract volume decrease is primarily related to the 57.1% decrease in COVID-19 related contracts for the first quarter of 2022 compared to the first quarter of 2021.</w:t>
      </w:r>
    </w:p>
    <w:p>
      <w:pPr>
        <w:spacing w:after="0" w:line="8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Funeral home acquired operating profit for the three months ended March 31, 2022 increased $0.1 million when compared to the same period in 2021. The comparable operating profit margin decreased 200 basis points to 43.6%. The increase in operating profit is primarily related to the increase in acquired operating revenue, offset by an increase in operating expenses as a percent of operating revenue. Overall acquired operating expenses increased 2.1% as a percent of operating revenue with the largest increases in bad debt expense of 1.0% and salaries and benefits expense of 0.4%. The increase in bad debt expense is due to the aging of higher accounts receivable related to a high volume of sales due to the COVID-19 spike during the third quarter of 2021. The increase in salaries and benefits relates to filling vacant managing partner positions at three of our acquired businesses.</w:t>
      </w:r>
    </w:p>
    <w:p>
      <w:pPr>
        <w:spacing w:after="0" w:line="7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Ancillary revenue, which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represents revenue from our flower shop, pet cremation and online cremation businesses, decreased $0.1 million, while Ancillary operating profit remained flat for the three months ended March 31, 2022 compared to the same period in 2021.</w:t>
      </w:r>
    </w:p>
    <w:p>
      <w:pPr>
        <w:spacing w:after="0" w:line="59"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Preneed funeral insurance commissions and preneed funeral trust and insurance revenue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decreased $0.1 million for the three months ended March 31, 2022 compared to the same period in 2021. The decrease is primarily related to the decrease in funeral insurance commissions, as preneed insurance sales decreased over the prior year due to the uncertainty of COVID-19. Operating profit for preneed funeral insurance commissions and preneed trust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color w:val="auto"/>
        </w:rPr>
        <w:t>and insurance, on a combined basis, decreased $0.1 million for the same comparative period, primarily due to the decrease in preneed funeral insurance commission revenue.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Cemetery Segment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cemetery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14,251</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24,863</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23,806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 operating profit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operating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11,719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Same store: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3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3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Cemetery same store preneed revenue decreased $0.4 million for the three months ended March 31, 2022 compared to the same period in 2021, as we experienced a 6.2% decrease in the number of interment rights sold, as well as a 2.0% decrease in the average price per interment right sold. Cemetery same store atneed revenue, which represents 43% of our same store operating revenue, remained flat for the three months ended March 31, 2022 compared to the same period in 2021.</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Cemetery same store operating profit for the three months ended March 31, 2022 decreased $0.4 million from the same period in 2021, primarily due to the decrease in operating revenue. The comparable operating profit margin decreased 180 basis points to 37.2%. Operating expenses as a percent of operating revenue increased 1.8% with the largest increases in general and administrative expenses of 1.1% and salaries and benefits expenses of 0.4%, primarily due to the lower comparative costs in the prior period due to COVID-19 restrictions.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1" w:name="page52"/>
    <w:bookmarkEnd w:id="51"/>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acquired businesses experienced a $0.5 million decrease in preneed revenue and a $0.2 million decrease in atneed revenue for the three months ended March 31, 2022 compared to the same period in 2021. In the first quarter of 2022, we experienced a 20.4% decrease in the number of interment rights sold, which was slightly offset by a 2.9% increase in the average price per interment right sold. The decrease in interment rights sold is primarily due to atypical group and larger sales at our Virginia business in the first quarter of 2021. Group or larger sales impact the interment counts, as multiple interments are listed on a single contract, which creates a high comparable on interments sold in the prior period compared to the current period.</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Cemetery acquired operating profit decreased $0.8 million for the three months ended March 31, 2022 from the same period in 2021. The comparable operating profit margin decreased 640 basis points to 52.4% primarily as a result of the decrease in operating revenue and a 6.4% increase in operating expenses as a percent of operating revenue. The areas with the largest increases are as follows: (1) salaries, benefits and atneed commissions increased 2.2%, (2) facilities and grounds increased 1.5%, (3) general and administrative expenses increased 1.0% and (4) promotional expenses increased 0.9%.</w:t>
      </w:r>
    </w:p>
    <w:p>
      <w:pPr>
        <w:spacing w:after="0" w:line="7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Preneed cemetery trust revenue and preneed cemetery finance charges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a combined basis increased $0.1 million for the three months ended March 31, 2022 compared to the same period in 2021. The increase in trust revenue is due to an increase in realized gains on delivered merchandise and services contracts and an increase in income in our perpetual care trust fund. Operating profit for the two categories of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increased $0.1 million for the three months ended March 31, 2022 compared to the same period in 2021 primarily due to the increase in revenue.</w:t>
      </w:r>
    </w:p>
    <w:p>
      <w:pPr>
        <w:spacing w:after="0" w:line="80"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Cemetery property amortization</w:t>
      </w:r>
      <w:r>
        <w:rPr>
          <w:rFonts w:ascii="Times New Roman" w:cs="Times New Roman" w:eastAsia="Times New Roman" w:hAnsi="Times New Roman"/>
          <w:sz w:val="18"/>
          <w:szCs w:val="18"/>
          <w:color w:val="auto"/>
        </w:rPr>
        <w:t>. Cemetery property amortization totaled $1.3 million for the three months ended March 31, 2022, a decrease of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the same period in 2021, primarily due to the decrease in property sold across our cemetery portfolio.</w:t>
      </w:r>
    </w:p>
    <w:p>
      <w:pPr>
        <w:spacing w:after="0" w:line="59"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Field depreciation. </w:t>
      </w:r>
      <w:r>
        <w:rPr>
          <w:rFonts w:ascii="Times New Roman" w:cs="Times New Roman" w:eastAsia="Times New Roman" w:hAnsi="Times New Roman"/>
          <w:sz w:val="18"/>
          <w:szCs w:val="18"/>
          <w:color w:val="auto"/>
        </w:rPr>
        <w:t>Depreciation expense for our field businesses totaled $3.3 million for the three months ended March 31, 2022, an increase of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the same period in 2021, primarily due to depreciation from computer equipment assets added in the latter half of 2021.</w:t>
      </w:r>
    </w:p>
    <w:p>
      <w:pPr>
        <w:spacing w:after="0" w:line="59"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Regional and unallocated funeral and cemetery costs. </w:t>
      </w:r>
      <w:r>
        <w:rPr>
          <w:rFonts w:ascii="Times New Roman" w:cs="Times New Roman" w:eastAsia="Times New Roman" w:hAnsi="Times New Roman"/>
          <w:sz w:val="16"/>
          <w:szCs w:val="16"/>
          <w:color w:val="auto"/>
        </w:rPr>
        <w:t>Regional and unallocated funeral and cemetery costs consist of salaries and benefits for regional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field incentive compensation and other related costs for field infrastructure. Regional and unallocated funeral and cemetery costs totaled $6.3 million for the three months ended March 31, 2022, an increase of $0.3 million compared to the same period in 2021, primarily due to the following: (1) a $0.3 million increase in other general administrative costs, which includes higher travel costs; (2) a $0.3 million increase in salary and benefits expenses, which includes additional cemetery sales employees; and (3) a $0.3 million increase in incentive award trips and annual managing partner meetings, which were postponed in the prior year due to COVID-19, offset by (4) a $0.6 million decrease in health and safety expenses related to COVID-19.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Statement Items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administrative and other expenses totaled $8.6 million for the three months ended March 31, 2022,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$0.6 million compared to the same period in 2021, primarily due to the following: (1) a $1.6 million decrease in separation expense related to the resignation of two members of senior leadership in the first quarter of 2021; and (2) a $0.1 million decrease in divestiture expenses, offset by (3) a $0.5 million increase in cash incentives and equity compensation; (4) a $0.3 million increase in other general administrative costs, which includes higher online marketing and advertising costs and software license fees for new technology; and (5) a $0.3 million increase in salary and benefits expenses, which includes five new employees in our recently developed marketing department.</w:t>
      </w:r>
    </w:p>
    <w:p>
      <w:pPr>
        <w:spacing w:after="0" w:line="80" w:lineRule="exact"/>
        <w:rPr>
          <w:sz w:val="20"/>
          <w:szCs w:val="20"/>
          <w:color w:val="auto"/>
        </w:rPr>
      </w:pPr>
    </w:p>
    <w:p>
      <w:pPr>
        <w:jc w:val="both"/>
        <w:ind w:firstLine="395"/>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Net (gain) loss on divestitures, disposals and impairments charges. </w:t>
      </w:r>
      <w:r>
        <w:rPr>
          <w:rFonts w:ascii="Times New Roman" w:cs="Times New Roman" w:eastAsia="Times New Roman" w:hAnsi="Times New Roman"/>
          <w:sz w:val="18"/>
          <w:szCs w:val="18"/>
          <w:color w:val="auto"/>
        </w:rPr>
        <w:t>The components of</w:t>
      </w:r>
      <w:r>
        <w:rPr>
          <w:rFonts w:ascii="Times New Roman" w:cs="Times New Roman" w:eastAsia="Times New Roman" w:hAnsi="Times New Roman"/>
          <w:sz w:val="18"/>
          <w:szCs w:val="18"/>
          <w:i w:val="1"/>
          <w:iCs w:val="1"/>
          <w:color w:val="auto"/>
        </w:rPr>
        <w:t xml:space="preserve"> Net (gain) loss on divestitures, disposals and impairment charges </w:t>
      </w:r>
      <w:r>
        <w:rPr>
          <w:rFonts w:ascii="Times New Roman" w:cs="Times New Roman" w:eastAsia="Times New Roman" w:hAnsi="Times New Roman"/>
          <w:sz w:val="18"/>
          <w:szCs w:val="18"/>
          <w:color w:val="auto"/>
        </w:rPr>
        <w:t>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04"/>
        </w:trPr>
        <w:tc>
          <w:tcPr>
            <w:tcW w:w="8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divestitures and real property</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9"/>
                <w:szCs w:val="19"/>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disposals of fixed assets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divested two funeral homes for an aggregate net loss of $0.7 million and we divested one funeral home and real property for a net gain of $0.3 million, during the three months ended March 31, 2022 and 2021,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2" w:name="page53"/>
    <w:bookmarkEnd w:id="52"/>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related to our various debt arrangement is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05"/>
        </w:trPr>
        <w:tc>
          <w:tcPr>
            <w:tcW w:w="79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Gain on insurance reimbursements. </w:t>
      </w:r>
      <w:r>
        <w:rPr>
          <w:rFonts w:ascii="Times New Roman" w:cs="Times New Roman" w:eastAsia="Times New Roman" w:hAnsi="Times New Roman"/>
          <w:sz w:val="18"/>
          <w:szCs w:val="18"/>
          <w:color w:val="auto"/>
        </w:rPr>
        <w:t>During the three months ended March 31, 2022, we recorded a gain on the reimbursements received from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property damaged by Hurricane Ida that occurred during third quarter of 2021.</w:t>
      </w:r>
    </w:p>
    <w:p>
      <w:pPr>
        <w:spacing w:after="0" w:line="59"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totaled $5.1 million and $5.6 million for the three months ended March 31, 2022 and 2021. Our operating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discrete items was 26.5% and 31.0% for the three months ended March 31, 2022 and 2021, respectively.</w:t>
      </w:r>
    </w:p>
    <w:p>
      <w:pPr>
        <w:spacing w:after="0" w:line="6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June 30, 2020, we filed carryback refund claims for the 2018 and 2019 tax years. The majority of the net operating losses generated in 2018 are the result of filing non-automatic accounting method changes relating to the recognition of revenue from our cemetery property and merchandise and services sales.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October 11, 2021, we received an adverse ruling from the IRS related to our accounting method change for cemetery property revenue recognition filed in 2018 and subsequently filed an automatic accounting method change to adopt the IRS’ preferred method of revenue recognition for cemetery property effective for the year ending December 31, 2021.</w:t>
      </w:r>
    </w:p>
    <w:p>
      <w:pPr>
        <w:spacing w:after="0" w:line="7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On March 2, 2022, we received approval from the IRS regarding our method change filed related to the revenue recognition of cemetery merchandise and services sales. As a result, we recorded a $0.5 million reduction to the reserve for uncertain tax positions during the three months ended March 31, 2022.</w:t>
      </w:r>
    </w:p>
    <w:p>
      <w:pPr>
        <w:spacing w:after="0" w:line="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2021 and March 31, 2022, the reserve for uncertain tax positions was $3.8 million and $3.2 million, respectively, related to carrying back the NOLs generated in the tax year ended December 31, 2018, filed under the CARES Act on June 30, 2020.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CRITICAL ACCOUNTING POLICIES AND ESTIMATES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 Item 1, Financial Statements, Note 1.</w:t>
      </w:r>
    </w:p>
    <w:p>
      <w:pPr>
        <w:spacing w:after="0" w:line="7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business can be affected by seasonal fluctuations in the death rate. Generally, the death rate is higher during the winter months because the incidences of death from influenza and pneumonia are higher during this period than other periods of the year.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53" w:name="page54"/>
    <w:bookmarkEnd w:id="53"/>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COVID-19 which are described in more detail in Part 1, Item 1A “Risk Factors” in our Annual Report on Form 10-K for the year ended December 31, 2021.</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quantitative and qualitative information is provided about financial instruments to which we are a party at March 31, 2022 and from which we may incur future gains or losses from changes in market conditions. We do not enter into derivative or other financial instruments for speculative or trading purposes.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information about our market-sensitive financial instruments constitutes a “forward-looking statement.”</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March 31, 2022 are presented in Part 1, Item 1, Financial Statements, Note 6 to our Consolidated Financial Statements in this Quarterly Report on Form 10-Q. The sensitivity of the fixed income securities is such that a 0.25% change in interest rates causes an approximate 1.37% change in the value of the fixed income securities.</w:t>
      </w:r>
    </w:p>
    <w:p>
      <w:pPr>
        <w:spacing w:after="0" w:line="8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monitor current and forecasted interest rate risk in the ordinary course of business and seek to maintain optimal financial flexibility, quality and solvency. At March 31, 2022, we had outstanding borrowings under the Credit Facility of $174.2 million. Any further borrowings or voluntary prepayments against the Credit Facility or any change in the floating rate would cause a change in interest expense. We have the option to pay interest under the Credit Facility at either prime rate or the LIBOR rate plus a margin. At March 31, 2022, the prime rate margin was equivalent to 0.875% and the LIBOR rate margin was 1.875%. Assuming the outstanding balance remains unchanged, a change of 100 basis points in our borrowing rate would result in a change in income before taxes of $1.7 million. We have not entered into interest rate hedging arrangements in the past. Management continually evaluates the cost and potential benefits of interest rate hedging arrangements.</w:t>
      </w:r>
    </w:p>
    <w:p>
      <w:pPr>
        <w:spacing w:after="0" w:line="8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March 31, 2022, the carrying value of the Senior Notes on our Consolidated Balance Sheet was $394.8 million and the fair value of the Senior Notes was $373.4 million based on the last traded or broker quoted price, reported by the Financial Industry Regulatory Authority, Inc. Increases in market interest rates may cause the value of the Senior Notes to decrease, but such changes will not affect our interest costs.</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4" w:name="page55"/>
    <w:bookmarkEnd w:id="54"/>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at March 31, 2022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1"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1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more information regarding legal proceedings see Part I, Item 1, Financial Statements, Note 13.</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in our risk factors as previously disclosed in Part I, Item 1A “Risk Factors” in our Annual Report on Form 10-K for the year ended December 31, 2021. Readers should carefully consider the factors discussed in Part I, Item 1A “Risk Factors” in our Annual Report on Form 10-K for the year ended December 31, 2021, which could materially affect our business, financial condition or future results. The risks described in our Annual Report on Form 10-K for the year ended December 31, 2021 are not the only risks we face. Additional risks and uncertainties not currently known to us or that we currently deem to be immaterial also may materially adversely affect our business, financial condition or future results.</w:t>
      </w:r>
    </w:p>
    <w:p>
      <w:pPr>
        <w:spacing w:after="0" w:line="18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repurchases of our common stock during the quarter ended March 31,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Dollar Value of</w:t>
            </w: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Purchased as</w:t>
            </w:r>
          </w:p>
        </w:tc>
        <w:tc>
          <w:tcPr>
            <w:tcW w:w="160" w:type="dxa"/>
            <w:vAlign w:val="bottom"/>
          </w:tcPr>
          <w:p>
            <w:pPr>
              <w:spacing w:after="0"/>
              <w:rPr>
                <w:sz w:val="13"/>
                <w:szCs w:val="13"/>
                <w:color w:val="auto"/>
              </w:rPr>
            </w:pPr>
          </w:p>
        </w:tc>
        <w:tc>
          <w:tcPr>
            <w:tcW w:w="14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Shares That May Yet</w:t>
            </w:r>
          </w:p>
        </w:tc>
        <w:tc>
          <w:tcPr>
            <w:tcW w:w="0" w:type="dxa"/>
            <w:vAlign w:val="bottom"/>
          </w:tcPr>
          <w:p>
            <w:pPr>
              <w:spacing w:after="0"/>
              <w:rPr>
                <w:sz w:val="1"/>
                <w:szCs w:val="1"/>
                <w:color w:val="auto"/>
              </w:rPr>
            </w:pPr>
          </w:p>
        </w:tc>
      </w:tr>
      <w:tr>
        <w:trPr>
          <w:trHeight w:val="158"/>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160" w:type="dxa"/>
            <w:vAlign w:val="bottom"/>
          </w:tcPr>
          <w:p>
            <w:pPr>
              <w:spacing w:after="0"/>
              <w:rPr>
                <w:sz w:val="13"/>
                <w:szCs w:val="13"/>
                <w:color w:val="auto"/>
              </w:rPr>
            </w:pPr>
          </w:p>
        </w:tc>
        <w:tc>
          <w:tcPr>
            <w:tcW w:w="14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Be Purchased Under</w:t>
            </w:r>
          </w:p>
        </w:tc>
        <w:tc>
          <w:tcPr>
            <w:tcW w:w="0" w:type="dxa"/>
            <w:vAlign w:val="bottom"/>
          </w:tcPr>
          <w:p>
            <w:pPr>
              <w:spacing w:after="0"/>
              <w:rPr>
                <w:sz w:val="1"/>
                <w:szCs w:val="1"/>
                <w:color w:val="auto"/>
              </w:rPr>
            </w:pPr>
          </w:p>
        </w:tc>
      </w:tr>
      <w:tr>
        <w:trPr>
          <w:trHeight w:val="211"/>
        </w:trPr>
        <w:tc>
          <w:tcPr>
            <w:tcW w:w="5340" w:type="dxa"/>
            <w:vAlign w:val="bottom"/>
            <w:gridSpan w:val="2"/>
            <w:vMerge w:val="continue"/>
          </w:tcPr>
          <w:p>
            <w:pPr>
              <w:spacing w:after="0"/>
              <w:rPr>
                <w:sz w:val="18"/>
                <w:szCs w:val="18"/>
                <w:color w:val="auto"/>
              </w:rPr>
            </w:pPr>
          </w:p>
        </w:tc>
        <w:tc>
          <w:tcPr>
            <w:tcW w:w="1300" w:type="dxa"/>
            <w:vAlign w:val="bottom"/>
          </w:tcPr>
          <w:p>
            <w:pPr>
              <w:jc w:val="center"/>
              <w:spacing w:after="0" w:line="210" w:lineRule="exact"/>
              <w:rPr>
                <w:sz w:val="20"/>
                <w:szCs w:val="20"/>
                <w:color w:val="auto"/>
              </w:rPr>
            </w:pPr>
            <w:r>
              <w:rPr>
                <w:rFonts w:ascii="Times New Roman" w:cs="Times New Roman" w:eastAsia="Times New Roman" w:hAnsi="Times New Roman"/>
                <w:sz w:val="16"/>
                <w:szCs w:val="16"/>
                <w:b w:val="1"/>
                <w:bCs w:val="1"/>
                <w:color w:val="auto"/>
                <w:w w:val="93"/>
              </w:rPr>
              <w:t>Purchased</w:t>
            </w:r>
            <w:r>
              <w:rPr>
                <w:rFonts w:ascii="Times New Roman" w:cs="Times New Roman" w:eastAsia="Times New Roman" w:hAnsi="Times New Roman"/>
                <w:sz w:val="20"/>
                <w:szCs w:val="20"/>
                <w:b w:val="1"/>
                <w:bCs w:val="1"/>
                <w:color w:val="auto"/>
                <w:w w:val="93"/>
                <w:vertAlign w:val="superscript"/>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Paid Per Share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Announced Program</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6"/>
              <w:spacing w:after="0" w:line="210" w:lineRule="exact"/>
              <w:rPr>
                <w:sz w:val="20"/>
                <w:szCs w:val="20"/>
                <w:color w:val="auto"/>
              </w:rPr>
            </w:pPr>
            <w:r>
              <w:rPr>
                <w:rFonts w:ascii="Times New Roman" w:cs="Times New Roman" w:eastAsia="Times New Roman" w:hAnsi="Times New Roman"/>
                <w:sz w:val="16"/>
                <w:szCs w:val="16"/>
                <w:b w:val="1"/>
                <w:bCs w:val="1"/>
                <w:color w:val="auto"/>
                <w:w w:val="95"/>
              </w:rPr>
              <w:t>the Program</w:t>
            </w:r>
            <w:r>
              <w:rPr>
                <w:rFonts w:ascii="Times New Roman" w:cs="Times New Roman" w:eastAsia="Times New Roman" w:hAnsi="Times New Roman"/>
                <w:sz w:val="20"/>
                <w:szCs w:val="20"/>
                <w:b w:val="1"/>
                <w:bCs w:val="1"/>
                <w:color w:val="auto"/>
                <w:w w:val="95"/>
                <w:vertAlign w:val="superscript"/>
              </w:rPr>
              <w:t>(2)(3)</w:t>
            </w:r>
          </w:p>
        </w:tc>
        <w:tc>
          <w:tcPr>
            <w:tcW w:w="0" w:type="dxa"/>
            <w:vAlign w:val="bottom"/>
          </w:tcPr>
          <w:p>
            <w:pPr>
              <w:spacing w:after="0"/>
              <w:rPr>
                <w:sz w:val="1"/>
                <w:szCs w:val="1"/>
                <w:color w:val="auto"/>
              </w:rPr>
            </w:pPr>
          </w:p>
        </w:tc>
      </w:tr>
      <w:tr>
        <w:trPr>
          <w:trHeight w:val="85"/>
        </w:trPr>
        <w:tc>
          <w:tcPr>
            <w:tcW w:w="51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 January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8,132,056</w:t>
            </w:r>
          </w:p>
        </w:tc>
        <w:tc>
          <w:tcPr>
            <w:tcW w:w="0" w:type="dxa"/>
            <w:vAlign w:val="bottom"/>
          </w:tcPr>
          <w:p>
            <w:pPr>
              <w:spacing w:after="0"/>
              <w:rPr>
                <w:sz w:val="1"/>
                <w:szCs w:val="1"/>
                <w:color w:val="auto"/>
              </w:rPr>
            </w:pPr>
          </w:p>
        </w:tc>
      </w:tr>
      <w:tr>
        <w:trPr>
          <w:trHeight w:val="22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83,132,056</w:t>
            </w:r>
          </w:p>
        </w:tc>
        <w:tc>
          <w:tcPr>
            <w:tcW w:w="0" w:type="dxa"/>
            <w:vAlign w:val="bottom"/>
          </w:tcPr>
          <w:p>
            <w:pPr>
              <w:spacing w:after="0"/>
              <w:rPr>
                <w:sz w:val="1"/>
                <w:szCs w:val="1"/>
                <w:color w:val="auto"/>
              </w:rPr>
            </w:pPr>
          </w:p>
        </w:tc>
      </w:tr>
      <w:tr>
        <w:trPr>
          <w:trHeight w:val="224"/>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 March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57,122,849</w:t>
            </w:r>
          </w:p>
        </w:tc>
        <w:tc>
          <w:tcPr>
            <w:tcW w:w="0" w:type="dxa"/>
            <w:vAlign w:val="bottom"/>
          </w:tcPr>
          <w:p>
            <w:pPr>
              <w:spacing w:after="0"/>
              <w:rPr>
                <w:sz w:val="1"/>
                <w:szCs w:val="1"/>
                <w:color w:val="auto"/>
              </w:rPr>
            </w:pPr>
          </w:p>
        </w:tc>
      </w:tr>
      <w:tr>
        <w:trPr>
          <w:trHeight w:val="217"/>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for quarter ended March 31, 2022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142240</wp:posOffset>
            </wp:positionV>
            <wp:extent cx="70942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216" w:lineRule="exact"/>
        <w:rPr>
          <w:sz w:val="20"/>
          <w:szCs w:val="20"/>
          <w:color w:val="auto"/>
        </w:rPr>
      </w:pPr>
    </w:p>
    <w:p>
      <w:pPr>
        <w:ind w:left="440" w:hanging="384"/>
        <w:spacing w:after="0"/>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surrendered by employees to pay taxes withheld upon the vesting of restricted stock awards.</w:t>
      </w:r>
    </w:p>
    <w:p>
      <w:pPr>
        <w:spacing w:after="0" w:line="26" w:lineRule="exact"/>
        <w:rPr>
          <w:rFonts w:ascii="Times New Roman" w:cs="Times New Roman" w:eastAsia="Times New Roman" w:hAnsi="Times New Roman"/>
          <w:sz w:val="16"/>
          <w:szCs w:val="16"/>
          <w:color w:val="auto"/>
        </w:rPr>
      </w:pPr>
    </w:p>
    <w:p>
      <w:pPr>
        <w:ind w:left="440" w:hanging="384"/>
        <w:spacing w:after="0"/>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repurchased shares of our common stock at an average cost of $53.08 in March 2022.</w:t>
      </w:r>
    </w:p>
    <w:p>
      <w:pPr>
        <w:spacing w:after="0" w:line="26" w:lineRule="exact"/>
        <w:rPr>
          <w:rFonts w:ascii="Times New Roman" w:cs="Times New Roman" w:eastAsia="Times New Roman" w:hAnsi="Times New Roman"/>
          <w:sz w:val="16"/>
          <w:szCs w:val="16"/>
          <w:color w:val="auto"/>
        </w:rPr>
      </w:pPr>
    </w:p>
    <w:p>
      <w:pPr>
        <w:ind w:left="440" w:hanging="384"/>
        <w:spacing w:after="0"/>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Part I, Item 1, Financial Statements, Note 14 for additional information on our publicly announced share repurchase program.</w:t>
      </w:r>
    </w:p>
    <w:p>
      <w:pPr>
        <w:spacing w:after="0" w:line="29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exhibits required to be filed pursuant to the requirements of Item 601 of Regulation S-K are set forth in the Exhibit Index accompanying this Quarterly Report on Form 10-Q and are incorporated herein by reference.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CARRIAGE SERVICES, INC.</w:t>
      </w:r>
    </w:p>
    <w:p>
      <w:pPr>
        <w:spacing w:after="0" w:line="21" w:lineRule="exact"/>
        <w:rPr>
          <w:sz w:val="20"/>
          <w:szCs w:val="20"/>
          <w:color w:val="auto"/>
        </w:rPr>
      </w:pPr>
    </w:p>
    <w:p>
      <w:pPr>
        <w:ind w:left="620" w:right="4780" w:hanging="4894"/>
        <w:spacing w:after="0" w:line="267" w:lineRule="auto"/>
        <w:tabs>
          <w:tab w:leader="none" w:pos="600" w:val="left"/>
        </w:tabs>
        <w:rPr>
          <w:sz w:val="20"/>
          <w:szCs w:val="20"/>
          <w:color w:val="auto"/>
        </w:rPr>
      </w:pPr>
      <w:r>
        <w:rPr>
          <w:rFonts w:ascii="Times New Roman" w:cs="Times New Roman" w:eastAsia="Times New Roman" w:hAnsi="Times New Roman"/>
          <w:sz w:val="18"/>
          <w:szCs w:val="18"/>
          <w:color w:val="auto"/>
        </w:rPr>
        <w:t>Date:</w:t>
      </w:r>
      <w:r>
        <w:rPr>
          <w:rFonts w:ascii="Times New Roman" w:cs="Times New Roman" w:eastAsia="Times New Roman" w:hAnsi="Times New Roman"/>
          <w:sz w:val="18"/>
          <w:szCs w:val="18"/>
          <w:color w:val="242424"/>
        </w:rPr>
        <w:tab/>
        <w:t xml:space="preserve">May 3, 2022 </w:t>
      </w:r>
      <w:r>
        <w:rPr>
          <w:rFonts w:ascii="Times New Roman" w:cs="Times New Roman" w:eastAsia="Times New Roman" w:hAnsi="Times New Roman"/>
          <w:sz w:val="18"/>
          <w:szCs w:val="18"/>
          <w:color w:val="000000"/>
        </w:rPr>
        <w:t>/s/ C. Benjamin Brink</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-3175</wp:posOffset>
            </wp:positionV>
            <wp:extent cx="40024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02405" cy="8255"/>
                    </a:xfrm>
                    <a:prstGeom prst="rect">
                      <a:avLst/>
                    </a:prstGeom>
                    <a:noFill/>
                  </pic:spPr>
                </pic:pic>
              </a:graphicData>
            </a:graphic>
          </wp:anchor>
        </w:drawing>
      </w: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tbl>
      <w:tblPr>
        <w:tblLayout w:type="fixed"/>
        <w:tblInd w:w="857"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gridSpan w:val="4"/>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7"/>
              </w:rPr>
              <w:t>CARRIAGE SERVICES, INC.</w:t>
            </w:r>
          </w:p>
        </w:tc>
        <w:tc>
          <w:tcPr>
            <w:tcW w:w="0" w:type="dxa"/>
            <w:vAlign w:val="bottom"/>
          </w:tcPr>
          <w:p>
            <w:pPr>
              <w:spacing w:after="0"/>
              <w:rPr>
                <w:sz w:val="1"/>
                <w:szCs w:val="1"/>
                <w:color w:val="auto"/>
              </w:rPr>
            </w:pPr>
          </w:p>
        </w:tc>
      </w:tr>
      <w:tr>
        <w:trPr>
          <w:trHeight w:val="368"/>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80" w:type="dxa"/>
            <w:vAlign w:val="bottom"/>
            <w:gridSpan w:val="4"/>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7"/>
              </w:rPr>
              <w:t>INDEX OF EXHIBITS</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420" w:type="dxa"/>
            <w:vAlign w:val="bottom"/>
          </w:tcPr>
          <w:p>
            <w:pPr>
              <w:spacing w:after="0"/>
              <w:rPr>
                <w:sz w:val="22"/>
                <w:szCs w:val="22"/>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18"/>
                <w:szCs w:val="18"/>
                <w:color w:val="auto"/>
              </w:rPr>
            </w:pPr>
          </w:p>
        </w:tc>
        <w:tc>
          <w:tcPr>
            <w:tcW w:w="9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Certification of Periodic Financial Reports by Melvin C. Payne in satisfaction of Section 302 of the Sarbanes-Oxley Act of 2002.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1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*31.2</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Periodic Financial Reports by C. Benjamin Brink in satisfaction of Section 302 of the Sarbanes-Oxley Act of</w:t>
            </w:r>
          </w:p>
        </w:tc>
        <w:tc>
          <w:tcPr>
            <w:tcW w:w="0" w:type="dxa"/>
            <w:vAlign w:val="bottom"/>
          </w:tcPr>
          <w:p>
            <w:pPr>
              <w:spacing w:after="0"/>
              <w:rPr>
                <w:sz w:val="1"/>
                <w:szCs w:val="1"/>
                <w:color w:val="auto"/>
              </w:rPr>
            </w:pPr>
          </w:p>
        </w:tc>
      </w:tr>
      <w:tr>
        <w:trPr>
          <w:trHeight w:val="151"/>
        </w:trPr>
        <w:tc>
          <w:tcPr>
            <w:tcW w:w="1160" w:type="dxa"/>
            <w:vAlign w:val="bottom"/>
            <w:gridSpan w:val="3"/>
            <w:vMerge w:val="continue"/>
          </w:tcPr>
          <w:p>
            <w:pPr>
              <w:spacing w:after="0"/>
              <w:rPr>
                <w:sz w:val="13"/>
                <w:szCs w:val="13"/>
                <w:color w:val="auto"/>
              </w:rPr>
            </w:pPr>
          </w:p>
        </w:tc>
        <w:tc>
          <w:tcPr>
            <w:tcW w:w="40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2002.</w:t>
            </w:r>
          </w:p>
        </w:tc>
        <w:tc>
          <w:tcPr>
            <w:tcW w:w="300" w:type="dxa"/>
            <w:vAlign w:val="bottom"/>
            <w:tcBorders>
              <w:top w:val="single" w:sz="8" w:color="0000FF"/>
            </w:tcBorders>
          </w:tcPr>
          <w:p>
            <w:pPr>
              <w:spacing w:after="0"/>
              <w:rPr>
                <w:sz w:val="13"/>
                <w:szCs w:val="13"/>
                <w:color w:val="auto"/>
              </w:rPr>
            </w:pPr>
          </w:p>
        </w:tc>
        <w:tc>
          <w:tcPr>
            <w:tcW w:w="3360" w:type="dxa"/>
            <w:vAlign w:val="bottom"/>
            <w:tcBorders>
              <w:top w:val="single" w:sz="8" w:color="0000FF"/>
            </w:tcBorders>
          </w:tcPr>
          <w:p>
            <w:pPr>
              <w:spacing w:after="0"/>
              <w:rPr>
                <w:sz w:val="13"/>
                <w:szCs w:val="13"/>
                <w:color w:val="auto"/>
              </w:rPr>
            </w:pPr>
          </w:p>
        </w:tc>
        <w:tc>
          <w:tcPr>
            <w:tcW w:w="50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Periodic Financial Reports by Melvin C. Payne and C. Benjamin Brink in satisfaction of Section 906 of the</w:t>
            </w:r>
          </w:p>
        </w:tc>
        <w:tc>
          <w:tcPr>
            <w:tcW w:w="0" w:type="dxa"/>
            <w:vAlign w:val="bottom"/>
          </w:tcPr>
          <w:p>
            <w:pPr>
              <w:spacing w:after="0"/>
              <w:rPr>
                <w:sz w:val="1"/>
                <w:szCs w:val="1"/>
                <w:color w:val="auto"/>
              </w:rPr>
            </w:pPr>
          </w:p>
        </w:tc>
      </w:tr>
      <w:tr>
        <w:trPr>
          <w:trHeight w:val="151"/>
        </w:trPr>
        <w:tc>
          <w:tcPr>
            <w:tcW w:w="7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3"/>
          </w:tcPr>
          <w:p>
            <w:pPr>
              <w:spacing w:after="0" w:line="138" w:lineRule="exact"/>
              <w:rPr>
                <w:sz w:val="20"/>
                <w:szCs w:val="20"/>
                <w:color w:val="auto"/>
              </w:rPr>
            </w:pPr>
            <w:r>
              <w:rPr>
                <w:rFonts w:ascii="Times New Roman" w:cs="Times New Roman" w:eastAsia="Times New Roman" w:hAnsi="Times New Roman"/>
                <w:sz w:val="15"/>
                <w:szCs w:val="15"/>
                <w:color w:val="0000FF"/>
              </w:rPr>
              <w:t>Sarbanes-Oxley Act of 2002 and 18 U.S.C. Section 1350.</w:t>
            </w:r>
          </w:p>
        </w:tc>
        <w:tc>
          <w:tcPr>
            <w:tcW w:w="5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4"/>
              </w:rPr>
              <w:t>*101.INS</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7"/>
              </w:rPr>
              <w:t>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76"/>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5"/>
              </w:rPr>
              <w:t>*101.SCH</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Documents.</w:t>
            </w:r>
          </w:p>
        </w:tc>
        <w:tc>
          <w:tcPr>
            <w:tcW w:w="0" w:type="dxa"/>
            <w:vAlign w:val="bottom"/>
          </w:tcPr>
          <w:p>
            <w:pPr>
              <w:spacing w:after="0"/>
              <w:rPr>
                <w:sz w:val="1"/>
                <w:szCs w:val="1"/>
                <w:color w:val="auto"/>
              </w:rPr>
            </w:pPr>
          </w:p>
        </w:tc>
      </w:tr>
      <w:tr>
        <w:trPr>
          <w:trHeight w:val="36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4"/>
              </w:rPr>
              <w:t>*101.CAL</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4"/>
              </w:rPr>
              <w:t>*101.LAB</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7"/>
              </w:rPr>
              <w:t>*101.PRE</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6"/>
              </w:rPr>
              <w:t>*101.DEF</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8"/>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127" w:lineRule="exact"/>
        <w:rPr>
          <w:sz w:val="20"/>
          <w:szCs w:val="20"/>
          <w:color w:val="auto"/>
        </w:rPr>
      </w:pPr>
    </w:p>
    <w:p>
      <w:pPr>
        <w:ind w:left="657" w:hanging="657"/>
        <w:spacing w:after="0"/>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657" w:hanging="657"/>
        <w:spacing w:after="0"/>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7" w:lineRule="exact"/>
        <w:rPr>
          <w:sz w:val="20"/>
          <w:szCs w:val="20"/>
          <w:color w:val="auto"/>
        </w:rPr>
      </w:pPr>
    </w:p>
    <w:p>
      <w:pPr>
        <w:ind w:left="657" w:hanging="657"/>
        <w:spacing w:after="0"/>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1177"/>
          </w:cols>
          <w:pgMar w:left="343" w:top="869" w:right="379" w:bottom="1440" w:gutter="0" w:footer="0" w:header="0"/>
        </w:sectPr>
      </w:pPr>
    </w:p>
    <w:bookmarkStart w:id="58" w:name="page59"/>
    <w:bookmarkEnd w:id="58"/>
    <w:p>
      <w:pPr>
        <w:ind w:left="100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Melvin C. Payne, certify that:</w:t>
      </w:r>
    </w:p>
    <w:p>
      <w:pPr>
        <w:spacing w:after="0" w:line="79" w:lineRule="exact"/>
        <w:rPr>
          <w:sz w:val="20"/>
          <w:szCs w:val="20"/>
          <w:color w:val="auto"/>
        </w:rPr>
      </w:pPr>
    </w:p>
    <w:p>
      <w:pPr>
        <w:ind w:left="1180" w:hanging="622"/>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Carriage Services, Inc. (the “registrant”);</w:t>
      </w:r>
    </w:p>
    <w:p>
      <w:pPr>
        <w:spacing w:after="0" w:line="108" w:lineRule="exact"/>
        <w:rPr>
          <w:rFonts w:ascii="Times New Roman" w:cs="Times New Roman" w:eastAsia="Times New Roman" w:hAnsi="Times New Roman"/>
          <w:sz w:val="18"/>
          <w:szCs w:val="18"/>
          <w:color w:val="auto"/>
        </w:rPr>
      </w:pPr>
    </w:p>
    <w:p>
      <w:pPr>
        <w:jc w:val="both"/>
        <w:ind w:left="1180" w:hanging="622"/>
        <w:spacing w:after="0" w:line="270" w:lineRule="auto"/>
        <w:tabs>
          <w:tab w:leader="none" w:pos="1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1180" w:hanging="622"/>
        <w:spacing w:after="0" w:line="297" w:lineRule="auto"/>
        <w:tabs>
          <w:tab w:leader="none" w:pos="1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Times New Roman" w:cs="Times New Roman" w:eastAsia="Times New Roman" w:hAnsi="Times New Roman"/>
          <w:sz w:val="18"/>
          <w:szCs w:val="18"/>
          <w:color w:val="auto"/>
        </w:rPr>
      </w:pPr>
    </w:p>
    <w:p>
      <w:pPr>
        <w:jc w:val="both"/>
        <w:ind w:left="1180" w:hanging="622"/>
        <w:spacing w:after="0" w:line="278" w:lineRule="auto"/>
        <w:tabs>
          <w:tab w:leader="none" w:pos="1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Times New Roman" w:cs="Times New Roman" w:eastAsia="Times New Roman" w:hAnsi="Times New Roman"/>
          <w:sz w:val="18"/>
          <w:szCs w:val="18"/>
          <w:color w:val="auto"/>
        </w:rPr>
      </w:pPr>
    </w:p>
    <w:p>
      <w:pPr>
        <w:jc w:val="both"/>
        <w:ind w:left="2460" w:hanging="481"/>
        <w:spacing w:after="0" w:line="267" w:lineRule="auto"/>
        <w:tabs>
          <w:tab w:leader="none" w:pos="24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Times New Roman" w:cs="Times New Roman" w:eastAsia="Times New Roman" w:hAnsi="Times New Roman"/>
          <w:sz w:val="18"/>
          <w:szCs w:val="18"/>
          <w:color w:val="auto"/>
        </w:rPr>
      </w:pPr>
    </w:p>
    <w:p>
      <w:pPr>
        <w:jc w:val="both"/>
        <w:ind w:left="2460" w:hanging="481"/>
        <w:spacing w:after="0" w:line="270" w:lineRule="auto"/>
        <w:tabs>
          <w:tab w:leader="none" w:pos="24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2460" w:hanging="481"/>
        <w:spacing w:after="0" w:line="278" w:lineRule="auto"/>
        <w:tabs>
          <w:tab w:leader="none" w:pos="24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2460" w:hanging="481"/>
        <w:spacing w:after="0" w:line="267" w:lineRule="auto"/>
        <w:tabs>
          <w:tab w:leader="none" w:pos="24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Times New Roman" w:cs="Times New Roman" w:eastAsia="Times New Roman" w:hAnsi="Times New Roman"/>
          <w:sz w:val="18"/>
          <w:szCs w:val="18"/>
          <w:color w:val="auto"/>
        </w:rPr>
      </w:pPr>
    </w:p>
    <w:p>
      <w:pPr>
        <w:jc w:val="both"/>
        <w:ind w:left="1180" w:hanging="622"/>
        <w:spacing w:after="0" w:line="270" w:lineRule="auto"/>
        <w:tabs>
          <w:tab w:leader="none" w:pos="1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Times New Roman" w:cs="Times New Roman" w:eastAsia="Times New Roman" w:hAnsi="Times New Roman"/>
          <w:sz w:val="18"/>
          <w:szCs w:val="18"/>
          <w:color w:val="auto"/>
        </w:rPr>
      </w:pPr>
    </w:p>
    <w:p>
      <w:pPr>
        <w:jc w:val="both"/>
        <w:ind w:left="2460" w:hanging="481"/>
        <w:spacing w:after="0" w:line="270" w:lineRule="auto"/>
        <w:tabs>
          <w:tab w:leader="none" w:pos="24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8"/>
          <w:szCs w:val="18"/>
          <w:color w:val="auto"/>
        </w:rPr>
      </w:pPr>
    </w:p>
    <w:p>
      <w:pPr>
        <w:ind w:left="2460" w:hanging="481"/>
        <w:spacing w:after="0" w:line="297" w:lineRule="auto"/>
        <w:tabs>
          <w:tab w:leader="none" w:pos="24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3, 2022</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Melvin C. Payne</w:t>
            </w:r>
          </w:p>
        </w:tc>
      </w:tr>
      <w:tr>
        <w:trPr>
          <w:trHeight w:val="238"/>
        </w:trPr>
        <w:tc>
          <w:tcPr>
            <w:tcW w:w="6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Melvin C. Payne</w:t>
            </w:r>
          </w:p>
        </w:tc>
      </w:tr>
    </w:tbl>
    <w:p>
      <w:pPr>
        <w:ind w:left="49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59" w:right="339" w:bottom="1440" w:gutter="0" w:footer="0" w:header="0"/>
        </w:sectPr>
      </w:pPr>
    </w:p>
    <w:bookmarkStart w:id="59" w:name="page60"/>
    <w:bookmarkEnd w:id="59"/>
    <w:p>
      <w:pPr>
        <w:ind w:left="100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 Benjamin Brink, certify that:</w:t>
      </w:r>
    </w:p>
    <w:p>
      <w:pPr>
        <w:spacing w:after="0" w:line="79" w:lineRule="exact"/>
        <w:rPr>
          <w:sz w:val="20"/>
          <w:szCs w:val="20"/>
          <w:color w:val="auto"/>
        </w:rPr>
      </w:pPr>
    </w:p>
    <w:p>
      <w:pPr>
        <w:ind w:left="1180" w:hanging="622"/>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Carriage Services, Inc. (the “registrant”);</w:t>
      </w:r>
    </w:p>
    <w:p>
      <w:pPr>
        <w:spacing w:after="0" w:line="108" w:lineRule="exact"/>
        <w:rPr>
          <w:rFonts w:ascii="Times New Roman" w:cs="Times New Roman" w:eastAsia="Times New Roman" w:hAnsi="Times New Roman"/>
          <w:sz w:val="18"/>
          <w:szCs w:val="18"/>
          <w:color w:val="auto"/>
        </w:rPr>
      </w:pPr>
    </w:p>
    <w:p>
      <w:pPr>
        <w:jc w:val="both"/>
        <w:ind w:left="1180" w:hanging="622"/>
        <w:spacing w:after="0" w:line="270" w:lineRule="auto"/>
        <w:tabs>
          <w:tab w:leader="none" w:pos="11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1180" w:hanging="622"/>
        <w:spacing w:after="0" w:line="297" w:lineRule="auto"/>
        <w:tabs>
          <w:tab w:leader="none" w:pos="11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Times New Roman" w:cs="Times New Roman" w:eastAsia="Times New Roman" w:hAnsi="Times New Roman"/>
          <w:sz w:val="18"/>
          <w:szCs w:val="18"/>
          <w:color w:val="auto"/>
        </w:rPr>
      </w:pPr>
    </w:p>
    <w:p>
      <w:pPr>
        <w:jc w:val="both"/>
        <w:ind w:left="1180" w:hanging="622"/>
        <w:spacing w:after="0" w:line="278" w:lineRule="auto"/>
        <w:tabs>
          <w:tab w:leader="none" w:pos="11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Times New Roman" w:cs="Times New Roman" w:eastAsia="Times New Roman" w:hAnsi="Times New Roman"/>
          <w:sz w:val="18"/>
          <w:szCs w:val="18"/>
          <w:color w:val="auto"/>
        </w:rPr>
      </w:pPr>
    </w:p>
    <w:p>
      <w:pPr>
        <w:jc w:val="both"/>
        <w:ind w:left="2460" w:hanging="481"/>
        <w:spacing w:after="0" w:line="267" w:lineRule="auto"/>
        <w:tabs>
          <w:tab w:leader="none" w:pos="24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Times New Roman" w:cs="Times New Roman" w:eastAsia="Times New Roman" w:hAnsi="Times New Roman"/>
          <w:sz w:val="18"/>
          <w:szCs w:val="18"/>
          <w:color w:val="auto"/>
        </w:rPr>
      </w:pPr>
    </w:p>
    <w:p>
      <w:pPr>
        <w:jc w:val="both"/>
        <w:ind w:left="2460" w:hanging="481"/>
        <w:spacing w:after="0" w:line="270" w:lineRule="auto"/>
        <w:tabs>
          <w:tab w:leader="none" w:pos="24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2460" w:hanging="481"/>
        <w:spacing w:after="0" w:line="278" w:lineRule="auto"/>
        <w:tabs>
          <w:tab w:leader="none" w:pos="24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2460" w:hanging="481"/>
        <w:spacing w:after="0" w:line="267" w:lineRule="auto"/>
        <w:tabs>
          <w:tab w:leader="none" w:pos="24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Times New Roman" w:cs="Times New Roman" w:eastAsia="Times New Roman" w:hAnsi="Times New Roman"/>
          <w:sz w:val="18"/>
          <w:szCs w:val="18"/>
          <w:color w:val="auto"/>
        </w:rPr>
      </w:pPr>
    </w:p>
    <w:p>
      <w:pPr>
        <w:jc w:val="both"/>
        <w:ind w:left="1180" w:hanging="622"/>
        <w:spacing w:after="0" w:line="270" w:lineRule="auto"/>
        <w:tabs>
          <w:tab w:leader="none" w:pos="11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Times New Roman" w:cs="Times New Roman" w:eastAsia="Times New Roman" w:hAnsi="Times New Roman"/>
          <w:sz w:val="18"/>
          <w:szCs w:val="18"/>
          <w:color w:val="auto"/>
        </w:rPr>
      </w:pPr>
    </w:p>
    <w:p>
      <w:pPr>
        <w:jc w:val="both"/>
        <w:ind w:left="2460" w:hanging="481"/>
        <w:spacing w:after="0" w:line="270" w:lineRule="auto"/>
        <w:tabs>
          <w:tab w:leader="none" w:pos="24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8"/>
          <w:szCs w:val="18"/>
          <w:color w:val="auto"/>
        </w:rPr>
      </w:pPr>
    </w:p>
    <w:p>
      <w:pPr>
        <w:ind w:left="2460" w:hanging="481"/>
        <w:spacing w:after="0" w:line="297" w:lineRule="auto"/>
        <w:tabs>
          <w:tab w:leader="none" w:pos="24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2022</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 Benjamin Brink</w:t>
            </w:r>
          </w:p>
        </w:tc>
      </w:tr>
      <w:tr>
        <w:trPr>
          <w:trHeight w:val="222"/>
        </w:trPr>
        <w:tc>
          <w:tcPr>
            <w:tcW w:w="488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Benjamin Brink</w:t>
            </w:r>
          </w:p>
        </w:tc>
      </w:tr>
      <w:tr>
        <w:trPr>
          <w:trHeight w:val="237"/>
        </w:trPr>
        <w:tc>
          <w:tcPr>
            <w:tcW w:w="48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40"/>
        </w:trPr>
        <w:tc>
          <w:tcPr>
            <w:tcW w:w="48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59"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Chief Financial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906 of the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 18 U.S.C. § 1350</w:t>
      </w:r>
    </w:p>
    <w:p>
      <w:pPr>
        <w:spacing w:after="0" w:line="2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In connection with the Quarterly Report on Form 10-Q of Carriage Services, Inc. (the “Company”), as filed with the Securities and Exchange Commission on the date hereof (the “Report”), Melvin C. Payne, Chief Executive Officer of the Company, and C. Benjamin Brink, Executive Vice President, Principal Financial Officer, Chief Financial Officer and Treasurer of the Company, each certify, pursuant to 18 U.S.C. Section 1350, as adopted pursuant to Section 906 of the Sarbanes-Oxley Act of 2002, that, to his knowledge:</w:t>
      </w:r>
    </w:p>
    <w:p>
      <w:pPr>
        <w:spacing w:after="0" w:line="167" w:lineRule="exact"/>
        <w:rPr>
          <w:sz w:val="20"/>
          <w:szCs w:val="20"/>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0" w:lineRule="exact"/>
        <w:rPr>
          <w:rFonts w:ascii="Times New Roman" w:cs="Times New Roman" w:eastAsia="Times New Roman" w:hAnsi="Times New Roman"/>
          <w:sz w:val="18"/>
          <w:szCs w:val="18"/>
          <w:color w:val="auto"/>
        </w:rPr>
      </w:pPr>
    </w:p>
    <w:p>
      <w:pPr>
        <w:ind w:left="1180" w:hanging="622"/>
        <w:spacing w:after="0" w:line="297" w:lineRule="auto"/>
        <w:tabs>
          <w:tab w:leader="none" w:pos="10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3, 2022</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Melvin C. Payne</w:t>
            </w:r>
          </w:p>
        </w:tc>
      </w:tr>
      <w:tr>
        <w:trPr>
          <w:trHeight w:val="222"/>
        </w:trPr>
        <w:tc>
          <w:tcPr>
            <w:tcW w:w="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Melvin C. Payne</w:t>
            </w:r>
          </w:p>
        </w:tc>
      </w:tr>
      <w:tr>
        <w:trPr>
          <w:trHeight w:val="237"/>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4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9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27305</wp:posOffset>
            </wp:positionV>
            <wp:extent cx="40024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02405" cy="8255"/>
                    </a:xfrm>
                    <a:prstGeom prst="rect">
                      <a:avLst/>
                    </a:prstGeom>
                    <a:noFill/>
                  </pic:spPr>
                </pic:pic>
              </a:graphicData>
            </a:graphic>
          </wp:anchor>
        </w:drawing>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 Benjamin Brink</w:t>
      </w:r>
    </w:p>
    <w:p>
      <w:pPr>
        <w:spacing w:after="0" w:line="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lvl w:ilvl="1">
      <w:lvlJc w:val="left"/>
      <w:lvlText w:val="(%2)"/>
      <w:numFmt w:val="decimal"/>
      <w:start w:val="1"/>
    </w:lvl>
  </w:abstractNum>
  <w:abstractNum w:abstractNumId="7">
    <w:nsid w:val="6763845E"/>
    <w:multiLevelType w:val="hybridMultilevel"/>
    <w:lvl w:ilvl="0">
      <w:lvlJc w:val="left"/>
      <w:lvlText w:val="%1."/>
      <w:numFmt w:val="decimal"/>
      <w:start w:val="5"/>
    </w:lvl>
    <w:lvl w:ilvl="1">
      <w:lvlJc w:val="left"/>
      <w:lvlText w:val="%2"/>
      <w:numFmt w:val="decimal"/>
      <w:start w:val="1"/>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10"/>
    </w:lvl>
  </w:abstractNum>
  <w:abstractNum w:abstractNumId="12">
    <w:nsid w:val="B03E0C6"/>
    <w:multiLevelType w:val="hybridMultilevel"/>
    <w:lvl w:ilvl="0">
      <w:lvlJc w:val="left"/>
      <w:lvlText w:val="%1."/>
      <w:numFmt w:val="decimal"/>
      <w:start w:val="11"/>
    </w:lvl>
  </w:abstractNum>
  <w:abstractNum w:abstractNumId="13">
    <w:nsid w:val="189A769B"/>
    <w:multiLevelType w:val="hybridMultilevel"/>
    <w:lvl w:ilvl="0">
      <w:lvlJc w:val="left"/>
      <w:lvlText w:val="%1."/>
      <w:numFmt w:val="decimal"/>
      <w:start w:val="12"/>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3"/>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5"/>
    </w:lvl>
  </w:abstractNum>
  <w:abstractNum w:abstractNumId="22">
    <w:nsid w:val="7C3DBD3D"/>
    <w:multiLevelType w:val="hybridMultilevel"/>
    <w:lvl w:ilvl="0">
      <w:lvlJc w:val="left"/>
      <w:lvlText w:val="%1."/>
      <w:numFmt w:val="decimal"/>
      <w:start w:val="16"/>
    </w:lvl>
  </w:abstractNum>
  <w:abstractNum w:abstractNumId="23">
    <w:nsid w:val="737B8DDC"/>
    <w:multiLevelType w:val="hybridMultilevel"/>
    <w:lvl w:ilvl="0">
      <w:lvlJc w:val="left"/>
      <w:lvlText w:val="•"/>
      <w:numFmt w:val="bullet"/>
      <w:start w:val="1"/>
    </w:lvl>
    <w:lvl w:ilvl="1">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lvl w:ilvl="1">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lvl w:ilvl="1">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2022-05-03T16:41:06Z</dcterms:created>
  <dcterms:modified xsi:type="dcterms:W3CDTF">2022-05-03T16:41:06Z</dcterms:modified>
</cp:coreProperties>
</file>