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3132.xml.htm"/>
      <w:bookmarkStart w:id="1" w:name="kswkform4_17909731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BRUDNICKI GREG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3040 POST OAK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CARRIAGE SERVICES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Board Advisor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31.17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29,193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pursuant to Carriage's Director Compensation Policy. Represents unrestricted shares of Carriage's Common Stock granted on September 30, 2026, for Director Compensation earned during the third quarter.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Shanley, Attorney-in-fact for Greg M. Brudnicki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3242" TargetMode="External"/><Relationship Id="rId5" Type="http://schemas.openxmlformats.org/officeDocument/2006/relationships/hyperlink" Target="http://www.sec.gov/cgi-bin/browse-edgar?action=getcompany&amp;CIK=000101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3277</Characters>
  <CharactersWithSpaces>3805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