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3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-199390</wp:posOffset>
            </wp:positionV>
            <wp:extent cx="32143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7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-160020</wp:posOffset>
            </wp:positionV>
            <wp:extent cx="32143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4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Exchange Act of 1934</w:t>
      </w:r>
    </w:p>
    <w:p>
      <w:pPr>
        <w:spacing w:after="0" w:line="16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 (Date of earliest event reported): June 30, 2020 (June 25, 2020)</w:t>
      </w:r>
    </w:p>
    <w:p>
      <w:pPr>
        <w:spacing w:after="0" w:line="272"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Carriage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-254635</wp:posOffset>
            </wp:positionV>
            <wp:extent cx="3214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167640</wp:posOffset>
            </wp:positionV>
            <wp:extent cx="3214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tbl>
      <w:tblPr>
        <w:tblLayout w:type="fixed"/>
        <w:tblInd w:w="1120" w:type="dxa"/>
        <w:tblCellMar>
          <w:top w:w="0" w:type="dxa"/>
          <w:left w:w="0" w:type="dxa"/>
          <w:bottom w:w="0" w:type="dxa"/>
          <w:right w:w="0" w:type="dxa"/>
        </w:tblCellMar>
      </w:tblPr>
      <w:tr>
        <w:trPr>
          <w:trHeight w:val="230"/>
        </w:trPr>
        <w:tc>
          <w:tcPr>
            <w:tcW w:w="2200" w:type="dxa"/>
            <w:vAlign w:val="bottom"/>
          </w:tcPr>
          <w:p>
            <w:pPr>
              <w:ind w:left="460"/>
              <w:spacing w:after="0"/>
              <w:rPr>
                <w:sz w:val="20"/>
                <w:szCs w:val="20"/>
                <w:color w:val="auto"/>
              </w:rPr>
            </w:pPr>
            <w:r>
              <w:rPr>
                <w:rFonts w:ascii="Arial" w:cs="Arial" w:eastAsia="Arial" w:hAnsi="Arial"/>
                <w:sz w:val="18"/>
                <w:szCs w:val="18"/>
                <w:color w:val="auto"/>
              </w:rPr>
              <w:t>Delaware</w:t>
            </w:r>
          </w:p>
        </w:tc>
        <w:tc>
          <w:tcPr>
            <w:tcW w:w="4920" w:type="dxa"/>
            <w:vAlign w:val="bottom"/>
          </w:tcPr>
          <w:p>
            <w:pPr>
              <w:jc w:val="center"/>
              <w:ind w:right="212"/>
              <w:spacing w:after="0"/>
              <w:rPr>
                <w:sz w:val="20"/>
                <w:szCs w:val="20"/>
                <w:color w:val="auto"/>
              </w:rPr>
            </w:pPr>
            <w:r>
              <w:rPr>
                <w:rFonts w:ascii="Arial" w:cs="Arial" w:eastAsia="Arial" w:hAnsi="Arial"/>
                <w:sz w:val="18"/>
                <w:szCs w:val="18"/>
                <w:color w:val="auto"/>
                <w:w w:val="87"/>
              </w:rPr>
              <w:t>1-11961</w:t>
            </w:r>
          </w:p>
        </w:tc>
        <w:tc>
          <w:tcPr>
            <w:tcW w:w="300" w:type="dxa"/>
            <w:vAlign w:val="bottom"/>
          </w:tcPr>
          <w:p>
            <w:pPr>
              <w:spacing w:after="0"/>
              <w:rPr>
                <w:sz w:val="20"/>
                <w:szCs w:val="20"/>
                <w:color w:val="auto"/>
              </w:rPr>
            </w:pPr>
          </w:p>
        </w:tc>
        <w:tc>
          <w:tcPr>
            <w:tcW w:w="1440" w:type="dxa"/>
            <w:vAlign w:val="bottom"/>
          </w:tcPr>
          <w:p>
            <w:pPr>
              <w:ind w:left="340"/>
              <w:spacing w:after="0"/>
              <w:rPr>
                <w:sz w:val="20"/>
                <w:szCs w:val="20"/>
                <w:color w:val="auto"/>
              </w:rPr>
            </w:pPr>
            <w:r>
              <w:rPr>
                <w:rFonts w:ascii="Arial" w:cs="Arial" w:eastAsia="Arial" w:hAnsi="Arial"/>
                <w:sz w:val="18"/>
                <w:szCs w:val="18"/>
                <w:color w:val="auto"/>
              </w:rPr>
              <w:t>76-0423828</w:t>
            </w:r>
          </w:p>
        </w:tc>
      </w:tr>
      <w:tr>
        <w:trPr>
          <w:trHeight w:val="247"/>
        </w:trPr>
        <w:tc>
          <w:tcPr>
            <w:tcW w:w="2200" w:type="dxa"/>
            <w:vAlign w:val="bottom"/>
          </w:tcPr>
          <w:p>
            <w:pPr>
              <w:jc w:val="center"/>
              <w:ind w:right="376"/>
              <w:spacing w:after="0"/>
              <w:rPr>
                <w:sz w:val="20"/>
                <w:szCs w:val="20"/>
                <w:color w:val="auto"/>
              </w:rPr>
            </w:pPr>
            <w:r>
              <w:rPr>
                <w:rFonts w:ascii="Arial" w:cs="Arial" w:eastAsia="Arial" w:hAnsi="Arial"/>
                <w:sz w:val="16"/>
                <w:szCs w:val="16"/>
                <w:i w:val="1"/>
                <w:iCs w:val="1"/>
                <w:color w:val="auto"/>
                <w:w w:val="95"/>
              </w:rPr>
              <w:t>(State or other jurisdiction</w:t>
            </w:r>
          </w:p>
        </w:tc>
        <w:tc>
          <w:tcPr>
            <w:tcW w:w="5220" w:type="dxa"/>
            <w:vAlign w:val="bottom"/>
            <w:gridSpan w:val="2"/>
          </w:tcPr>
          <w:p>
            <w:pPr>
              <w:ind w:left="1940"/>
              <w:spacing w:after="0"/>
              <w:rPr>
                <w:sz w:val="20"/>
                <w:szCs w:val="20"/>
                <w:color w:val="auto"/>
              </w:rPr>
            </w:pPr>
            <w:r>
              <w:rPr>
                <w:rFonts w:ascii="Arial" w:cs="Arial" w:eastAsia="Arial" w:hAnsi="Arial"/>
                <w:sz w:val="16"/>
                <w:szCs w:val="16"/>
                <w:i w:val="1"/>
                <w:iCs w:val="1"/>
                <w:color w:val="auto"/>
              </w:rPr>
              <w:t>(Commission</w:t>
            </w:r>
          </w:p>
        </w:tc>
        <w:tc>
          <w:tcPr>
            <w:tcW w:w="1440" w:type="dxa"/>
            <w:vAlign w:val="bottom"/>
          </w:tcPr>
          <w:p>
            <w:pPr>
              <w:ind w:left="360"/>
              <w:spacing w:after="0"/>
              <w:rPr>
                <w:sz w:val="20"/>
                <w:szCs w:val="20"/>
                <w:color w:val="auto"/>
              </w:rPr>
            </w:pPr>
            <w:r>
              <w:rPr>
                <w:rFonts w:ascii="Arial" w:cs="Arial" w:eastAsia="Arial" w:hAnsi="Arial"/>
                <w:sz w:val="16"/>
                <w:szCs w:val="16"/>
                <w:i w:val="1"/>
                <w:iCs w:val="1"/>
                <w:color w:val="auto"/>
              </w:rPr>
              <w:t>(IRS Employer</w:t>
            </w:r>
          </w:p>
        </w:tc>
      </w:tr>
      <w:tr>
        <w:trPr>
          <w:trHeight w:val="206"/>
        </w:trPr>
        <w:tc>
          <w:tcPr>
            <w:tcW w:w="2200" w:type="dxa"/>
            <w:vAlign w:val="bottom"/>
          </w:tcPr>
          <w:p>
            <w:pPr>
              <w:jc w:val="center"/>
              <w:ind w:right="356"/>
              <w:spacing w:after="0"/>
              <w:rPr>
                <w:sz w:val="20"/>
                <w:szCs w:val="20"/>
                <w:color w:val="auto"/>
              </w:rPr>
            </w:pPr>
            <w:r>
              <w:rPr>
                <w:rFonts w:ascii="Arial" w:cs="Arial" w:eastAsia="Arial" w:hAnsi="Arial"/>
                <w:sz w:val="16"/>
                <w:szCs w:val="16"/>
                <w:i w:val="1"/>
                <w:iCs w:val="1"/>
                <w:color w:val="auto"/>
                <w:w w:val="96"/>
              </w:rPr>
              <w:t>of incorporation)</w:t>
            </w:r>
          </w:p>
        </w:tc>
        <w:tc>
          <w:tcPr>
            <w:tcW w:w="5220" w:type="dxa"/>
            <w:vAlign w:val="bottom"/>
            <w:gridSpan w:val="2"/>
          </w:tcPr>
          <w:p>
            <w:pPr>
              <w:ind w:left="1940"/>
              <w:spacing w:after="0"/>
              <w:rPr>
                <w:sz w:val="20"/>
                <w:szCs w:val="20"/>
                <w:color w:val="auto"/>
              </w:rPr>
            </w:pPr>
            <w:r>
              <w:rPr>
                <w:rFonts w:ascii="Arial" w:cs="Arial" w:eastAsia="Arial" w:hAnsi="Arial"/>
                <w:sz w:val="16"/>
                <w:szCs w:val="16"/>
                <w:i w:val="1"/>
                <w:iCs w:val="1"/>
                <w:color w:val="auto"/>
              </w:rPr>
              <w:t>File Number)</w:t>
            </w:r>
          </w:p>
        </w:tc>
        <w:tc>
          <w:tcPr>
            <w:tcW w:w="1440" w:type="dxa"/>
            <w:vAlign w:val="bottom"/>
          </w:tcPr>
          <w:p>
            <w:pPr>
              <w:ind w:left="240"/>
              <w:spacing w:after="0"/>
              <w:rPr>
                <w:sz w:val="20"/>
                <w:szCs w:val="20"/>
                <w:color w:val="auto"/>
              </w:rPr>
            </w:pPr>
            <w:r>
              <w:rPr>
                <w:rFonts w:ascii="Arial" w:cs="Arial" w:eastAsia="Arial" w:hAnsi="Arial"/>
                <w:sz w:val="16"/>
                <w:szCs w:val="16"/>
                <w:i w:val="1"/>
                <w:iCs w:val="1"/>
                <w:color w:val="auto"/>
                <w:w w:val="94"/>
              </w:rPr>
              <w:t>Identification No.)</w:t>
            </w:r>
          </w:p>
        </w:tc>
      </w:tr>
      <w:tr>
        <w:trPr>
          <w:trHeight w:val="235"/>
        </w:trPr>
        <w:tc>
          <w:tcPr>
            <w:tcW w:w="2200" w:type="dxa"/>
            <w:vAlign w:val="bottom"/>
          </w:tcPr>
          <w:p>
            <w:pPr>
              <w:spacing w:after="0"/>
              <w:rPr>
                <w:sz w:val="20"/>
                <w:szCs w:val="20"/>
                <w:color w:val="auto"/>
              </w:rPr>
            </w:pPr>
          </w:p>
        </w:tc>
        <w:tc>
          <w:tcPr>
            <w:tcW w:w="5220" w:type="dxa"/>
            <w:vAlign w:val="bottom"/>
            <w:gridSpan w:val="2"/>
          </w:tcPr>
          <w:p>
            <w:pPr>
              <w:jc w:val="center"/>
              <w:ind w:right="620"/>
              <w:spacing w:after="0"/>
              <w:rPr>
                <w:sz w:val="20"/>
                <w:szCs w:val="20"/>
                <w:color w:val="auto"/>
              </w:rPr>
            </w:pPr>
            <w:r>
              <w:rPr>
                <w:rFonts w:ascii="Arial" w:cs="Arial" w:eastAsia="Arial" w:hAnsi="Arial"/>
                <w:sz w:val="18"/>
                <w:szCs w:val="18"/>
                <w:color w:val="auto"/>
                <w:w w:val="90"/>
              </w:rPr>
              <w:t>3040 Post Oak Boulevard, Suite 300</w:t>
            </w:r>
          </w:p>
        </w:tc>
        <w:tc>
          <w:tcPr>
            <w:tcW w:w="1440" w:type="dxa"/>
            <w:vAlign w:val="bottom"/>
          </w:tcPr>
          <w:p>
            <w:pPr>
              <w:spacing w:after="0"/>
              <w:rPr>
                <w:sz w:val="20"/>
                <w:szCs w:val="20"/>
                <w:color w:val="auto"/>
              </w:rPr>
            </w:pPr>
          </w:p>
        </w:tc>
      </w:tr>
      <w:tr>
        <w:trPr>
          <w:trHeight w:val="216"/>
        </w:trPr>
        <w:tc>
          <w:tcPr>
            <w:tcW w:w="2200" w:type="dxa"/>
            <w:vAlign w:val="bottom"/>
          </w:tcPr>
          <w:p>
            <w:pPr>
              <w:spacing w:after="0"/>
              <w:rPr>
                <w:sz w:val="18"/>
                <w:szCs w:val="18"/>
                <w:color w:val="auto"/>
              </w:rPr>
            </w:pPr>
          </w:p>
        </w:tc>
        <w:tc>
          <w:tcPr>
            <w:tcW w:w="5220" w:type="dxa"/>
            <w:vAlign w:val="bottom"/>
            <w:gridSpan w:val="2"/>
          </w:tcPr>
          <w:p>
            <w:pPr>
              <w:jc w:val="center"/>
              <w:ind w:right="620"/>
              <w:spacing w:after="0"/>
              <w:rPr>
                <w:sz w:val="20"/>
                <w:szCs w:val="20"/>
                <w:color w:val="auto"/>
              </w:rPr>
            </w:pPr>
            <w:r>
              <w:rPr>
                <w:rFonts w:ascii="Arial" w:cs="Arial" w:eastAsia="Arial" w:hAnsi="Arial"/>
                <w:sz w:val="18"/>
                <w:szCs w:val="18"/>
                <w:color w:val="auto"/>
                <w:w w:val="88"/>
              </w:rPr>
              <w:t>Houston, Texas 77056</w:t>
            </w:r>
          </w:p>
        </w:tc>
        <w:tc>
          <w:tcPr>
            <w:tcW w:w="1440" w:type="dxa"/>
            <w:vAlign w:val="bottom"/>
          </w:tcPr>
          <w:p>
            <w:pPr>
              <w:spacing w:after="0"/>
              <w:rPr>
                <w:sz w:val="18"/>
                <w:szCs w:val="18"/>
                <w:color w:val="auto"/>
              </w:rPr>
            </w:pPr>
          </w:p>
        </w:tc>
      </w:tr>
      <w:tr>
        <w:trPr>
          <w:trHeight w:val="230"/>
        </w:trPr>
        <w:tc>
          <w:tcPr>
            <w:tcW w:w="2200" w:type="dxa"/>
            <w:vAlign w:val="bottom"/>
          </w:tcPr>
          <w:p>
            <w:pPr>
              <w:spacing w:after="0"/>
              <w:rPr>
                <w:sz w:val="20"/>
                <w:szCs w:val="20"/>
                <w:color w:val="auto"/>
              </w:rPr>
            </w:pPr>
          </w:p>
        </w:tc>
        <w:tc>
          <w:tcPr>
            <w:tcW w:w="5220" w:type="dxa"/>
            <w:vAlign w:val="bottom"/>
            <w:gridSpan w:val="2"/>
          </w:tcPr>
          <w:p>
            <w:pPr>
              <w:jc w:val="center"/>
              <w:ind w:right="600"/>
              <w:spacing w:after="0"/>
              <w:rPr>
                <w:sz w:val="20"/>
                <w:szCs w:val="20"/>
                <w:color w:val="auto"/>
              </w:rPr>
            </w:pPr>
            <w:r>
              <w:rPr>
                <w:rFonts w:ascii="Arial" w:cs="Arial" w:eastAsia="Arial" w:hAnsi="Arial"/>
                <w:sz w:val="18"/>
                <w:szCs w:val="18"/>
                <w:i w:val="1"/>
                <w:iCs w:val="1"/>
                <w:color w:val="auto"/>
                <w:w w:val="91"/>
              </w:rPr>
              <w:t>(Address, including zip code, of principal executive offices)</w:t>
            </w:r>
          </w:p>
        </w:tc>
        <w:tc>
          <w:tcPr>
            <w:tcW w:w="1440" w:type="dxa"/>
            <w:vAlign w:val="bottom"/>
          </w:tcPr>
          <w:p>
            <w:pPr>
              <w:spacing w:after="0"/>
              <w:rPr>
                <w:sz w:val="20"/>
                <w:szCs w:val="20"/>
                <w:color w:val="auto"/>
              </w:rPr>
            </w:pPr>
          </w:p>
        </w:tc>
      </w:tr>
      <w:tr>
        <w:trPr>
          <w:trHeight w:val="418"/>
        </w:trPr>
        <w:tc>
          <w:tcPr>
            <w:tcW w:w="2200" w:type="dxa"/>
            <w:vAlign w:val="bottom"/>
          </w:tcPr>
          <w:p>
            <w:pPr>
              <w:spacing w:after="0"/>
              <w:rPr>
                <w:sz w:val="24"/>
                <w:szCs w:val="24"/>
                <w:color w:val="auto"/>
              </w:rPr>
            </w:pPr>
          </w:p>
        </w:tc>
        <w:tc>
          <w:tcPr>
            <w:tcW w:w="5220" w:type="dxa"/>
            <w:vAlign w:val="bottom"/>
            <w:gridSpan w:val="2"/>
          </w:tcPr>
          <w:p>
            <w:pPr>
              <w:jc w:val="center"/>
              <w:ind w:right="620"/>
              <w:spacing w:after="0"/>
              <w:rPr>
                <w:sz w:val="20"/>
                <w:szCs w:val="20"/>
                <w:color w:val="auto"/>
              </w:rPr>
            </w:pPr>
            <w:r>
              <w:rPr>
                <w:rFonts w:ascii="Arial" w:cs="Arial" w:eastAsia="Arial" w:hAnsi="Arial"/>
                <w:sz w:val="18"/>
                <w:szCs w:val="18"/>
                <w:color w:val="auto"/>
                <w:w w:val="89"/>
              </w:rPr>
              <w:t>Registrant's telephone number, including area code:</w:t>
            </w:r>
          </w:p>
        </w:tc>
        <w:tc>
          <w:tcPr>
            <w:tcW w:w="1440" w:type="dxa"/>
            <w:vAlign w:val="bottom"/>
          </w:tcPr>
          <w:p>
            <w:pPr>
              <w:spacing w:after="0"/>
              <w:rPr>
                <w:sz w:val="24"/>
                <w:szCs w:val="24"/>
                <w:color w:val="auto"/>
              </w:rPr>
            </w:pPr>
          </w:p>
        </w:tc>
      </w:tr>
      <w:tr>
        <w:trPr>
          <w:trHeight w:val="230"/>
        </w:trPr>
        <w:tc>
          <w:tcPr>
            <w:tcW w:w="2200" w:type="dxa"/>
            <w:vAlign w:val="bottom"/>
          </w:tcPr>
          <w:p>
            <w:pPr>
              <w:spacing w:after="0"/>
              <w:rPr>
                <w:sz w:val="20"/>
                <w:szCs w:val="20"/>
                <w:color w:val="auto"/>
              </w:rPr>
            </w:pPr>
          </w:p>
        </w:tc>
        <w:tc>
          <w:tcPr>
            <w:tcW w:w="5220" w:type="dxa"/>
            <w:vAlign w:val="bottom"/>
            <w:gridSpan w:val="2"/>
          </w:tcPr>
          <w:p>
            <w:pPr>
              <w:jc w:val="right"/>
              <w:ind w:right="240"/>
              <w:spacing w:after="0"/>
              <w:rPr>
                <w:sz w:val="20"/>
                <w:szCs w:val="20"/>
                <w:color w:val="auto"/>
              </w:rPr>
            </w:pPr>
            <w:r>
              <w:rPr>
                <w:rFonts w:ascii="Arial" w:cs="Arial" w:eastAsia="Arial" w:hAnsi="Arial"/>
                <w:sz w:val="18"/>
                <w:szCs w:val="18"/>
                <w:color w:val="auto"/>
              </w:rPr>
              <w:t>(713) 332-8400</w:t>
            </w:r>
          </w:p>
        </w:tc>
        <w:tc>
          <w:tcPr>
            <w:tcW w:w="1440" w:type="dxa"/>
            <w:vAlign w:val="bottom"/>
          </w:tcPr>
          <w:p>
            <w:pPr>
              <w:spacing w:after="0"/>
              <w:rPr>
                <w:sz w:val="20"/>
                <w:szCs w:val="20"/>
                <w:color w:val="auto"/>
              </w:rPr>
            </w:pPr>
          </w:p>
        </w:tc>
      </w:tr>
      <w:tr>
        <w:trPr>
          <w:trHeight w:val="256"/>
        </w:trPr>
        <w:tc>
          <w:tcPr>
            <w:tcW w:w="2200" w:type="dxa"/>
            <w:vAlign w:val="bottom"/>
          </w:tcPr>
          <w:p>
            <w:pPr>
              <w:spacing w:after="0"/>
              <w:rPr>
                <w:sz w:val="22"/>
                <w:szCs w:val="22"/>
                <w:color w:val="auto"/>
              </w:rPr>
            </w:pPr>
          </w:p>
        </w:tc>
        <w:tc>
          <w:tcPr>
            <w:tcW w:w="492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440" w:type="dxa"/>
            <w:vAlign w:val="bottom"/>
          </w:tcPr>
          <w:p>
            <w:pPr>
              <w:spacing w:after="0"/>
              <w:rPr>
                <w:sz w:val="22"/>
                <w:szCs w:val="22"/>
                <w:color w:val="auto"/>
              </w:rPr>
            </w:pPr>
          </w:p>
        </w:tc>
      </w:tr>
    </w:tbl>
    <w:p>
      <w:pPr>
        <w:spacing w:after="0" w:line="364"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5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5280" w:type="dxa"/>
            <w:vAlign w:val="bottom"/>
            <w:tcBorders>
              <w:bottom w:val="single" w:sz="8" w:color="auto"/>
              <w:right w:val="single" w:sz="8" w:color="auto"/>
            </w:tcBorders>
          </w:tcPr>
          <w:p>
            <w:pPr>
              <w:spacing w:after="0"/>
              <w:rPr>
                <w:sz w:val="2"/>
                <w:szCs w:val="2"/>
                <w:color w:val="auto"/>
              </w:rPr>
            </w:pPr>
          </w:p>
        </w:tc>
      </w:tr>
      <w:tr>
        <w:trPr>
          <w:trHeight w:val="236"/>
        </w:trPr>
        <w:tc>
          <w:tcPr>
            <w:tcW w:w="3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$.01 per share</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CSV</w:t>
            </w:r>
          </w:p>
        </w:tc>
        <w:tc>
          <w:tcPr>
            <w:tcW w:w="5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52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652" w:right="319" w:bottom="1440" w:gutter="0" w:footer="0" w:header="0"/>
        </w:sectPr>
      </w:pPr>
    </w:p>
    <w:bookmarkStart w:id="1" w:name="page2"/>
    <w:bookmarkEnd w:id="1"/>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80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ectPr>
          <w:pgSz w:w="11900" w:h="16838" w:orient="portrait"/>
          <w:cols w:equalWidth="0" w:num="2">
            <w:col w:w="900" w:space="720"/>
            <w:col w:w="9640"/>
          </w:cols>
          <w:pgMar w:left="320" w:top="715" w:right="319" w:bottom="1440" w:gutter="0" w:footer="0" w:header="0"/>
        </w:sectPr>
      </w:pPr>
    </w:p>
    <w:p>
      <w:pPr>
        <w:spacing w:after="0"/>
        <w:rPr>
          <w:sz w:val="20"/>
          <w:szCs w:val="20"/>
          <w:color w:val="auto"/>
        </w:rPr>
      </w:pPr>
      <w:r>
        <w:rPr>
          <w:rFonts w:ascii="Arial" w:cs="Arial" w:eastAsia="Arial" w:hAnsi="Arial"/>
          <w:sz w:val="18"/>
          <w:szCs w:val="18"/>
          <w:b w:val="1"/>
          <w:bCs w:val="1"/>
          <w:i w:val="1"/>
          <w:iCs w:val="1"/>
          <w:color w:val="auto"/>
        </w:rPr>
        <w:t>(b) Departure of Director and Executive Officer</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June 25, 2020, William W. Goetz informed Carriage Services, Inc. (the “</w:t>
      </w:r>
      <w:r>
        <w:rPr>
          <w:rFonts w:ascii="Arial" w:cs="Arial" w:eastAsia="Arial" w:hAnsi="Arial"/>
          <w:sz w:val="18"/>
          <w:szCs w:val="18"/>
          <w:u w:val="single" w:color="auto"/>
          <w:color w:val="auto"/>
        </w:rPr>
        <w:t>Company</w:t>
      </w:r>
      <w:r>
        <w:rPr>
          <w:rFonts w:ascii="Arial" w:cs="Arial" w:eastAsia="Arial" w:hAnsi="Arial"/>
          <w:sz w:val="18"/>
          <w:szCs w:val="18"/>
          <w:color w:val="auto"/>
        </w:rPr>
        <w:t>”) of his decision to resign as President and Chief Operating Officer of the Company, effective as of June 26, 2020. Mr. Goetz has further agreed to resign from his position as a director on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also effective as of June 26, 2020. The resignation was not the result of any disagreement Mr. Goetz had with the Company on any matter relating to the Company’s operations, policies, and practices.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Executive Compensation Arrangements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April 19, 2020, the Company initiated measures to address potential future challenges from the coronavirus pandemic. These measures included cost reduction efforts, including, among other things, a temporary reduction in the base salaries for the Company’s named executive officers (“</w:t>
      </w:r>
      <w:r>
        <w:rPr>
          <w:rFonts w:ascii="Arial" w:cs="Arial" w:eastAsia="Arial" w:hAnsi="Arial"/>
          <w:sz w:val="18"/>
          <w:szCs w:val="18"/>
          <w:u w:val="single" w:color="auto"/>
          <w:color w:val="auto"/>
        </w:rPr>
        <w:t>NEOs</w:t>
      </w:r>
      <w:r>
        <w:rPr>
          <w:rFonts w:ascii="Arial" w:cs="Arial" w:eastAsia="Arial" w:hAnsi="Arial"/>
          <w:sz w:val="18"/>
          <w:szCs w:val="18"/>
          <w:color w:val="auto"/>
        </w:rPr>
        <w:t>”), as outlined in the table below. The quarterly cash compensation fees for each independent member of the Board were also temporarily reduced by 15%. The Compensation Committee of the Board approved all temporary reductions in compensation.</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June 26, 2020, the Board voted to reinstate the 2020 annual base salaries for the NEOs, and cash compensation fees for the independent members of the Board, back to 100% due to the Company’s strong current performance. The reinstatement of 2020 annual base salaries and compensation fees is effective as of June 28, 2020.</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annual base salary reductions for the Company’s NEOs from April 19, 2020 through June 27, 2020 have been treated as a temporary pay cut, and the lost wages from that time period will not be paid.</w:t>
      </w: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840" w:type="dxa"/>
            <w:vAlign w:val="bottom"/>
            <w:tcBorders>
              <w:top w:val="single" w:sz="8" w:color="auto"/>
              <w:left w:val="single" w:sz="8" w:color="auto"/>
              <w:right w:val="single" w:sz="8" w:color="auto"/>
            </w:tcBorders>
          </w:tcPr>
          <w:p>
            <w:pPr>
              <w:spacing w:after="0"/>
              <w:rPr>
                <w:sz w:val="20"/>
                <w:szCs w:val="20"/>
                <w:color w:val="auto"/>
              </w:rPr>
            </w:pPr>
          </w:p>
        </w:tc>
        <w:tc>
          <w:tcPr>
            <w:tcW w:w="5620" w:type="dxa"/>
            <w:vAlign w:val="bottom"/>
            <w:tcBorders>
              <w:top w:val="single" w:sz="8" w:color="auto"/>
              <w:right w:val="single" w:sz="8" w:color="auto"/>
            </w:tcBorders>
          </w:tcPr>
          <w:p>
            <w:pPr>
              <w:spacing w:after="0"/>
              <w:rPr>
                <w:sz w:val="20"/>
                <w:szCs w:val="20"/>
                <w:color w:val="auto"/>
              </w:rPr>
            </w:pPr>
          </w:p>
        </w:tc>
        <w:tc>
          <w:tcPr>
            <w:tcW w:w="2000" w:type="dxa"/>
            <w:vAlign w:val="bottom"/>
            <w:tcBorders>
              <w:top w:val="single" w:sz="8" w:color="auto"/>
              <w:right w:val="single" w:sz="8" w:color="auto"/>
            </w:tcBorders>
          </w:tcPr>
          <w:p>
            <w:pPr>
              <w:spacing w:after="0"/>
              <w:rPr>
                <w:sz w:val="20"/>
                <w:szCs w:val="20"/>
                <w:color w:val="auto"/>
              </w:rPr>
            </w:pP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Reinstatement of</w:t>
            </w:r>
          </w:p>
        </w:tc>
        <w:tc>
          <w:tcPr>
            <w:tcW w:w="0" w:type="dxa"/>
            <w:vAlign w:val="bottom"/>
          </w:tcPr>
          <w:p>
            <w:pPr>
              <w:spacing w:after="0"/>
              <w:rPr>
                <w:sz w:val="1"/>
                <w:szCs w:val="1"/>
                <w:color w:val="auto"/>
              </w:rPr>
            </w:pPr>
          </w:p>
        </w:tc>
      </w:tr>
      <w:tr>
        <w:trPr>
          <w:trHeight w:val="216"/>
        </w:trPr>
        <w:tc>
          <w:tcPr>
            <w:tcW w:w="1840" w:type="dxa"/>
            <w:vAlign w:val="bottom"/>
            <w:tcBorders>
              <w:left w:val="single" w:sz="8" w:color="auto"/>
              <w:right w:val="single" w:sz="8" w:color="auto"/>
            </w:tcBorders>
          </w:tcPr>
          <w:p>
            <w:pPr>
              <w:spacing w:after="0"/>
              <w:rPr>
                <w:sz w:val="18"/>
                <w:szCs w:val="18"/>
                <w:color w:val="auto"/>
              </w:rPr>
            </w:pPr>
          </w:p>
        </w:tc>
        <w:tc>
          <w:tcPr>
            <w:tcW w:w="5620" w:type="dxa"/>
            <w:vAlign w:val="bottom"/>
            <w:tcBorders>
              <w:right w:val="single" w:sz="8" w:color="auto"/>
            </w:tcBorders>
          </w:tcPr>
          <w:p>
            <w:pPr>
              <w:spacing w:after="0"/>
              <w:rPr>
                <w:sz w:val="18"/>
                <w:szCs w:val="18"/>
                <w:color w:val="auto"/>
              </w:rPr>
            </w:pP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Temporary Reduction of</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 Annual Base</w:t>
            </w:r>
          </w:p>
        </w:tc>
        <w:tc>
          <w:tcPr>
            <w:tcW w:w="0" w:type="dxa"/>
            <w:vAlign w:val="bottom"/>
          </w:tcPr>
          <w:p>
            <w:pPr>
              <w:spacing w:after="0"/>
              <w:rPr>
                <w:sz w:val="1"/>
                <w:szCs w:val="1"/>
                <w:color w:val="auto"/>
              </w:rPr>
            </w:pPr>
          </w:p>
        </w:tc>
      </w:tr>
      <w:tr>
        <w:trPr>
          <w:trHeight w:val="234"/>
        </w:trPr>
        <w:tc>
          <w:tcPr>
            <w:tcW w:w="1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Title</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Annual Base Salary</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Salary</w:t>
            </w:r>
          </w:p>
        </w:tc>
        <w:tc>
          <w:tcPr>
            <w:tcW w:w="0" w:type="dxa"/>
            <w:vAlign w:val="bottom"/>
          </w:tcPr>
          <w:p>
            <w:pPr>
              <w:spacing w:after="0"/>
              <w:rPr>
                <w:sz w:val="1"/>
                <w:szCs w:val="1"/>
                <w:color w:val="auto"/>
              </w:rPr>
            </w:pP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8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Melvin C. Payne</w:t>
            </w:r>
          </w:p>
        </w:tc>
        <w:tc>
          <w:tcPr>
            <w:tcW w:w="56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 of the Board and Chief Executive Officer</w:t>
            </w:r>
          </w:p>
        </w:tc>
        <w:tc>
          <w:tcPr>
            <w:tcW w:w="20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15%</w:t>
            </w:r>
          </w:p>
        </w:tc>
        <w:tc>
          <w:tcPr>
            <w:tcW w:w="1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$800,000</w:t>
            </w:r>
          </w:p>
        </w:tc>
        <w:tc>
          <w:tcPr>
            <w:tcW w:w="0" w:type="dxa"/>
            <w:vAlign w:val="bottom"/>
          </w:tcPr>
          <w:p>
            <w:pPr>
              <w:spacing w:after="0"/>
              <w:rPr>
                <w:sz w:val="1"/>
                <w:szCs w:val="1"/>
                <w:color w:val="auto"/>
              </w:rPr>
            </w:pPr>
          </w:p>
        </w:tc>
      </w:tr>
      <w:tr>
        <w:trPr>
          <w:trHeight w:val="237"/>
        </w:trPr>
        <w:tc>
          <w:tcPr>
            <w:tcW w:w="1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 Benjamin Brink</w:t>
            </w:r>
          </w:p>
        </w:tc>
        <w:tc>
          <w:tcPr>
            <w:tcW w:w="5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Senior Vice President, Chief Financial Officer and Treasurer</w:t>
            </w: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7.5%</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$320,000</w:t>
            </w:r>
          </w:p>
        </w:tc>
        <w:tc>
          <w:tcPr>
            <w:tcW w:w="0" w:type="dxa"/>
            <w:vAlign w:val="bottom"/>
          </w:tcPr>
          <w:p>
            <w:pPr>
              <w:spacing w:after="0"/>
              <w:rPr>
                <w:sz w:val="1"/>
                <w:szCs w:val="1"/>
                <w:color w:val="auto"/>
              </w:rPr>
            </w:pP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84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Viki K. Blinderman</w:t>
            </w:r>
          </w:p>
        </w:tc>
        <w:tc>
          <w:tcPr>
            <w:tcW w:w="562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 Chief Accounting Officer and Secretary</w:t>
            </w:r>
          </w:p>
        </w:tc>
        <w:tc>
          <w:tcPr>
            <w:tcW w:w="20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7.5%</w:t>
            </w:r>
          </w:p>
        </w:tc>
        <w:tc>
          <w:tcPr>
            <w:tcW w:w="1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$320,000</w:t>
            </w:r>
          </w:p>
        </w:tc>
        <w:tc>
          <w:tcPr>
            <w:tcW w:w="0" w:type="dxa"/>
            <w:vAlign w:val="bottom"/>
          </w:tcPr>
          <w:p>
            <w:pPr>
              <w:spacing w:after="0"/>
              <w:rPr>
                <w:sz w:val="1"/>
                <w:szCs w:val="1"/>
                <w:color w:val="auto"/>
              </w:rPr>
            </w:pPr>
          </w:p>
        </w:tc>
      </w:tr>
      <w:tr>
        <w:trPr>
          <w:trHeight w:val="237"/>
        </w:trPr>
        <w:tc>
          <w:tcPr>
            <w:tcW w:w="1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Paul D. Elliott</w:t>
            </w:r>
          </w:p>
        </w:tc>
        <w:tc>
          <w:tcPr>
            <w:tcW w:w="5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Senior Vice President and Regional Partner</w:t>
            </w: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7.5%</w:t>
            </w:r>
          </w:p>
        </w:tc>
        <w:tc>
          <w:tcPr>
            <w:tcW w:w="1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$320,000</w:t>
            </w:r>
          </w:p>
        </w:tc>
        <w:tc>
          <w:tcPr>
            <w:tcW w:w="0" w:type="dxa"/>
            <w:vAlign w:val="bottom"/>
          </w:tcPr>
          <w:p>
            <w:pPr>
              <w:spacing w:after="0"/>
              <w:rPr>
                <w:sz w:val="1"/>
                <w:szCs w:val="1"/>
                <w:color w:val="auto"/>
              </w:rPr>
            </w:pP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84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Arial" w:cs="Arial" w:eastAsia="Arial" w:hAnsi="Arial"/>
                <w:sz w:val="18"/>
                <w:szCs w:val="18"/>
                <w:color w:val="auto"/>
              </w:rPr>
              <w:t>Shawn R. Phillips</w:t>
            </w:r>
          </w:p>
        </w:tc>
        <w:tc>
          <w:tcPr>
            <w:tcW w:w="562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0"/>
              </w:rPr>
              <w:t>Senior Vice President, Regional Partner and Head of Strategic and Corporate</w:t>
            </w:r>
          </w:p>
        </w:tc>
        <w:tc>
          <w:tcPr>
            <w:tcW w:w="2000" w:type="dxa"/>
            <w:vAlign w:val="bottom"/>
            <w:tcBorders>
              <w:right w:val="single" w:sz="8" w:color="auto"/>
            </w:tcBorders>
            <w:shd w:val="clear" w:color="auto" w:fill="CCEEFF"/>
          </w:tcPr>
          <w:p>
            <w:pPr>
              <w:spacing w:after="0"/>
              <w:rPr>
                <w:sz w:val="19"/>
                <w:szCs w:val="19"/>
                <w:color w:val="auto"/>
              </w:rPr>
            </w:pPr>
          </w:p>
        </w:tc>
        <w:tc>
          <w:tcPr>
            <w:tcW w:w="18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1840" w:type="dxa"/>
            <w:vAlign w:val="bottom"/>
            <w:tcBorders>
              <w:left w:val="single" w:sz="8" w:color="auto"/>
              <w:right w:val="single" w:sz="8" w:color="auto"/>
            </w:tcBorders>
            <w:vMerge w:val="continue"/>
            <w:shd w:val="clear" w:color="auto" w:fill="CCEEFF"/>
          </w:tcPr>
          <w:p>
            <w:pPr>
              <w:spacing w:after="0"/>
              <w:rPr>
                <w:sz w:val="10"/>
                <w:szCs w:val="10"/>
                <w:color w:val="auto"/>
              </w:rPr>
            </w:pPr>
          </w:p>
        </w:tc>
        <w:tc>
          <w:tcPr>
            <w:tcW w:w="562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20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7.5%</w:t>
            </w:r>
          </w:p>
        </w:tc>
        <w:tc>
          <w:tcPr>
            <w:tcW w:w="18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$320,000</w:t>
            </w:r>
          </w:p>
        </w:tc>
        <w:tc>
          <w:tcPr>
            <w:tcW w:w="0" w:type="dxa"/>
            <w:vAlign w:val="bottom"/>
          </w:tcPr>
          <w:p>
            <w:pPr>
              <w:spacing w:after="0"/>
              <w:rPr>
                <w:sz w:val="1"/>
                <w:szCs w:val="1"/>
                <w:color w:val="auto"/>
              </w:rPr>
            </w:pPr>
          </w:p>
        </w:tc>
      </w:tr>
      <w:tr>
        <w:trPr>
          <w:trHeight w:val="115"/>
        </w:trPr>
        <w:tc>
          <w:tcPr>
            <w:tcW w:w="1840" w:type="dxa"/>
            <w:vAlign w:val="bottom"/>
            <w:tcBorders>
              <w:left w:val="single" w:sz="8" w:color="auto"/>
              <w:bottom w:val="single" w:sz="8" w:color="CCEEFF"/>
              <w:right w:val="single" w:sz="8" w:color="auto"/>
            </w:tcBorders>
            <w:shd w:val="clear" w:color="auto" w:fill="CCEEFF"/>
          </w:tcPr>
          <w:p>
            <w:pPr>
              <w:spacing w:after="0"/>
              <w:rPr>
                <w:sz w:val="10"/>
                <w:szCs w:val="10"/>
                <w:color w:val="auto"/>
              </w:rPr>
            </w:pPr>
          </w:p>
        </w:tc>
        <w:tc>
          <w:tcPr>
            <w:tcW w:w="5620" w:type="dxa"/>
            <w:vAlign w:val="bottom"/>
            <w:tcBorders>
              <w:bottom w:val="single" w:sz="8" w:color="CCEEFF"/>
              <w:right w:val="single" w:sz="8" w:color="auto"/>
            </w:tcBorders>
            <w:vMerge w:val="continue"/>
            <w:shd w:val="clear" w:color="auto" w:fill="CCEEFF"/>
          </w:tcPr>
          <w:p>
            <w:pPr>
              <w:spacing w:after="0"/>
              <w:rPr>
                <w:sz w:val="10"/>
                <w:szCs w:val="10"/>
                <w:color w:val="auto"/>
              </w:rPr>
            </w:pPr>
          </w:p>
        </w:tc>
        <w:tc>
          <w:tcPr>
            <w:tcW w:w="2000" w:type="dxa"/>
            <w:vAlign w:val="bottom"/>
            <w:tcBorders>
              <w:bottom w:val="single" w:sz="8" w:color="CCEEFF"/>
              <w:right w:val="single" w:sz="8" w:color="auto"/>
            </w:tcBorders>
            <w:vMerge w:val="continue"/>
            <w:shd w:val="clear" w:color="auto" w:fill="CCEEFF"/>
          </w:tcPr>
          <w:p>
            <w:pPr>
              <w:spacing w:after="0"/>
              <w:rPr>
                <w:sz w:val="10"/>
                <w:szCs w:val="10"/>
                <w:color w:val="auto"/>
              </w:rPr>
            </w:pPr>
          </w:p>
        </w:tc>
        <w:tc>
          <w:tcPr>
            <w:tcW w:w="1800" w:type="dxa"/>
            <w:vAlign w:val="bottom"/>
            <w:tcBorders>
              <w:bottom w:val="single" w:sz="8" w:color="CCEEFF"/>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620" w:type="dxa"/>
            <w:vAlign w:val="bottom"/>
            <w:tcBorders>
              <w:right w:val="single" w:sz="8" w:color="auto"/>
            </w:tcBorders>
            <w:shd w:val="clear" w:color="auto" w:fill="000000"/>
          </w:tcPr>
          <w:p>
            <w:pPr>
              <w:spacing w:after="0" w:line="20" w:lineRule="exact"/>
              <w:rPr>
                <w:sz w:val="1"/>
                <w:szCs w:val="1"/>
                <w:color w:val="auto"/>
              </w:rPr>
            </w:pPr>
          </w:p>
        </w:tc>
        <w:tc>
          <w:tcPr>
            <w:tcW w:w="2000" w:type="dxa"/>
            <w:vAlign w:val="bottom"/>
            <w:tcBorders>
              <w:right w:val="single" w:sz="8" w:color="auto"/>
            </w:tcBorders>
            <w:shd w:val="clear" w:color="auto" w:fill="000000"/>
          </w:tcPr>
          <w:p>
            <w:pPr>
              <w:spacing w:after="0" w:line="20" w:lineRule="exact"/>
              <w:rPr>
                <w:sz w:val="1"/>
                <w:szCs w:val="1"/>
                <w:color w:val="auto"/>
              </w:rPr>
            </w:pPr>
          </w:p>
        </w:tc>
        <w:tc>
          <w:tcPr>
            <w:tcW w:w="18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Carriage Services, Inc. has duly caused this report to be signed on its behalf by the undersigned hereunto duly authorized.</w:t>
      </w:r>
    </w:p>
    <w:p>
      <w:pPr>
        <w:spacing w:after="0" w:line="278"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CARRIAGE SERVICES, INC.</w:t>
      </w:r>
    </w:p>
    <w:p>
      <w:pPr>
        <w:spacing w:after="0" w:line="387" w:lineRule="exact"/>
        <w:rPr>
          <w:sz w:val="20"/>
          <w:szCs w:val="20"/>
          <w:color w:val="auto"/>
        </w:rPr>
      </w:pPr>
    </w:p>
    <w:p>
      <w:pPr>
        <w:ind w:left="60"/>
        <w:spacing w:after="0"/>
        <w:tabs>
          <w:tab w:leader="none" w:pos="4080" w:val="left"/>
          <w:tab w:leader="none" w:pos="4860" w:val="left"/>
        </w:tabs>
        <w:rPr>
          <w:sz w:val="20"/>
          <w:szCs w:val="20"/>
          <w:color w:val="auto"/>
        </w:rPr>
      </w:pPr>
      <w:r>
        <w:rPr>
          <w:rFonts w:ascii="Arial" w:cs="Arial" w:eastAsia="Arial" w:hAnsi="Arial"/>
          <w:sz w:val="18"/>
          <w:szCs w:val="18"/>
          <w:color w:val="auto"/>
        </w:rPr>
        <w:t>Dated: June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Viki K. Blinderman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31750</wp:posOffset>
            </wp:positionV>
            <wp:extent cx="40373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5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Viki K. Blinderman</w:t>
      </w:r>
    </w:p>
    <w:p>
      <w:pPr>
        <w:spacing w:after="0" w:line="6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Senior Vice President, Chief Accounting Officer and Secretary</w:t>
      </w:r>
    </w:p>
    <w:p>
      <w:pPr>
        <w:spacing w:after="0" w:line="6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60"/>
      </w:cols>
      <w:pgMar w:left="320" w:top="715"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2020-06-30T12:18:42Z</dcterms:created>
  <dcterms:modified xsi:type="dcterms:W3CDTF">2020-06-30T12:18:42Z</dcterms:modified>
</cp:coreProperties>
</file>