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1040" w:right="5240" w:hanging="613"/>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12" w:lineRule="exact"/>
        <w:rPr>
          <w:sz w:val="24"/>
          <w:szCs w:val="24"/>
          <w:color w:val="auto"/>
        </w:rPr>
      </w:pPr>
    </w:p>
    <w:p>
      <w:pPr>
        <w:ind w:left="1040" w:right="4980" w:hanging="573"/>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50165</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CARRIAGE SERVICES,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458" w:gutter="0" w:footer="0" w:header="0"/>
        </w:sectPr>
      </w:pPr>
    </w:p>
    <w:p>
      <w:pPr>
        <w:spacing w:after="0" w:line="205" w:lineRule="exact"/>
        <w:rPr>
          <w:sz w:val="24"/>
          <w:szCs w:val="24"/>
          <w:color w:val="auto"/>
        </w:rPr>
      </w:pPr>
    </w:p>
    <w:p>
      <w:pPr>
        <w:jc w:val="center"/>
        <w:ind w:left="16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incorporation or organization)</w:t>
      </w:r>
    </w:p>
    <w:p>
      <w:pPr>
        <w:spacing w:after="0" w:line="243" w:lineRule="exact"/>
        <w:rPr>
          <w:sz w:val="24"/>
          <w:szCs w:val="24"/>
          <w:color w:val="auto"/>
        </w:rPr>
      </w:pPr>
    </w:p>
    <w:p>
      <w:pPr>
        <w:ind w:left="2460" w:right="400" w:hanging="375"/>
        <w:spacing w:after="0" w:line="239" w:lineRule="auto"/>
        <w:rPr>
          <w:sz w:val="20"/>
          <w:szCs w:val="20"/>
          <w:color w:val="auto"/>
        </w:rPr>
      </w:pPr>
      <w:r>
        <w:rPr>
          <w:rFonts w:ascii="Arial" w:cs="Arial" w:eastAsia="Arial" w:hAnsi="Arial"/>
          <w:sz w:val="16"/>
          <w:szCs w:val="16"/>
          <w:b w:val="1"/>
          <w:bCs w:val="1"/>
          <w:color w:val="auto"/>
        </w:rPr>
        <w:t>1900 Saint James Place, 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 Houston, TX </w:t>
      </w: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76-0423828</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79"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77056</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8"/>
          <w:szCs w:val="18"/>
          <w:color w:val="auto"/>
        </w:rPr>
        <w:t>(Zip Code)</w:t>
      </w:r>
    </w:p>
    <w:p>
      <w:pPr>
        <w:spacing w:after="0" w:line="248" w:lineRule="exact"/>
        <w:rPr>
          <w:sz w:val="24"/>
          <w:szCs w:val="24"/>
          <w:color w:val="auto"/>
        </w:rPr>
      </w:pPr>
    </w:p>
    <w:p>
      <w:pPr>
        <w:sectPr>
          <w:pgSz w:w="11900" w:h="16838" w:orient="portrait"/>
          <w:cols w:equalWidth="0" w:num="2">
            <w:col w:w="6020" w:space="720"/>
            <w:col w:w="4680"/>
          </w:cols>
          <w:pgMar w:left="240" w:top="469" w:right="239" w:bottom="458" w:gutter="0" w:footer="0" w:header="0"/>
          <w:type w:val="continuous"/>
        </w:sectPr>
      </w:pP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332-8400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2100" w:type="dxa"/>
        <w:tblCellMar>
          <w:top w:w="0" w:type="dxa"/>
          <w:left w:w="0" w:type="dxa"/>
          <w:bottom w:w="0" w:type="dxa"/>
          <w:right w:w="0" w:type="dxa"/>
        </w:tblCellMar>
      </w:tblPr>
      <w:tr>
        <w:trPr>
          <w:trHeight w:val="216"/>
        </w:trPr>
        <w:tc>
          <w:tcPr>
            <w:tcW w:w="3700" w:type="dxa"/>
            <w:vAlign w:val="bottom"/>
          </w:tcPr>
          <w:p>
            <w:pPr>
              <w:jc w:val="center"/>
              <w:ind w:right="512"/>
              <w:spacing w:after="0"/>
              <w:rPr>
                <w:sz w:val="20"/>
                <w:szCs w:val="20"/>
                <w:color w:val="auto"/>
              </w:rPr>
            </w:pPr>
            <w:r>
              <w:rPr>
                <w:rFonts w:ascii="Arial" w:cs="Arial" w:eastAsia="Arial" w:hAnsi="Arial"/>
                <w:sz w:val="18"/>
                <w:szCs w:val="18"/>
                <w:b w:val="1"/>
                <w:bCs w:val="1"/>
                <w:color w:val="auto"/>
                <w:w w:val="88"/>
              </w:rPr>
              <w:t>Common Stock, $.01 Par Value</w:t>
            </w:r>
          </w:p>
        </w:tc>
        <w:tc>
          <w:tcPr>
            <w:tcW w:w="3460" w:type="dxa"/>
            <w:vAlign w:val="bottom"/>
          </w:tcPr>
          <w:p>
            <w:pPr>
              <w:jc w:val="center"/>
              <w:ind w:left="492"/>
              <w:spacing w:after="0"/>
              <w:rPr>
                <w:sz w:val="20"/>
                <w:szCs w:val="20"/>
                <w:color w:val="auto"/>
              </w:rPr>
            </w:pPr>
            <w:r>
              <w:rPr>
                <w:rFonts w:ascii="Arial" w:cs="Arial" w:eastAsia="Arial" w:hAnsi="Arial"/>
                <w:sz w:val="18"/>
                <w:szCs w:val="18"/>
                <w:b w:val="1"/>
                <w:bCs w:val="1"/>
                <w:color w:val="auto"/>
                <w:w w:val="88"/>
              </w:rPr>
              <w:t>New York Stock Exchange</w:t>
            </w:r>
          </w:p>
        </w:tc>
      </w:tr>
      <w:tr>
        <w:trPr>
          <w:trHeight w:val="222"/>
        </w:trPr>
        <w:tc>
          <w:tcPr>
            <w:tcW w:w="3700" w:type="dxa"/>
            <w:vAlign w:val="bottom"/>
          </w:tcPr>
          <w:p>
            <w:pPr>
              <w:jc w:val="center"/>
              <w:ind w:right="492"/>
              <w:spacing w:after="0"/>
              <w:rPr>
                <w:sz w:val="20"/>
                <w:szCs w:val="20"/>
                <w:color w:val="auto"/>
              </w:rPr>
            </w:pPr>
            <w:r>
              <w:rPr>
                <w:rFonts w:ascii="Arial" w:cs="Arial" w:eastAsia="Arial" w:hAnsi="Arial"/>
                <w:sz w:val="18"/>
                <w:szCs w:val="18"/>
                <w:b w:val="1"/>
                <w:bCs w:val="1"/>
                <w:color w:val="auto"/>
                <w:w w:val="86"/>
              </w:rPr>
              <w:t>Series G Preferred Stock Purchase Rights</w:t>
            </w:r>
          </w:p>
        </w:tc>
        <w:tc>
          <w:tcPr>
            <w:tcW w:w="3460" w:type="dxa"/>
            <w:vAlign w:val="bottom"/>
          </w:tcPr>
          <w:p>
            <w:pPr>
              <w:jc w:val="center"/>
              <w:ind w:left="492"/>
              <w:spacing w:after="0"/>
              <w:rPr>
                <w:sz w:val="20"/>
                <w:szCs w:val="20"/>
                <w:color w:val="auto"/>
              </w:rPr>
            </w:pPr>
            <w:r>
              <w:rPr>
                <w:rFonts w:ascii="Arial" w:cs="Arial" w:eastAsia="Arial" w:hAnsi="Arial"/>
                <w:sz w:val="18"/>
                <w:szCs w:val="18"/>
                <w:b w:val="1"/>
                <w:bCs w:val="1"/>
                <w:color w:val="auto"/>
                <w:w w:val="88"/>
              </w:rPr>
              <w:t>New York Stock Exchange</w:t>
            </w:r>
          </w:p>
        </w:tc>
      </w:tr>
      <w:tr>
        <w:trPr>
          <w:trHeight w:val="222"/>
        </w:trPr>
        <w:tc>
          <w:tcPr>
            <w:tcW w:w="3700" w:type="dxa"/>
            <w:vAlign w:val="bottom"/>
          </w:tcPr>
          <w:p>
            <w:pPr>
              <w:jc w:val="center"/>
              <w:ind w:right="512"/>
              <w:spacing w:after="0"/>
              <w:rPr>
                <w:sz w:val="20"/>
                <w:szCs w:val="20"/>
                <w:color w:val="auto"/>
              </w:rPr>
            </w:pPr>
            <w:r>
              <w:rPr>
                <w:rFonts w:ascii="Arial" w:cs="Arial" w:eastAsia="Arial" w:hAnsi="Arial"/>
                <w:sz w:val="18"/>
                <w:szCs w:val="18"/>
                <w:color w:val="auto"/>
                <w:w w:val="91"/>
              </w:rPr>
              <w:t>(Title Of Class)</w:t>
            </w:r>
          </w:p>
        </w:tc>
        <w:tc>
          <w:tcPr>
            <w:tcW w:w="3460" w:type="dxa"/>
            <w:vAlign w:val="bottom"/>
          </w:tcPr>
          <w:p>
            <w:pPr>
              <w:jc w:val="center"/>
              <w:ind w:left="492"/>
              <w:spacing w:after="0"/>
              <w:rPr>
                <w:sz w:val="20"/>
                <w:szCs w:val="20"/>
                <w:color w:val="auto"/>
              </w:rPr>
            </w:pPr>
            <w:r>
              <w:rPr>
                <w:rFonts w:ascii="Arial" w:cs="Arial" w:eastAsia="Arial" w:hAnsi="Arial"/>
                <w:sz w:val="18"/>
                <w:szCs w:val="18"/>
                <w:color w:val="auto"/>
                <w:w w:val="88"/>
              </w:rPr>
              <w:t>(Name of Exchange on which registered)</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125095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62" w:lineRule="exact"/>
        <w:rPr>
          <w:sz w:val="24"/>
          <w:szCs w:val="24"/>
          <w:color w:val="auto"/>
        </w:rPr>
      </w:pPr>
    </w:p>
    <w:p>
      <w:pPr>
        <w:ind w:left="360"/>
        <w:spacing w:after="0" w:line="184" w:lineRule="exact"/>
        <w:tabs>
          <w:tab w:leader="none" w:pos="103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4"/>
          <w:szCs w:val="24"/>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(affiliates being, for these purposes only, directors, executive officers and holders of more than 5% of Carriage's Common Stock) of the registrant as of June 28, 2002 was approximately $42 million based on the closing price of $4.30 per share on the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of the registrant's Common Stock, $.01 par value per share outstanding as of March 3, 2003 was 17,348,574.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Portions of the proxy statement in connection with the 2003 annual meeting of shareholders are incorporated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458"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Carriage Services, Inc. (the "Company" or "Carriage") is a leading provider of death care services and products in the United States. As of December 31, 2002, we operated 144 funeral homes and 30 cemeteries in 29 states. Carriage provides a complete range of funeral and cremation services including planning and coordinating personalized funerals, conducting memorial services, performing cemetery interment services and managing and maintaining cemetery properties. We sell products and merchandise including caskets, urns, burial vaults, garments, cemetery interment rights, and monuments and markers. We focus on distinguishing ourselves from our competitors by operating a people development company that emphasizes: (i) a consistent model to serve client families,</w:t>
      </w:r>
    </w:p>
    <w:p>
      <w:pPr>
        <w:spacing w:after="0" w:line="2" w:lineRule="exact"/>
        <w:rPr>
          <w:sz w:val="20"/>
          <w:szCs w:val="20"/>
          <w:color w:val="auto"/>
        </w:rPr>
      </w:pPr>
    </w:p>
    <w:p>
      <w:pPr>
        <w:ind w:right="140" w:firstLine="8"/>
        <w:spacing w:after="0" w:line="261"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employee training, (iii) accountability to customers and each other, and (iv) incentive compensation which shares the benefits of profitability with responsible employees.</w:t>
      </w:r>
    </w:p>
    <w:p>
      <w:pPr>
        <w:spacing w:after="0" w:line="192"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From 1996 to 1999, the Company grew rapidly as a result of a high level of acquisition activity. In 1999, the level of acquisition activity was sharply curtailed, growth slowed and Carriage focused on improving operating results. We initiated Fresh Start in 2000 to address the issues of rapid growth. Since then we have sold 32 funeral homes, 12 cemeteries and 11 parcels of excess real estate for approximately $18 million of net proceeds. While this represents a decline of approximately 20% of the number of business locations, total revenues have only declined by approximately 5% and total gross margin has increased by 34% in comparing 2000 operations results to 2002 operating results. Fresh Start is now complete, and we have accomplished the majority of our Fresh Start goals. The benefits of the Fresh Start initiatives had a positive impact on our 2001 and 2002 operating results as diluted earnings per share were $.51 and $1.16, respectively, cash flow from operations exceeded $27 million and $18 million, respectively, and debt and contingent acquisition obligations have been reduced from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$205 million in the fourth quarter of 2000 to $149 million at year-end 2002.</w:t>
      </w:r>
    </w:p>
    <w:p>
      <w:pPr>
        <w:spacing w:after="0" w:line="21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Though the Fresh Start initiatives have been well-executed during 2001 and 2002, we will continue to implement the elements of the plan in 2003 and beyond. We have turned to new leadership at substantially all levels in the Company to focus on operations and to reposition Carriage for future growth. Our focus is to increase operating cash flow and improve the profitability of each location through executing strategies that carry out our culture of service and leadership excellence. We will continue to improve our organizational leadership and quality of personnel. Additionally, we expect to divest additional businesses in the future, where those businesses are not meeting our expectations, and use the proceeds and cash flow from operations to reduce our debt.</w:t>
      </w:r>
    </w:p>
    <w:p>
      <w:pPr>
        <w:spacing w:after="0" w:line="171" w:lineRule="exact"/>
        <w:rPr>
          <w:sz w:val="20"/>
          <w:szCs w:val="20"/>
          <w:color w:val="auto"/>
        </w:rPr>
      </w:pPr>
    </w:p>
    <w:p>
      <w:pPr>
        <w:ind w:right="680" w:firstLine="351"/>
        <w:spacing w:after="0" w:line="212" w:lineRule="auto"/>
        <w:rPr>
          <w:sz w:val="20"/>
          <w:szCs w:val="20"/>
          <w:color w:val="auto"/>
        </w:rPr>
      </w:pPr>
      <w:r>
        <w:rPr>
          <w:rFonts w:ascii="Arial" w:cs="Arial" w:eastAsia="Arial" w:hAnsi="Arial"/>
          <w:sz w:val="18"/>
          <w:szCs w:val="18"/>
          <w:color w:val="auto"/>
        </w:rPr>
        <w:t>Carriage is incorporated in Delaware. Our principal executive office is located at 1900 Saint James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Houston, Texas 77056, and our telephone number is (713) 332-8400.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CARE INDUSTRY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Death care companies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The death care industry in the United States is characterized by the following fundamental attributes: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HIGHLY FRAGMENTED OWNERSHIP. </w:t>
      </w:r>
      <w:r>
        <w:rPr>
          <w:rFonts w:ascii="Arial" w:cs="Arial" w:eastAsia="Arial" w:hAnsi="Arial"/>
          <w:sz w:val="18"/>
          <w:szCs w:val="18"/>
          <w:color w:val="auto"/>
        </w:rPr>
        <w:t>A significant majority of death care operators consist of small, family-owned businesses that control one 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funeral homes or cemeteries in a single community. Management estimates that there are approximately 22,000 funeral homes and 10,000 cemeteries in the United States. Approximately 20% of the 2002 U.S. death care industry revenues are represented by Carriage and the three other larger publicly traded domestic death care companies.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i w:val="1"/>
          <w:iCs w:val="1"/>
          <w:color w:val="auto"/>
        </w:rPr>
        <w:t xml:space="preserve">BARRIERS TO ENTRY. </w:t>
      </w:r>
      <w:r>
        <w:rPr>
          <w:rFonts w:ascii="Arial" w:cs="Arial" w:eastAsia="Arial" w:hAnsi="Arial"/>
          <w:sz w:val="16"/>
          <w:szCs w:val="16"/>
          <w:color w:val="auto"/>
        </w:rPr>
        <w:t>Death care businesses have traditionally been transferred to successive generations within a family and in most cases have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a local heritage and tradition that act as a barrier for those wishing to enter an existing market. Heritage and tradition afford an established funeral home or cemetery a local franchise and provide the opportunity for repeat business. Other difficulties faced by entities desiring to enter a market include local zoning restrictions, substantial capital requirements, increasing regulatory burdens and scarcity of cemetery land in certain urban areas. In addition, established firms' backlog of preneed, prefunded funerals or presold cemetery and mausoleum spaces also makes it difficult for new entrants to gain entry into the marketplace. Since 1999, with many of the large death care consolidators restructuring their operating models, we have seen some barriers to entry lessened as new independent competitors have captured market share. We have also seen instances in which personnel have left the publicly traded death care companies to pursue the business as an independent because they perceive marketing and other advantages.</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LONG-TERM STABLE DEATH RATES. </w:t>
      </w:r>
      <w:r>
        <w:rPr>
          <w:rFonts w:ascii="Arial" w:cs="Arial" w:eastAsia="Arial" w:hAnsi="Arial"/>
          <w:sz w:val="16"/>
          <w:szCs w:val="16"/>
          <w:color w:val="auto"/>
        </w:rPr>
        <w:t>The death rates in the United States have been relatively stable on a long-term historical basis.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deaths in the United States has increased at a compounded rate of approximately 1% since 1980. However, statistics reported by the Center of Disease Control ("CDC") indicate that the number of deaths declined in both 2001 and 2002 by approximately 1% and 2%, respectively. While the number of deaths typically varies from year to year, industry studies indicate that major medical advances in treating heart, cancer and other major diseases that cause death are resulting in an increase of the the average age of the population. This trend is calling into question CDC forecasts of an increasing number of deaths each year. Nevertheless, long-term, stable death rates have resulted in a small number of individual funeral home business failures in the past. The aggregate number of funeral homes and cemeteries in the United States has remained relatively constant.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DELEVERAGING. </w:t>
      </w:r>
      <w:r>
        <w:rPr>
          <w:rFonts w:ascii="Arial" w:cs="Arial" w:eastAsia="Arial" w:hAnsi="Arial"/>
          <w:sz w:val="16"/>
          <w:szCs w:val="16"/>
          <w:color w:val="auto"/>
        </w:rPr>
        <w:t>Until 1999, the industry experienced a trend toward consolidation of independent death care operations with a few large,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owned death care providers that sought to benefit from economies of scale, improved managerial control and more effective strategic planning and greater financial resources. The trend resulted principally from a desire on the part of small, family operated funeral businesses to address family succession and estate planning issues, and a desire for liquidity. An active acquisition market for funeral homes and cemeteries provided a source of potential liquidity that was not as readily available to individual owners in the past. The consolidation trend was suspended in 1999, and none of the publicly traded companies are currently pursuing significant acquisitions at this time. The consolidators, including Carriage, were facing the financial pressure of high debt levels as a result of having paid too much for businesses that were not performing as expected. Each of the consolidators began selling selected properties and other assets in 2000 in order to reduce their debt levels. Certain restructurings have also been announced since that time that resulted in large nonrecurring charges as the consolidators changed various strategies.</w:t>
      </w:r>
    </w:p>
    <w:p>
      <w:pPr>
        <w:sectPr>
          <w:pgSz w:w="11900" w:h="16838" w:orient="portrait"/>
          <w:cols w:equalWidth="0" w:num="1">
            <w:col w:w="11400"/>
          </w:cols>
          <w:pgMar w:left="240" w:top="341" w:right="259" w:bottom="0" w:gutter="0" w:footer="0" w:header="0"/>
        </w:sectPr>
      </w:pPr>
    </w:p>
    <w:bookmarkStart w:id="2" w:name="page3"/>
    <w:bookmarkEnd w:id="2"/>
    <w:p>
      <w:pPr>
        <w:ind w:firstLine="351"/>
        <w:spacing w:after="0" w:line="254" w:lineRule="auto"/>
        <w:rPr>
          <w:sz w:val="20"/>
          <w:szCs w:val="20"/>
          <w:color w:val="auto"/>
        </w:rPr>
      </w:pPr>
      <w:r>
        <w:rPr>
          <w:rFonts w:ascii="Arial" w:cs="Arial" w:eastAsia="Arial" w:hAnsi="Arial"/>
          <w:sz w:val="18"/>
          <w:szCs w:val="18"/>
          <w:i w:val="1"/>
          <w:iCs w:val="1"/>
          <w:color w:val="auto"/>
        </w:rPr>
        <w:t xml:space="preserve">PRENEED MARKETING. </w:t>
      </w:r>
      <w:r>
        <w:rPr>
          <w:rFonts w:ascii="Arial" w:cs="Arial" w:eastAsia="Arial" w:hAnsi="Arial"/>
          <w:sz w:val="18"/>
          <w:szCs w:val="18"/>
          <w:color w:val="auto"/>
        </w:rPr>
        <w:t>In addition to sales at the time of death or on an "at need" basis, death care products and services are being sold prior to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on a "preneed" basis by some death care providers who have developed marketing organizations to actively promote such products and services. Effective marketing of preneed products and services provides a backlog of future business. We believe sales of preneed products and services, including cemetery and interment rights and preneed funeral services, are purchased primarily by people between the ages of 50 and 80. In 2000, we modified our preneed funeral sales marketing from a nationwide sales program to a sales program which is controlled, on a market-by-market basis, and managed by the local funeral home manager or a third party contractor.</w:t>
      </w:r>
    </w:p>
    <w:p>
      <w:pPr>
        <w:spacing w:after="0" w:line="198"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i w:val="1"/>
          <w:iCs w:val="1"/>
          <w:color w:val="auto"/>
        </w:rPr>
        <w:t xml:space="preserve">CREMATION. </w:t>
      </w:r>
      <w:r>
        <w:rPr>
          <w:rFonts w:ascii="Arial" w:cs="Arial" w:eastAsia="Arial" w:hAnsi="Arial"/>
          <w:sz w:val="16"/>
          <w:szCs w:val="16"/>
          <w:color w:val="auto"/>
        </w:rPr>
        <w:t>In recent years, there has been steady, gradual growth in the number of families in the United States that have chosen cremation as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traditional methods of burial. According to industry studies, cremations represented approximately 28% of the U.S. burial market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2002 and are projected at 40% for 2010, as compared to approximately 10% in 1980. Many parts of the Southern and Midwestern United States and many non-metropolitan communities exhibit significantly lower rates of cremation as a result of religious and cultural traditions. Cremation, historically, has been marketed as a less costly alternative to interment. However, cremation is increasingly marketed as part of a complete service package that includes traditional funeral services and memorialization. The percentages of funeral services conducted by Carriage in which cremation was chosen as the manner in which to dispose of the remains were 27%, 27% and 28% for each of the three years through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business strategy is to emphasize increasing operating cash flow and improving profitability at each business location through strategies that carry out our culture of service and leadership excellence. We do not expect our strategy will require significant investments of new capital over the next two years. We plan to continue reducing our debt and improving our leverage ratios. Our focus is on continuing to improve our organizational leadership and quality of personnel. Successful execution during 2001 and 2002 has, in our view, positioned the Company as a leader in our industry and improved our financial flexibility. We expect to replace our revolving credit facility in 2003, prior to its maturity in June 2004, and then to resume careful, selective external growth.</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"FRESH START" RESTRUCTURING PROGRAM. </w:t>
      </w:r>
      <w:r>
        <w:rPr>
          <w:rFonts w:ascii="Arial" w:cs="Arial" w:eastAsia="Arial" w:hAnsi="Arial"/>
          <w:sz w:val="18"/>
          <w:szCs w:val="18"/>
          <w:color w:val="auto"/>
        </w:rPr>
        <w:t>During the third quarter of 2000, Carriage initiated a multi-faceted restructuring program termed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"Fresh Start" in response to its leveraged balance sheet resulting from rapid growth, deteriorating operating results and a challenging industry environment. The program began with a review of the funeral home and cemetery portfolios, operating strategies, organizational structure, and financial covenants under the Company's credit agreements.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two-year goals for the restructuring program, announced in November, 2000, were to (1) restore credibility to our operating and consolidation model;</w:t>
      </w:r>
    </w:p>
    <w:p>
      <w:pPr>
        <w:spacing w:after="0" w:line="38" w:lineRule="exact"/>
        <w:rPr>
          <w:sz w:val="20"/>
          <w:szCs w:val="20"/>
          <w:color w:val="auto"/>
        </w:rPr>
      </w:pPr>
    </w:p>
    <w:p>
      <w:pPr>
        <w:ind w:right="20" w:firstLine="8"/>
        <w:spacing w:after="0" w:line="253"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and better align our earnings and cash flow; (3) restore market value credibility to our balance sheet; (4) reduce our debt; and (5) re-access the capital markets. The principal elements of Fresh Start included the downsizing of our corporate organization, strengthening its corporate and operating leadership, changing our preneed funeral marketing strategy, stratifying by performance the funeral home and cemetery portfolios, implementing action plans to improve or dispose of underperforming businesses, reviewing and adjusting the carrying value of assets, and modifying financial covenants with lenders to facilitate the execution of the program.</w:t>
      </w:r>
    </w:p>
    <w:p>
      <w:pPr>
        <w:spacing w:after="0" w:line="19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believe the Fresh Start goals have been substantially accomplished. We will continue to incorporate the elements of Fresh Start in our strategies and implement them in 2003 and beyond. Carriage is committed to operating a lean corporate organization, strengthening its corporate and local business leadership, and improving or selling underperforming businesses. Carriage's progress in achieving each of the five Fresh Start goals, together with their continued relevance to future results is as follows:</w:t>
      </w:r>
    </w:p>
    <w:p>
      <w:pPr>
        <w:spacing w:after="0" w:line="205" w:lineRule="exact"/>
        <w:rPr>
          <w:sz w:val="20"/>
          <w:szCs w:val="20"/>
          <w:color w:val="auto"/>
        </w:rPr>
      </w:pPr>
    </w:p>
    <w:p>
      <w:pPr>
        <w:ind w:left="540" w:right="160" w:hanging="532"/>
        <w:spacing w:after="0" w:line="29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Restore credibility to its operating and consolidation model</w:t>
      </w:r>
      <w:r>
        <w:rPr>
          <w:rFonts w:ascii="Arial" w:cs="Arial" w:eastAsia="Arial" w:hAnsi="Arial"/>
          <w:sz w:val="16"/>
          <w:szCs w:val="16"/>
          <w:color w:val="auto"/>
        </w:rPr>
        <w:t>—Carriage is committed to becoming the best, not the biggest, company in its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This commitment is driven by a strong culture of service and leadership excellence whose goal is to build a lasting enterprise. As a result, Carriage has raised performance standards and increased accountability for all employees throughout the organization. We are executing our new operating strategies under new leadership. New operating leadership is widely dispersed from regional divisions to individual locations. Recruiting top quality leaders and managers and aligning incentive compensation to our operating strategy have become key elements of our Human Resources strategy.</w:t>
      </w:r>
    </w:p>
    <w:p>
      <w:pPr>
        <w:spacing w:after="0" w:line="167" w:lineRule="exact"/>
        <w:rPr>
          <w:rFonts w:ascii="Arial" w:cs="Arial" w:eastAsia="Arial" w:hAnsi="Arial"/>
          <w:sz w:val="16"/>
          <w:szCs w:val="16"/>
          <w:color w:val="auto"/>
        </w:rPr>
      </w:pPr>
    </w:p>
    <w:p>
      <w:pPr>
        <w:ind w:left="540" w:right="240"/>
        <w:spacing w:after="0" w:line="332" w:lineRule="auto"/>
        <w:rPr>
          <w:rFonts w:ascii="Arial" w:cs="Arial" w:eastAsia="Arial" w:hAnsi="Arial"/>
          <w:sz w:val="16"/>
          <w:szCs w:val="16"/>
          <w:color w:val="auto"/>
        </w:rPr>
      </w:pPr>
      <w:r>
        <w:rPr>
          <w:rFonts w:ascii="Arial" w:cs="Arial" w:eastAsia="Arial" w:hAnsi="Arial"/>
          <w:sz w:val="16"/>
          <w:szCs w:val="16"/>
          <w:color w:val="auto"/>
        </w:rPr>
        <w:t>In Carriage's view, the benefit of integrating acquired businesses is to introduce its innovative service and sales strategies to provide the highest quality funeral experience to client families and to introduce its operating model to improve long-term performance. Carriage continues to invest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240"/>
        <w:spacing w:after="0" w:line="323" w:lineRule="auto"/>
        <w:rPr>
          <w:sz w:val="20"/>
          <w:szCs w:val="20"/>
          <w:color w:val="auto"/>
        </w:rPr>
      </w:pPr>
      <w:r>
        <w:rPr>
          <w:rFonts w:ascii="Arial" w:cs="Arial" w:eastAsia="Arial" w:hAnsi="Arial"/>
          <w:sz w:val="15"/>
          <w:szCs w:val="15"/>
          <w:color w:val="auto"/>
        </w:rPr>
        <w:t>heavily in employee training in order to enable its field operations to better serve families, especially training on personalization of the funeral ritual to create a unique and emotional experience. The result of successful execution of its service and sales strategies will be to increase customer satisfaction, revenue per experience, and market share. Carriage has experienced some deterioration in market share in a minority of its businesses and is diligently working to remedy market share losses. Nevertheless, Carriage's portfolio of businesses is stable, and future performance is relatively predictable.</w:t>
      </w:r>
    </w:p>
    <w:p>
      <w:pPr>
        <w:spacing w:after="0" w:line="173" w:lineRule="exact"/>
        <w:rPr>
          <w:sz w:val="20"/>
          <w:szCs w:val="20"/>
          <w:color w:val="auto"/>
        </w:rPr>
      </w:pPr>
    </w:p>
    <w:p>
      <w:pPr>
        <w:ind w:left="540" w:right="100" w:hanging="532"/>
        <w:spacing w:after="0" w:line="290"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Increase and better align earnings and free cash flow</w:t>
      </w:r>
      <w:r>
        <w:rPr>
          <w:rFonts w:ascii="Arial" w:cs="Arial" w:eastAsia="Arial" w:hAnsi="Arial"/>
          <w:sz w:val="16"/>
          <w:szCs w:val="16"/>
          <w:color w:val="auto"/>
        </w:rPr>
        <w:t>—Since implementing Fresh Start, Carriage has implemented more disciplined controls over its</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expenditures and shifted its preneed funeral marketing strategy from a national to a local focus. We moved from a national, centralized strategy to a local, decentralized strategy whereby each business location customized a preneed program to its local needs. Accordingly, we eliminated the national funeral sales organization and emphasized using insurance contracts to fund preneed contracts. This allowed us to substantially downsize our administrative support organization. These two factors have been the key drivers to better align earnings and free cash flow. In conjunction with the operating model described above, Carriage believes it will continue to improve and maintain the alignment of earnings and cash flow. In 2002 and 2001, Carriage reported earnings of $20.3 million and $9.0 million and cash flow from operations of $18.9 million and $27.7 million, greatly improved versus years prior to 2001.</w:t>
      </w:r>
    </w:p>
    <w:p>
      <w:pPr>
        <w:spacing w:after="0" w:line="179" w:lineRule="exact"/>
        <w:rPr>
          <w:rFonts w:ascii="Arial" w:cs="Arial" w:eastAsia="Arial" w:hAnsi="Arial"/>
          <w:sz w:val="16"/>
          <w:szCs w:val="16"/>
          <w:color w:val="auto"/>
        </w:rPr>
      </w:pPr>
    </w:p>
    <w:p>
      <w:pPr>
        <w:ind w:left="540" w:right="260" w:hanging="532"/>
        <w:spacing w:after="0" w:line="30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Restore market value creditability to its balance sheet</w:t>
      </w:r>
      <w:r>
        <w:rPr>
          <w:rFonts w:ascii="Arial" w:cs="Arial" w:eastAsia="Arial" w:hAnsi="Arial"/>
          <w:sz w:val="16"/>
          <w:szCs w:val="16"/>
          <w:color w:val="auto"/>
        </w:rPr>
        <w:t>—In reviewing our funeral home and cemetery portfolios, we divided all of our locations into</w:t>
      </w:r>
      <w:r>
        <w:rPr>
          <w:rFonts w:ascii="Arial" w:cs="Arial" w:eastAsia="Arial" w:hAnsi="Arial"/>
          <w:sz w:val="16"/>
          <w:szCs w:val="16"/>
          <w:b w:val="1"/>
          <w:bCs w:val="1"/>
          <w:color w:val="auto"/>
        </w:rPr>
        <w:t xml:space="preserve"> </w:t>
      </w:r>
      <w:r>
        <w:rPr>
          <w:rFonts w:ascii="Arial" w:cs="Arial" w:eastAsia="Arial" w:hAnsi="Arial"/>
          <w:sz w:val="16"/>
          <w:szCs w:val="16"/>
          <w:color w:val="auto"/>
        </w:rPr>
        <w:t>two main groups: a healthy core group, which represents the majority of our revenues and cash flow, and a second underperforming group. There is a smaller third group that consists of businesses that we targeted for sale. After completing this stratification, we then established new performance standards consistent with our mission of "Becoming the Best'. We will not allow the success of our best businesses, managers and employees to be</w:t>
      </w:r>
    </w:p>
    <w:p>
      <w:pPr>
        <w:sectPr>
          <w:pgSz w:w="11900" w:h="16838" w:orient="portrait"/>
          <w:cols w:equalWidth="0" w:num="1">
            <w:col w:w="11400"/>
          </w:cols>
          <w:pgMar w:left="240" w:top="131" w:right="259" w:bottom="0" w:gutter="0" w:footer="0" w:header="0"/>
        </w:sectPr>
      </w:pPr>
    </w:p>
    <w:bookmarkStart w:id="3" w:name="page4"/>
    <w:bookmarkEnd w:id="3"/>
    <w:p>
      <w:pPr>
        <w:spacing w:after="0" w:line="6"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unfairly diluted by underperforming, weaker businesses. When there are local market share losses or leadership issues, specific action plans were designed to address them. These action plans included the decision to sell the businesses that cannot meet our new standards. Since Fresh Start was initiated in 2000, Carriage has closed one funeral property and has sold 32 funeral properties, 12 cemeteries and 11 parcels of excess real estate for net proceeds of $18 million. A relatively small number of additional properties may be sold in 2003. The carrying values of the businesses targeted for sale were written down to the estimated net realizable value. The significant charges Carriage incurred in 2000 to initiate its Fresh Start Program substantially reduced the Company's book value per share by $8.25 to $4.78 at December 31, 2000. At December 31, 2002, book value per share was $5.74. As Carriage executes its operating model and successfully improves long-term profitability, we expect to continue to increase book value per share.</w:t>
      </w:r>
    </w:p>
    <w:p>
      <w:pPr>
        <w:spacing w:after="0" w:line="180" w:lineRule="exact"/>
        <w:rPr>
          <w:sz w:val="20"/>
          <w:szCs w:val="20"/>
          <w:color w:val="auto"/>
        </w:rPr>
      </w:pPr>
    </w:p>
    <w:p>
      <w:pPr>
        <w:ind w:left="540" w:right="120" w:hanging="532"/>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Reduce debt—</w:t>
      </w:r>
      <w:r>
        <w:rPr>
          <w:rFonts w:ascii="Arial" w:cs="Arial" w:eastAsia="Arial" w:hAnsi="Arial"/>
          <w:sz w:val="18"/>
          <w:szCs w:val="18"/>
          <w:color w:val="auto"/>
        </w:rPr>
        <w:t>We modified the financial covenants with our banks and insurance lenders in order to execute all elements of our Fresh Start plan.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difficult industry environment, we received strong support from our lenders for initiating an aggressive, proactive action plan. Since Fresh Start was initiated on November 8, 2000, Carriage has reduced its debt and contingent obligations from previous acquisitions by $56 million, or 27%, from $205 million to $149 million at December 31, 2002.</w:t>
      </w:r>
    </w:p>
    <w:p>
      <w:pPr>
        <w:spacing w:after="0" w:line="217" w:lineRule="exact"/>
        <w:rPr>
          <w:rFonts w:ascii="Arial" w:cs="Arial" w:eastAsia="Arial" w:hAnsi="Arial"/>
          <w:sz w:val="18"/>
          <w:szCs w:val="18"/>
          <w:color w:val="auto"/>
        </w:rPr>
      </w:pPr>
    </w:p>
    <w:p>
      <w:pPr>
        <w:ind w:left="540" w:right="120" w:hanging="532"/>
        <w:spacing w:after="0" w:line="30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Re-access the capital markets</w:t>
      </w:r>
      <w:r>
        <w:rPr>
          <w:rFonts w:ascii="Arial" w:cs="Arial" w:eastAsia="Arial" w:hAnsi="Arial"/>
          <w:sz w:val="16"/>
          <w:szCs w:val="16"/>
          <w:color w:val="auto"/>
        </w:rPr>
        <w:t>—As of December 31, 2002, Carriage only had $29 million drawn on its $75 million bank revolving credit facility,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matures in mid-2004. Carriage expects to replace its current facility with a new facility by the end of 2003 which should be large enough to handle the Company's requirements, including the $23 million tranche of Senior Notes that matures in mid-2004. The cost and maturities of Carriage's debt and convertible preferred stock is favorable, enabling the financial improvement related to Carriage's free cash flow generation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debt reduction to benefit common shareholders. See Notes 6 and 7 to the consolidated financial statements.</w:t>
      </w:r>
    </w:p>
    <w:p>
      <w:pPr>
        <w:spacing w:after="0" w:line="225"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b w:val="1"/>
          <w:bCs w:val="1"/>
          <w:i w:val="1"/>
          <w:iCs w:val="1"/>
          <w:color w:val="auto"/>
        </w:rPr>
        <w:t xml:space="preserve">OPERATING STRATEGY. </w:t>
      </w:r>
      <w:r>
        <w:rPr>
          <w:rFonts w:ascii="Arial" w:cs="Arial" w:eastAsia="Arial" w:hAnsi="Arial"/>
          <w:sz w:val="15"/>
          <w:szCs w:val="15"/>
          <w:color w:val="auto"/>
        </w:rPr>
        <w:t>While our strategies have changed, our mission continues to become the best funeral and cemetery service organization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We believe our operating strategies increase the cash flow and profitability of our properties significantly above the level that they could achieve if they were operating as stand-alone independent businesses. Key elements of our operating strategy that complement the restructuring program include the following:</w:t>
      </w:r>
    </w:p>
    <w:p>
      <w:pPr>
        <w:spacing w:after="0" w:line="142" w:lineRule="exact"/>
        <w:rPr>
          <w:sz w:val="20"/>
          <w:szCs w:val="20"/>
          <w:color w:val="auto"/>
        </w:rPr>
      </w:pPr>
    </w:p>
    <w:p>
      <w:pPr>
        <w:ind w:right="520" w:firstLine="351"/>
        <w:spacing w:after="0" w:line="256" w:lineRule="auto"/>
        <w:rPr>
          <w:sz w:val="20"/>
          <w:szCs w:val="20"/>
          <w:color w:val="auto"/>
        </w:rPr>
      </w:pPr>
      <w:r>
        <w:rPr>
          <w:rFonts w:ascii="Arial" w:cs="Arial" w:eastAsia="Arial" w:hAnsi="Arial"/>
          <w:sz w:val="18"/>
          <w:szCs w:val="18"/>
          <w:i w:val="1"/>
          <w:iCs w:val="1"/>
          <w:color w:val="auto"/>
        </w:rPr>
        <w:t xml:space="preserve">PERSONALIZED SERVICE. </w:t>
      </w:r>
      <w:r>
        <w:rPr>
          <w:rFonts w:ascii="Arial" w:cs="Arial" w:eastAsia="Arial" w:hAnsi="Arial"/>
          <w:sz w:val="18"/>
          <w:szCs w:val="18"/>
          <w:color w:val="auto"/>
        </w:rPr>
        <w:t>We believe that providing personalized service results in increased customer satisfaction, increased market share, more</w:t>
      </w:r>
      <w:r>
        <w:rPr>
          <w:rFonts w:ascii="Arial" w:cs="Arial" w:eastAsia="Arial" w:hAnsi="Arial"/>
          <w:sz w:val="18"/>
          <w:szCs w:val="18"/>
          <w:i w:val="1"/>
          <w:iCs w:val="1"/>
          <w:color w:val="auto"/>
        </w:rPr>
        <w:t xml:space="preserve"> </w:t>
      </w:r>
      <w:r>
        <w:rPr>
          <w:rFonts w:ascii="Arial" w:cs="Arial" w:eastAsia="Arial" w:hAnsi="Arial"/>
          <w:sz w:val="18"/>
          <w:szCs w:val="18"/>
          <w:color w:val="auto"/>
        </w:rPr>
        <w:t>motivated employees, a higher average sales price per service and consistently higher levels of profitability. We have placed a great deal of emphasis upon recruiting new leaders and communicating to our employees the linkage between personalized service, customer satisfaction, market share increases and profitability throughout the organization.</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EMPLOYEE TRAINING. </w:t>
      </w:r>
      <w:r>
        <w:rPr>
          <w:rFonts w:ascii="Arial" w:cs="Arial" w:eastAsia="Arial" w:hAnsi="Arial"/>
          <w:sz w:val="16"/>
          <w:szCs w:val="16"/>
          <w:color w:val="auto"/>
        </w:rPr>
        <w:t>We have made a significant commitment of financial and human resources to a company-wide training effort. The training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improve the leadership, management and communication skills among employees and to improve the execution of Carriage's Cycle of Service that includes providing personalized service that clients will value. In training employees to deliver personalized service, we emphasize listening and communication skills in working towards the goal of uniquely memorializing the life of an individual. We have been focusing on integrating the concepts and practices of our training program into our operations. We believe that this long-term investment in our employees will, over time, lead to increased market share and a higher average price per service, resulting in higher cash flow and profitability.</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ENHANCED SYSTEMS. </w:t>
      </w:r>
      <w:r>
        <w:rPr>
          <w:rFonts w:ascii="Arial" w:cs="Arial" w:eastAsia="Arial" w:hAnsi="Arial"/>
          <w:sz w:val="16"/>
          <w:szCs w:val="16"/>
          <w:color w:val="auto"/>
        </w:rPr>
        <w:t>We utilize a computer system linked to all of our funeral homes to monitor and access critical operating and financial data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analyze the performance of individual locations on a timely basis and institute corrective action if necessary. The Internet is used as a medium to internally disseminate certain information to regional management and locations. We began a program in mid 2001 to review our business processes and systems with the goals of simplifying and providing more useful, cost-efficient information to our field operations. We are investing part of our cash flow to implement a new cemetery system in 2003 which should improve our efficiency and effectiveness in the future.</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HIGH STANDARDS OF PERFORMANCE. </w:t>
      </w:r>
      <w:r>
        <w:rPr>
          <w:rFonts w:ascii="Arial" w:cs="Arial" w:eastAsia="Arial" w:hAnsi="Arial"/>
          <w:sz w:val="16"/>
          <w:szCs w:val="16"/>
          <w:color w:val="auto"/>
        </w:rPr>
        <w:t>We continually establish targets to emphasize and enhance customer service and operational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These standards are designed to identify management's expectations for high achievement in these three key performance areas and are communicated to employees through our extensive training programs and monitored by executive leadership. We invested heavily in recruiting top quality region and location leaders and managers during 2001 and 2002. We expect this investment in new, strong leadership will result in a higher performing and more profitable funeral portfolio this year and in the future. We believe that the differential field level earnings before interest, taxes, depreciation and amortization (EBITDA) margin between our core and our underperforming groups, which was approximately 500 basis points in 2001 and 2002, will narrow substantially over the next two years. We also expect local and regional cemetery leadership to achieve greater portfolio sales and profit.</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QUALITY REVIEW MANAGEMENT SYSTEMS. </w:t>
      </w:r>
      <w:r>
        <w:rPr>
          <w:rFonts w:ascii="Arial" w:cs="Arial" w:eastAsia="Arial" w:hAnsi="Arial"/>
          <w:sz w:val="16"/>
          <w:szCs w:val="16"/>
          <w:color w:val="auto"/>
        </w:rPr>
        <w:t>We have developed quality-based management systems which operate within our decentralized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structure. These systems involve quantifiable customer survey input in addition to operational and financial measures of performance. With the assistance of our training staff, these systems are being implemented at the locations under the direction of our regional vice presidents and regional managers. These leaders provide an additional level of operational support and feedback to our local managers.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INCENTIVE COMPENSATION. </w:t>
      </w:r>
      <w:r>
        <w:rPr>
          <w:rFonts w:ascii="Arial" w:cs="Arial" w:eastAsia="Arial" w:hAnsi="Arial"/>
          <w:sz w:val="16"/>
          <w:szCs w:val="16"/>
          <w:color w:val="auto"/>
        </w:rPr>
        <w:t>We have established a compensation structure that is designed to create and maintain an ownership mentality to align</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compensation to our performance objectives. Local management is awarded meaningful profit sharing cash bonuses or other rewards for achieving specified service, operational and financial performance objectives. We also have stock-based programs for corporate personnel, which award stock or options to certain employees based upon their performance. As a result, most management personnel, whether field or corporate, and key employees have the opportunity to increase their compensation and personal net worth through performance aligned with increasing shareholder value.</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COST SAVINGS AND OPERATING EFFICIENCIES. </w:t>
      </w:r>
      <w:r>
        <w:rPr>
          <w:rFonts w:ascii="Arial" w:cs="Arial" w:eastAsia="Arial" w:hAnsi="Arial"/>
          <w:sz w:val="18"/>
          <w:szCs w:val="18"/>
          <w:color w:val="auto"/>
        </w:rPr>
        <w:t>Our larger size, as compared to local operators, allows favorable pricing and terms to be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from vendors through volume discounts on significant expenditures, such as caskets, urns, vaults, monuments and markers. In addition, while operational functions and management responsibility are retained at the locations, certain financial, accounting, legal, administrative and employee benefit functions are centralized to allow for more efficient and cost-effective support operations.</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RATIONALIZATION OF OUR PRENEED FUNERAL SALES PROGRAM. </w:t>
      </w:r>
      <w:r>
        <w:rPr>
          <w:rFonts w:ascii="Arial" w:cs="Arial" w:eastAsia="Arial" w:hAnsi="Arial"/>
          <w:sz w:val="16"/>
          <w:szCs w:val="16"/>
          <w:color w:val="auto"/>
        </w:rPr>
        <w:t>Preneed sales frequently require an immediate cash outlay by the seller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 commissions and promotional expenditures. Beginning in 2000, we moved from a national, centralized marketing strategy to a local, decentralized strategy</w:t>
      </w:r>
    </w:p>
    <w:p>
      <w:pPr>
        <w:sectPr>
          <w:pgSz w:w="11900" w:h="16844" w:orient="portrait"/>
          <w:cols w:equalWidth="0" w:num="1">
            <w:col w:w="11420"/>
          </w:cols>
          <w:pgMar w:left="240" w:top="131" w:right="239" w:bottom="0" w:gutter="0" w:footer="0" w:header="0"/>
        </w:sectPr>
      </w:pPr>
    </w:p>
    <w:bookmarkStart w:id="4" w:name="page5"/>
    <w:bookmarkEnd w:id="4"/>
    <w:p>
      <w:pPr>
        <w:ind w:right="100"/>
        <w:spacing w:after="0" w:line="254" w:lineRule="auto"/>
        <w:rPr>
          <w:sz w:val="20"/>
          <w:szCs w:val="20"/>
          <w:color w:val="auto"/>
        </w:rPr>
      </w:pPr>
      <w:r>
        <w:rPr>
          <w:rFonts w:ascii="Arial" w:cs="Arial" w:eastAsia="Arial" w:hAnsi="Arial"/>
          <w:sz w:val="18"/>
          <w:szCs w:val="18"/>
          <w:color w:val="auto"/>
        </w:rPr>
        <w:t>whereby each business location customized a preneed program to its local needs. We also began selling insurance-funded contracts in most markets that allow us to earn commission income and improve our cash flow. In 2001, the program focused on markets that depended on preneed for market share with most of the sales originated by funeral directors. The program was expanded in 2002 with all locations offering a preneed program whether by in-house sales originated by funeral directors, sales counselors or third party sellers. We plan to continue using insurance-funded contracts as the main funding vehicle because cash from the commissions earned offsets a significant amount of the up-front costs and because the earnings on the insurance contracts are more stable than traditional trust fund investments.</w:t>
      </w:r>
    </w:p>
    <w:p>
      <w:pPr>
        <w:spacing w:after="0" w:line="198" w:lineRule="exact"/>
        <w:rPr>
          <w:sz w:val="20"/>
          <w:szCs w:val="20"/>
          <w:color w:val="auto"/>
        </w:rPr>
      </w:pPr>
    </w:p>
    <w:p>
      <w:pPr>
        <w:ind w:left="360"/>
        <w:spacing w:after="0"/>
        <w:tabs>
          <w:tab w:leader="none" w:pos="2620" w:val="left"/>
        </w:tabs>
        <w:rPr>
          <w:sz w:val="20"/>
          <w:szCs w:val="20"/>
          <w:color w:val="auto"/>
        </w:rPr>
      </w:pPr>
      <w:r>
        <w:rPr>
          <w:rFonts w:ascii="Arial" w:cs="Arial" w:eastAsia="Arial" w:hAnsi="Arial"/>
          <w:sz w:val="18"/>
          <w:szCs w:val="18"/>
          <w:b w:val="1"/>
          <w:bCs w:val="1"/>
          <w:i w:val="1"/>
          <w:iCs w:val="1"/>
          <w:color w:val="auto"/>
        </w:rPr>
        <w:t>ACQUISITION STRATEGY.</w:t>
      </w:r>
      <w:r>
        <w:rPr>
          <w:sz w:val="20"/>
          <w:szCs w:val="20"/>
          <w:color w:val="auto"/>
        </w:rPr>
        <w:tab/>
      </w:r>
      <w:r>
        <w:rPr>
          <w:rFonts w:ascii="Arial" w:cs="Arial" w:eastAsia="Arial" w:hAnsi="Arial"/>
          <w:sz w:val="15"/>
          <w:szCs w:val="15"/>
          <w:color w:val="auto"/>
        </w:rPr>
        <w:t>Acquisitions by public consolidators of independent funeral homes and cemeteries have decreased to a minimal level during</w:t>
      </w:r>
    </w:p>
    <w:p>
      <w:pPr>
        <w:spacing w:after="0" w:line="15" w:lineRule="exact"/>
        <w:rPr>
          <w:sz w:val="20"/>
          <w:szCs w:val="20"/>
          <w:color w:val="auto"/>
        </w:rPr>
      </w:pPr>
    </w:p>
    <w:p>
      <w:pPr>
        <w:ind w:right="320"/>
        <w:spacing w:after="0" w:line="331" w:lineRule="auto"/>
        <w:rPr>
          <w:sz w:val="20"/>
          <w:szCs w:val="20"/>
          <w:color w:val="auto"/>
        </w:rPr>
      </w:pPr>
      <w:r>
        <w:rPr>
          <w:rFonts w:ascii="Arial" w:cs="Arial" w:eastAsia="Arial" w:hAnsi="Arial"/>
          <w:sz w:val="15"/>
          <w:szCs w:val="15"/>
          <w:color w:val="auto"/>
        </w:rPr>
        <w:t>2001 and 2002, as the focus has changed to improving cash flow and operating results from existing businesses. We believe that future acquisitions will occur only if acquisition prices are substantially lower than we experienced during 1997-1999 and we intend to be highly selective in selecting future acquisition candidates. Acquisition activity is expected to be minimal, if any, during 2003 and then resume modestly, intelligently and strategically later in 2004.</w:t>
      </w:r>
    </w:p>
    <w:p>
      <w:pPr>
        <w:spacing w:after="0" w:line="14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IMPAIRMENTS AND ASSET DISPOSITION STRATEGY. </w:t>
      </w:r>
      <w:r>
        <w:rPr>
          <w:rFonts w:ascii="Arial" w:cs="Arial" w:eastAsia="Arial" w:hAnsi="Arial"/>
          <w:sz w:val="16"/>
          <w:szCs w:val="16"/>
          <w:color w:val="auto"/>
        </w:rPr>
        <w:t>Reviews of the businesses that we own are performed annually by stratifying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into three groups: core, underperforming and targeted for sale. Long-term cash flow forecasts are prepared to determine whether we would recover our investment through future operations. In those instances in which our investment in a business exceeded the estimated future cash flows (our estimate of fair value), the investment is written down, through an impairment charge, to the present value of those future cash flows. During 2002, we tested goodwill for impairment under newly enacted Statement of Financial Accounting Standards ("SFAS") No. 142, Goodwill and Other Intangible Assets. We determined no impairment existed at that time. An estimate of the net realizable value was determined for those businesses targeted for sale to determine whether we could expect to recover our investment from the sale of those businesses. Where the investment exceeded the fair value less costs to sell, an impairment charge was recorded for the deficiency, which totaled approximately $29.3 million in 2000 and $1.2 million in 2002.</w:t>
      </w:r>
    </w:p>
    <w:p>
      <w:pPr>
        <w:spacing w:after="0" w:line="172"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For the year 2001, the underperforming group represented 30% of funeral home revenue and 28% of field level cash flow, while the targeted for sale (and businesses actually sold or closed in 2001) group was 6% of funeral home revenues and 4% of cash flow. For the year 2002, the underperforming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group represented 30% of the funeral home revenues and 28% of field level cash flow, while the businesses targeted for sale (and actually sold or closed in 2002) were 4% of funeral home revenues and 2% of cash flow. At December 31, 2002, the Company is actively marketing a certain number of the businesses for which we expect proceeds in the range of $7 million to $10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local funeral home operations, cemetery operations and preneed programs are managed by individuals with extensive death care industry experience. The local operators continue to have responsibility for day-to-day operations, but are required to follow centralized service and financial standards. We believe this strategy permits each local firm to maintain its unique style of operation and to capitalize on its reputation and heritage while Carriage maintains centralized supervisory controls and provides specialized services at the corporate level. We have a commitment to strong information systems. Systems are linked to all of the funeral homes to monitor and assess critical operating and financial data in order to analyze the performance of individual funeral homes on a timely basis. Management is able to access customer transaction data and other operating information from the Houston support center to ensure the quality of operating performance and to implement any necessary corrective actions.</w:t>
      </w:r>
    </w:p>
    <w:p>
      <w:pPr>
        <w:spacing w:after="0" w:line="172"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We conduct our funeral and cemetery operations only in the United States. Carriage's operations are divided into two segments: funeral operations and cemetery operations. Information for each of our segments is presented below and in our financial statements set forth herein.</w:t>
      </w:r>
    </w:p>
    <w:p>
      <w:pPr>
        <w:spacing w:after="0" w:line="139"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i w:val="1"/>
          <w:iCs w:val="1"/>
          <w:color w:val="auto"/>
        </w:rPr>
        <w:t xml:space="preserve">FUNERAL HOME OPERATIONS. </w:t>
      </w:r>
      <w:r>
        <w:rPr>
          <w:rFonts w:ascii="Arial" w:cs="Arial" w:eastAsia="Arial" w:hAnsi="Arial"/>
          <w:sz w:val="18"/>
          <w:szCs w:val="18"/>
          <w:color w:val="auto"/>
        </w:rPr>
        <w:t>As of December 31, 2002, Carriage operated 144 funeral homes in 29 states. Funeral home revenues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76% and 77% of our net revenues for each of the years ended December 31, 2001 and 2002, respectively. The funeral home operations are managed by a team of experienced death care industry professionals and selected region-level individuals with substantial management experience in service industries. Certain individuals were recruited from outside the industry bringing with them the best operating practices and multi-location portfolio leadership skills that have been proven successful in other service industries. See Note 15 to the consolidated financial statements for segment data related to funeral home operations.</w:t>
      </w:r>
    </w:p>
    <w:p>
      <w:pPr>
        <w:spacing w:after="0" w:line="19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 xml:space="preserve">CEMETERY OPERATIONS. </w:t>
      </w:r>
      <w:r>
        <w:rPr>
          <w:rFonts w:ascii="Arial" w:cs="Arial" w:eastAsia="Arial" w:hAnsi="Arial"/>
          <w:sz w:val="18"/>
          <w:szCs w:val="18"/>
          <w:color w:val="auto"/>
        </w:rPr>
        <w:t>As of December 31, 2002, we operated 30 cemeteries in 12 states. Cemetery revenues accounted for approximately 24% and</w:t>
      </w:r>
      <w:r>
        <w:rPr>
          <w:rFonts w:ascii="Arial" w:cs="Arial" w:eastAsia="Arial" w:hAnsi="Arial"/>
          <w:sz w:val="18"/>
          <w:szCs w:val="18"/>
          <w:i w:val="1"/>
          <w:iCs w:val="1"/>
          <w:color w:val="auto"/>
        </w:rPr>
        <w:t xml:space="preserve"> </w:t>
      </w:r>
      <w:r>
        <w:rPr>
          <w:rFonts w:ascii="Arial" w:cs="Arial" w:eastAsia="Arial" w:hAnsi="Arial"/>
          <w:sz w:val="18"/>
          <w:szCs w:val="18"/>
          <w:color w:val="auto"/>
        </w:rPr>
        <w:t>23% of our net revenues for each of the years ended December 31, 2001 and 2002, respectively. See Note 15 to the consolidated financial statements for segment data related to cemetery operations.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PRENEED PROGRAMS. </w:t>
      </w:r>
      <w:r>
        <w:rPr>
          <w:rFonts w:ascii="Arial" w:cs="Arial" w:eastAsia="Arial" w:hAnsi="Arial"/>
          <w:sz w:val="16"/>
          <w:szCs w:val="16"/>
          <w:color w:val="auto"/>
        </w:rPr>
        <w:t>In addition to sales of funeral merchandise and services, cemetery interment rights and cemetery merchandise and services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need, we also market funeral and cemetery services and products on a preneed basis. Preneed funeral or cemetery contracts enable families to establish, in advance, the type of service to be performed, the products to be used and the cost of such products and services, in accordance with prices prevailing at the time the contract is signed, rather than when the products and services are delivered. Preneed contracts permit families to eliminate issues of making death care plans at the time of need and allow input from other family members before the death occurs.</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Preneed funeral contracts are usually paid on an installment basis. The performance of preneed funeral contracts is usually secured by placing the funds collected in trust for the benefit of the customer or by the purchase of a life insurance policy, the proceeds of which will pay for such services at the time of need. Insurance policies, intended to fund preneed funeral contracts, cover the original contract price and generally include an element of growth (earnings) designed to offset future inflationary cost increases. Proceeds from the sale of preneed funeral contracts, along with accumulated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earnings, are not recognized as revenue until the time the funeral service is performed. Additionally, we generally earn a commission from the insurance company from the sale of insurance funded contracts. Although direct marketing costs and commissions incurred from the sale of preneed funeral contracts are a current use of cash, such costs are also deferred and amortized on an actuarial method to match the expected maturity of the preneed contracts. The commission income is</w:t>
      </w:r>
    </w:p>
    <w:p>
      <w:pPr>
        <w:sectPr>
          <w:pgSz w:w="11900" w:h="16838" w:orient="portrait"/>
          <w:cols w:equalWidth="0" w:num="1">
            <w:col w:w="11420"/>
          </w:cols>
          <w:pgMar w:left="240" w:top="131" w:right="239" w:bottom="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t>recognized as revenue when the period of refund expires (generally one year) and helps us defray the costs we incur, which are primarily commissions we pay to our sales counselors.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preneed funeral contracts, we also offer "preplanned" funeral arrangements whereby a client determines in advance substantially all of the details of a funeral service without any financial commitment or other obligation on the part of the client until the actual time of need. Preplanned funeral arrangements permit a family to avoid issues of making death care plans at the time of need and enable a funeral home to establish relationships with a client that may eventually lead to an at-need sale.</w:t>
      </w:r>
    </w:p>
    <w:p>
      <w:pPr>
        <w:spacing w:after="0" w:line="197" w:lineRule="exact"/>
        <w:rPr>
          <w:sz w:val="20"/>
          <w:szCs w:val="20"/>
          <w:color w:val="auto"/>
        </w:rPr>
      </w:pPr>
    </w:p>
    <w:p>
      <w:pPr>
        <w:ind w:right="200" w:firstLine="351"/>
        <w:spacing w:after="0" w:line="318" w:lineRule="auto"/>
        <w:rPr>
          <w:sz w:val="20"/>
          <w:szCs w:val="20"/>
          <w:color w:val="auto"/>
        </w:rPr>
      </w:pPr>
      <w:r>
        <w:rPr>
          <w:rFonts w:ascii="Arial" w:cs="Arial" w:eastAsia="Arial" w:hAnsi="Arial"/>
          <w:sz w:val="15"/>
          <w:szCs w:val="15"/>
          <w:color w:val="auto"/>
        </w:rPr>
        <w:t>Preneed cemetery sales are usually financed through interest-bearing installment sales contracts, generally with terms of up to five years. The interest rates generally range between 9% and 14%. Preneed sales of cemetery interment rights are generally recorded as revenue when 10% of the contract amount has been collected. Merchandise and services revenue is recorded when delivery has occurred. Costs related to generating the preneed contracts and delivery of the products and services are recognized concurrent with the related revenue. We always receive an initial downpayment at the time the contract is signed. Allowances for customer cancellations and refunds are accrued at the date of sale and periodically evaluated thereafter based upon historical experience.</w:t>
      </w:r>
    </w:p>
    <w:p>
      <w:pPr>
        <w:spacing w:after="0" w:line="15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Carriage sold 5,459 and 5,674 preneed funeral contracts during the years ended December 31, 2001 and 2002, respectively. At December 31, 2002, we had a backlog of 63,402 preneed funeral contracts to be delivered in the future. Approximately 18% of the funeral revenues recognized during each of 2001 and 2002 originated through preneed contracts. Cemetery revenues that originated from preneed contracts represented approximately 61% and 55% of Carriage's net cemetery revenues for the year 2001 and the year 2002, respectively.</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2002, we employed a staff of 272 advance-planning representatives for the sale of preneed products and services, which represents an increase of 24% since year-end 2001, but a reduction from the 290 employed at the end of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operating environment in the death care industry has been highly competitive. Publicly traded companies are Service Corporation International, Alderwoods Group, Inc. (formerly known as The Loewen Group, Inc.), and Stewart Enterprises, Inc. In addition, a number of smaller, non-public companies have been active in acquiring and operating funeral homes and cemeteries.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funeral home and cemetery operations usually face competition in the markets that they serve. Our primary competition in most of our markets is from local independent operators. We have observed an increase in new start-up competition in certain areas of the country, which in any one market have not been material but overall has impacted our profitability because of the high fixed cost nature of funeral homes.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There has been increasing competition from providers specializing in specific services, such as cremations, who offer minimal service and low-end pricing. We also face competition from companies that market products and related information over the Internet and non-traditional casket stores in certain markets. We have felt relatively limited impact in our specific markets from these competitors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FUNDS AND INSURANCE CONTRACTS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have established a variety of trusts in connection with our funeral home and cemetery operations as required under applicable state law.</w:t>
      </w:r>
      <w:r>
        <w:rPr>
          <w:rFonts w:ascii="Arial" w:cs="Arial" w:eastAsia="Arial" w:hAnsi="Arial"/>
          <w:sz w:val="18"/>
          <w:szCs w:val="18"/>
          <w:i w:val="1"/>
          <w:iCs w:val="1"/>
          <w:color w:val="auto"/>
        </w:rPr>
        <w:t xml:space="preserve"> </w:t>
      </w:r>
      <w:r>
        <w:rPr>
          <w:rFonts w:ascii="Arial" w:cs="Arial" w:eastAsia="Arial" w:hAnsi="Arial"/>
          <w:sz w:val="18"/>
          <w:szCs w:val="18"/>
          <w:color w:val="auto"/>
        </w:rPr>
        <w:t>Such trusts include (i) preneed funeral trusts; (ii) preneed cemetery merchandise and service trusts; and (iii) perpetual care trusts. These trusts are typically administered by independent financial institutions selected by Carriage. We also use independent financial advisors to consult with us on investment policies and evaluate investment results.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PRENEED FUNERAL TRUSTS AND INSURANCE CONTRACTS. </w:t>
      </w:r>
      <w:r>
        <w:rPr>
          <w:rFonts w:ascii="Arial" w:cs="Arial" w:eastAsia="Arial" w:hAnsi="Arial"/>
          <w:sz w:val="16"/>
          <w:szCs w:val="16"/>
          <w:color w:val="auto"/>
        </w:rPr>
        <w:t>Preneed funeral sales generally require deposits to a trust or purchase of a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product. All preneed funeral sales are deferred until the service is performed. The trust fund income earned and any increase in insurance benefits are also deferred until the service is performed, in order to offset possible inflation in cost when providing the service in the future. The related assets and deferred revenue are reflected on Carriage's balance sheet. In most states, we are not permitted to withdraw principal or investment income from such trusts until the funeral service is performed. Some states, however, allow for the retention of a percentage (generally 10%) of the receipts to offset any administrative and selling expenses, which we defer until the service is provided. The aggregate balance of our preneed funeral contracts held in trust, insurance contracts and receivables from customers, was approximately $220 million and $235 million as of December 31, 2001 and 2002, respectively.</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PRENEED CEMETERY MERCHANDISE AND SERVICE TRUSTS. </w:t>
      </w:r>
      <w:r>
        <w:rPr>
          <w:rFonts w:ascii="Arial" w:cs="Arial" w:eastAsia="Arial" w:hAnsi="Arial"/>
          <w:sz w:val="16"/>
          <w:szCs w:val="16"/>
          <w:color w:val="auto"/>
        </w:rPr>
        <w:t>We are generally required under applicable state laws to deposit a specified amount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varies from state to state, generally 50% to 100% of selling price) into a merchandise and service trust fund for cemetery merchandise and services preneed sales. The related trust fund income earned is recognized when the related merchandise and services are delivered. We are permitted to withdraw the trust principal and the accrued income when the merchandise is purchased, when service is provided by us or when the contract is cancelled. The merchandise and service trust fund balances, in the aggregate, were approximately $40 million and $44 million as of December 31, 2001 and 2002, respectively.</w:t>
      </w:r>
    </w:p>
    <w:p>
      <w:pPr>
        <w:spacing w:after="0" w:line="170"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i w:val="1"/>
          <w:iCs w:val="1"/>
          <w:color w:val="auto"/>
        </w:rPr>
        <w:t xml:space="preserve">PERPETUAL CARE TRUSTS. </w:t>
      </w:r>
      <w:r>
        <w:rPr>
          <w:rFonts w:ascii="Arial" w:cs="Arial" w:eastAsia="Arial" w:hAnsi="Arial"/>
          <w:sz w:val="18"/>
          <w:szCs w:val="18"/>
          <w:color w:val="auto"/>
        </w:rPr>
        <w:t>In most states, regulations require a portion (generally 10%) of the sale amount of cemetery property and memorials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trust. The income from these perpetual care trusts provide the funds necessary to maintain cemetery property and memorials in perpetuity. The trust fund income is recognized, as earned, in cemetery revenues. While we are entitled to withdraw the income from our perpetual care trust to provide for the maintenance of the cemetery property and memorials, we are not entitled to withdraw any of the principal balance of the trust fund and therefore, none of the principal balance is reflected in Carriage's balance sheet. The perpetual care trust balances were approximately $28.6 million and $27.8 million at December 31, 2001 and 2002, respectively.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with respect to Carriage's trusts, see Note 1 of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ectPr>
          <w:pgSz w:w="11900" w:h="16838" w:orient="portrait"/>
          <w:cols w:equalWidth="0" w:num="1">
            <w:col w:w="11420"/>
          </w:cols>
          <w:pgMar w:left="240" w:top="131" w:right="239" w:bottom="5" w:gutter="0" w:footer="0" w:header="0"/>
        </w:sectPr>
      </w:pPr>
    </w:p>
    <w:bookmarkStart w:id="6" w:name="page7"/>
    <w:bookmarkEnd w:id="6"/>
    <w:p>
      <w:pPr>
        <w:ind w:right="460" w:firstLine="351"/>
        <w:spacing w:after="0" w:line="268" w:lineRule="auto"/>
        <w:rPr>
          <w:sz w:val="20"/>
          <w:szCs w:val="20"/>
          <w:color w:val="auto"/>
        </w:rPr>
      </w:pPr>
      <w:r>
        <w:rPr>
          <w:rFonts w:ascii="Arial" w:cs="Arial" w:eastAsia="Arial" w:hAnsi="Arial"/>
          <w:sz w:val="18"/>
          <w:szCs w:val="18"/>
          <w:color w:val="auto"/>
        </w:rPr>
        <w:t>Our funeral home operations are subject to substantial regulation by the Federal Trade Commission (the "FTC"). Certain regulations contain minimum standards for funeral industry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practices, require extensive price and other affirmative disclosures to the customer at the time of sale and impose mandatory itemization requirements for the sale of funeral products and services.</w:t>
      </w:r>
    </w:p>
    <w:p>
      <w:pPr>
        <w:spacing w:after="0" w:line="186"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November 2002, Senator Christopher Dodd introduced the Federal Death Care Inspection and Disclosure Act to enact and extend certain requirements of the FTC's Trade Rule on Funeral Industry Practices to create a private right of action (and statutory minimum damages) for enforcement in addition to the FTC's enforcement rights, to regulate preneed sales and contracts and to provide grants for state enforcement. Congressman Mark Foley introduced similar legislation in the House of Representatives. Key provisions of Senator Dodd's proposed bill include the creation of a position within the Department of Health and Human Services with responsibility to establish minimum standards for the handling and disposition of human remains, a mechanism to handle consumer complaints, the prohibition against unsolicited telephone and door-to-door direct offers to sell funeral goods and services, a requirement that a funeral provider state its affiliation</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with a publicly-traded company and a requirement for certain assurances on prepaid contracts to the consumer. This legislation did not pass in the 107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Congress, but we understand it will be re-introduced in the 108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Congress in 2003. We cannot predict the ultimate outcome of this or any proposed statutes or regulations.</w:t>
      </w:r>
    </w:p>
    <w:p>
      <w:pPr>
        <w:spacing w:after="0" w:line="10"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subject to the requirements of the federal Occupational Safety and Health Act ("OSHA") and comparable state statutes. The OSHA hazard communication standard, the United States Environmental Protection Agency community right-to-know regulations under Title III of the federal Superfund Amendment and Reauthorization Act and similar state statutes require us to organize information about hazardous materials used or produced in our operations. Certain of this information must be provided to employees, state and local governmental authorities and local citizens.</w:t>
      </w:r>
    </w:p>
    <w:p>
      <w:pPr>
        <w:spacing w:after="0" w:line="167"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Our operations, including our preneed sales activities and the management and administration of preneed trust funds, are also subject to extensive regulation, supervision and licensing under numerous state laws and regulations. We believe that we are in substantial compliance with all such laws and regulations.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of December 31, 2002, the Company and its subsidiaries employed 1,948 employees, of whom 1,042 were full-time and 906 part-time. Included in the total number of employees are 272 advance planning representatives. All of our funeral directors and embalmers possess licenses required by applicable regulatory agencies. We believe that our relationship with our employees is good. No employees of Carriage or its subsidiaries are members of a collective bargaining unit.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At December 31, 2002, we operated 144 funeral homes and 30 cemeteries in 29 states. Carriage owns the real estate and buildings for 74% of our funeral homes and leases facilities for the remaining 26%. Carriage owns 25 cemeteries and operates five cemeteries under long-term contracts with municipalities and non-profit organizations at December 31, 2002. Five funeral homes are operated in combination with cemeteries. The 30 cemeteries operated by Carriage have an inventory of unsold developed lots totaling approximately 107,000 and 123,000 at December 31, 2001 and 2002, respectively. In addition, approximately 635 acres are available for future development. We anticipate having a sufficient inventory of lots to maintain our property sales for the foreseeable future. The specialized nature of our business requires that our facilities be well-maintained. Management believes this standard is met.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as of December 31, 2002, regarding Carriage's funeral homes and cemeteries by state:</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8"/>
              </w:rPr>
              <w:t>Funeral Homes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4"/>
          </w:tcPr>
          <w:p>
            <w:pPr>
              <w:ind w:left="200"/>
              <w:spacing w:after="0"/>
              <w:rPr>
                <w:sz w:val="20"/>
                <w:szCs w:val="20"/>
                <w:color w:val="auto"/>
              </w:rPr>
            </w:pPr>
            <w:r>
              <w:rPr>
                <w:rFonts w:ascii="Arial" w:cs="Arial" w:eastAsia="Arial" w:hAnsi="Arial"/>
                <w:sz w:val="14"/>
                <w:szCs w:val="14"/>
                <w:b w:val="1"/>
                <w:bCs w:val="1"/>
                <w:color w:val="auto"/>
                <w:w w:val="92"/>
              </w:rPr>
              <w:t>Number of Cemeteries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1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23"/>
                <w:szCs w:val="23"/>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w w:val="88"/>
              </w:rPr>
              <w:t>Leased(1)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w w:val="89"/>
              </w:rPr>
              <w:t>Owned</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85"/>
              </w:rPr>
              <w:t>Managed</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Idaho</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Kansas</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Montana</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-3211195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-3211195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-3211195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-3211195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-2962275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-2962275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-2962275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-2962275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-2962275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-2962275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-2962275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-2962275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-2962275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-2962275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6000" w:type="dxa"/>
            <w:vAlign w:val="bottom"/>
            <w:gridSpan w:val="3"/>
          </w:tcPr>
          <w:p>
            <w:pPr>
              <w:ind w:left="1600"/>
              <w:spacing w:after="0"/>
              <w:rPr>
                <w:sz w:val="20"/>
                <w:szCs w:val="20"/>
                <w:color w:val="auto"/>
              </w:rPr>
            </w:pPr>
            <w:r>
              <w:rPr>
                <w:rFonts w:ascii="Arial" w:cs="Arial" w:eastAsia="Arial" w:hAnsi="Arial"/>
                <w:sz w:val="18"/>
                <w:szCs w:val="18"/>
                <w:color w:val="auto"/>
              </w:rPr>
              <w:t>Ohio</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16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Texas</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Virginia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18"/>
        </w:trPr>
        <w:tc>
          <w:tcPr>
            <w:tcW w:w="1660" w:type="dxa"/>
            <w:vAlign w:val="bottom"/>
            <w:gridSpan w:val="2"/>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6000" w:type="dxa"/>
            <w:vAlign w:val="bottom"/>
            <w:gridSpan w:val="3"/>
          </w:tcPr>
          <w:p>
            <w:pPr>
              <w:ind w:left="160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120"/>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223"/>
        </w:trPr>
        <w:tc>
          <w:tcPr>
            <w:tcW w:w="1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-460375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-460375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-460375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-460375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-460375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-460375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-460375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-460375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-168910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-168910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-168910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-168910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-168910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-168910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-168910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-168910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4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leases, with respect to these funeral homes, have remaining terms ranging from one to fifteen years, and, generally, we have the right to renew past the initial terms and a right of first refusal on any proposed sale of the property where these funeral homes are located.</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Carriage's corporate headquarters occupy approximately 32,500 square feet of leased office space in Houston, Texas. At December 31, 2002, we operated 637 vehicles, of which 626 are owned and 11 are leased.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Carriage and our subsidiaries are parties to a number of legal proceedings that arise from time to time in the ordinary course of business. While the outcome of these proceedings cannot be predicted with certainty, we do not expect these matters to have a material adverse effect on 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carry insurance with coverages and coverage limits that we believe to be customary in the funeral home and cemetery industries. Although there can be no assurance that such insurance will be sufficient to protect us against all contingencies, we believe that our insurance protection is reasonable in view of the nature and scope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Carriage's Common Stock is traded on the New York Stock Exchange under the symbol "CSV". The following table presents the quarterly high and low sale prices as reported by the New York Stock Exchange:</w:t>
      </w:r>
    </w:p>
    <w:p>
      <w:pPr>
        <w:spacing w:after="0" w:line="182" w:lineRule="exact"/>
        <w:rPr>
          <w:sz w:val="20"/>
          <w:szCs w:val="20"/>
          <w:color w:val="auto"/>
        </w:rPr>
      </w:pPr>
    </w:p>
    <w:p>
      <w:pPr>
        <w:ind w:left="1780"/>
        <w:spacing w:after="0"/>
        <w:tabs>
          <w:tab w:leader="none" w:pos="8160" w:val="left"/>
          <w:tab w:leader="none" w:pos="916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66675</wp:posOffset>
            </wp:positionV>
            <wp:extent cx="500380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223"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6.11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6.90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-633730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-633730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3, 2003, there were 17,348,574 shares of Carriage's Common Stock outstanding. The Common Stock shares outstanding are held by approximately 260 stockholders of record. Each share is entitled to one vote on matters requiring the vote of shareholders. We believe there are approximately 4,700 beneficial owners of the Common Stock. During 2002, the Company's charter was amended to rename the Class A Common Stock as "Common Stock" and increase the total number of authorized shares of common stock from 50,000,000 to 80,000,000.</w:t>
      </w:r>
    </w:p>
    <w:p>
      <w:pPr>
        <w:spacing w:after="0" w:line="167"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never paid a cash dividend on our Common Stock. Carriage currently intends to retain earnings to finance the growth and development of our business and does not anticipate paying any cash dividends on our Common Stock in the foreseeable future. Any future change in our dividend policy will be made at the discretion of our Board of Directors in light of the financial condition, capital requirements, earnings and prospects of Carriage and any restrictions under credit agreements, as well as other factors the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income statement data presented hereunder for the years 1998 through 1999 was prepared using the accounting principles employed prior to the implementation of SAB 101 which was effective January 1, 2000.</w:t>
      </w:r>
    </w:p>
    <w:p>
      <w:pPr>
        <w:sectPr>
          <w:pgSz w:w="11900" w:h="16838" w:orient="portrait"/>
          <w:cols w:equalWidth="0" w:num="1">
            <w:col w:w="11420"/>
          </w:cols>
          <w:pgMar w:left="240" w:top="13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gridSpan w:val="5"/>
          </w:tcPr>
          <w:p>
            <w:pPr>
              <w:jc w:val="right"/>
              <w:ind w:right="147"/>
              <w:spacing w:after="0"/>
              <w:rPr>
                <w:sz w:val="20"/>
                <w:szCs w:val="20"/>
                <w:color w:val="auto"/>
              </w:rPr>
            </w:pPr>
            <w:r>
              <w:rPr>
                <w:rFonts w:ascii="Arial" w:cs="Arial" w:eastAsia="Arial" w:hAnsi="Arial"/>
                <w:sz w:val="14"/>
                <w:szCs w:val="14"/>
                <w:b w:val="1"/>
                <w:bCs w:val="1"/>
                <w:color w:val="auto"/>
                <w:w w:val="84"/>
              </w:rPr>
              <w:t>Year ended December 31,</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292"/>
              <w:spacing w:after="0"/>
              <w:rPr>
                <w:sz w:val="20"/>
                <w:szCs w:val="20"/>
                <w:color w:val="auto"/>
              </w:rPr>
            </w:pPr>
            <w:r>
              <w:rPr>
                <w:rFonts w:ascii="Arial" w:cs="Arial" w:eastAsia="Arial" w:hAnsi="Arial"/>
                <w:sz w:val="14"/>
                <w:szCs w:val="14"/>
                <w:b w:val="1"/>
                <w:bCs w:val="1"/>
                <w:color w:val="auto"/>
              </w:rPr>
              <w:t>1998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85"/>
              </w:rPr>
              <w:t>(in thousands, except per share and operating data)</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STATEMENT DATA:</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Revenues, net: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Funeral</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92,965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125,264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127,261</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124,284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119,299</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Cemetery</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23,876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43,203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35,345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38,209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34,877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net revenues</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116,841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168,467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162,606</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162,493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154,176</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Funeral</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35,539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26,891</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31,471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34,374</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Cemetery</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6,288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10,945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5,285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8,824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8,714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gross profit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46,484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32,176</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40,295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43,088</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7,581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9,265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10,256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8,698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10,841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Special charges and other</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102,250</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0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02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26,743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34,719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(80,330)</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31,597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31,912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(9,720)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(17,709)</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(20,705)</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(20,344)</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19,010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(101,035)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12,162</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7,490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8,323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(8,032)</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(8,116)</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 before cumulative effect of the change in accounting principle</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10,687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(93,003)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20,278</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Cumulative effect of the change in accounting, net</w:t>
            </w:r>
          </w:p>
        </w:tc>
        <w:tc>
          <w:tcPr>
            <w:tcW w:w="2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(38,993)</w:t>
            </w:r>
          </w:p>
        </w:tc>
        <w:tc>
          <w:tcPr>
            <w:tcW w:w="2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10,687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(131,996)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20,278</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 available to common stockholders</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10,594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(132,077)</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20,278</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020" w:type="dxa"/>
            <w:vAlign w:val="bottom"/>
            <w:gridSpan w:val="2"/>
          </w:tcPr>
          <w:p>
            <w:pPr>
              <w:spacing w:after="0"/>
              <w:rPr>
                <w:sz w:val="20"/>
                <w:szCs w:val="20"/>
                <w:color w:val="auto"/>
              </w:rPr>
            </w:pPr>
            <w:r>
              <w:rPr>
                <w:rFonts w:ascii="Arial" w:cs="Arial" w:eastAsia="Arial" w:hAnsi="Arial"/>
                <w:sz w:val="14"/>
                <w:szCs w:val="14"/>
                <w:color w:val="auto"/>
              </w:rPr>
              <w:t>Earnings (loss) per share</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(5.80)</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change in accounting principle</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0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020" w:type="dxa"/>
            <w:vAlign w:val="bottom"/>
            <w:gridSpan w:val="2"/>
          </w:tcPr>
          <w:p>
            <w:pPr>
              <w:spacing w:after="0"/>
              <w:rPr>
                <w:sz w:val="20"/>
                <w:szCs w:val="20"/>
                <w:color w:val="auto"/>
              </w:rPr>
            </w:pPr>
            <w:r>
              <w:rPr>
                <w:rFonts w:ascii="Arial" w:cs="Arial" w:eastAsia="Arial" w:hAnsi="Arial"/>
                <w:sz w:val="14"/>
                <w:szCs w:val="14"/>
                <w:color w:val="auto"/>
              </w:rPr>
              <w:t>Basic earnings (loss) per share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23"/>
                <w:szCs w:val="23"/>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(8.23)</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(5.80)</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change in accounting principle</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0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020" w:type="dxa"/>
            <w:vAlign w:val="bottom"/>
            <w:gridSpan w:val="2"/>
          </w:tcPr>
          <w:p>
            <w:pPr>
              <w:spacing w:after="0"/>
              <w:rPr>
                <w:sz w:val="20"/>
                <w:szCs w:val="20"/>
                <w:color w:val="auto"/>
              </w:rPr>
            </w:pPr>
            <w:r>
              <w:rPr>
                <w:rFonts w:ascii="Arial" w:cs="Arial" w:eastAsia="Arial" w:hAnsi="Arial"/>
                <w:sz w:val="14"/>
                <w:szCs w:val="14"/>
                <w:color w:val="auto"/>
              </w:rPr>
              <w:t>Diluted earnings (loss) per share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3"/>
                <w:szCs w:val="23"/>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(8.23)</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 forma amounts assuming the change in accounting is applied retroactively:</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4"/>
                <w:szCs w:val="14"/>
                <w:color w:val="auto"/>
              </w:rPr>
              <w:t>Income (loss) before cumulative effect of the change in accounting principle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6,673</w:t>
            </w:r>
          </w:p>
        </w:tc>
        <w:tc>
          <w:tcPr>
            <w:tcW w:w="200" w:type="dxa"/>
            <w:vAlign w:val="bottom"/>
          </w:tcPr>
          <w:p>
            <w:pPr>
              <w:spacing w:after="0"/>
              <w:rPr>
                <w:sz w:val="21"/>
                <w:szCs w:val="21"/>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6,078</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(93,003)</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9,002</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20,278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Basic earnings (loss) per share</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(5.80)</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420"/>
              <w:spacing w:after="0"/>
              <w:rPr>
                <w:sz w:val="20"/>
                <w:szCs w:val="20"/>
                <w:color w:val="auto"/>
              </w:rPr>
            </w:pPr>
            <w:r>
              <w:rPr>
                <w:rFonts w:ascii="Arial" w:cs="Arial" w:eastAsia="Arial" w:hAnsi="Arial"/>
                <w:sz w:val="14"/>
                <w:szCs w:val="14"/>
                <w:color w:val="auto"/>
              </w:rPr>
              <w:t>Diluted earnings (loss) per share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21"/>
                <w:szCs w:val="21"/>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(5.80)</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(131,996)</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20,278</w:t>
            </w:r>
          </w:p>
        </w:tc>
        <w:tc>
          <w:tcPr>
            <w:tcW w:w="12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420"/>
              <w:spacing w:after="0"/>
              <w:rPr>
                <w:sz w:val="20"/>
                <w:szCs w:val="20"/>
                <w:color w:val="auto"/>
              </w:rPr>
            </w:pPr>
            <w:r>
              <w:rPr>
                <w:rFonts w:ascii="Arial" w:cs="Arial" w:eastAsia="Arial" w:hAnsi="Arial"/>
                <w:sz w:val="14"/>
                <w:szCs w:val="14"/>
                <w:color w:val="auto"/>
              </w:rPr>
              <w:t>Basic earnings (loss) per share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21"/>
                <w:szCs w:val="21"/>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(8.23)</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Diluted earnings (loss) per share</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(8.23)</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w w:val="95"/>
              </w:rPr>
              <w:t>Weighted average number of common and common equivalent shares outstanding:</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15,875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16,056</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16,973</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502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13,808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16,136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16,056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17,492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AND FINANCIAL DATA:</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Funeral homes at end of period</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Cemeteries at end of period</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Funeral services performed during period</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16,881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22,869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23,150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21,547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20,676</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Preneed funeral contracts sold</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9,814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7,651</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5,674</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Backlog of preneed funeral contracts</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57,185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83,754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89,391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64,947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63,402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16,992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21,407</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11,108</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SHEET DATA:</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466,144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539,590</w:t>
            </w:r>
          </w:p>
        </w:tc>
        <w:tc>
          <w:tcPr>
            <w:tcW w:w="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709,051</w:t>
            </w:r>
          </w:p>
        </w:tc>
        <w:tc>
          <w:tcPr>
            <w:tcW w:w="240" w:type="dxa"/>
            <w:vAlign w:val="bottom"/>
          </w:tcPr>
          <w:p>
            <w:pPr>
              <w:jc w:val="right"/>
              <w:ind w:right="47"/>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699,902</w:t>
            </w:r>
          </w:p>
        </w:tc>
        <w:tc>
          <w:tcPr>
            <w:tcW w:w="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703,754</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11,546</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22,185</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13,892</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(1,006)</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(1,598)</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Long-term debt, net of current maturities</w:t>
            </w:r>
          </w:p>
        </w:tc>
        <w:tc>
          <w:tcPr>
            <w:tcW w:w="2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212,972</w:t>
            </w:r>
          </w:p>
        </w:tc>
        <w:tc>
          <w:tcPr>
            <w:tcW w:w="220" w:type="dxa"/>
            <w:vAlign w:val="bottom"/>
          </w:tcPr>
          <w:p>
            <w:pPr>
              <w:spacing w:after="0"/>
              <w:rPr>
                <w:sz w:val="12"/>
                <w:szCs w:val="12"/>
                <w:color w:val="auto"/>
              </w:rPr>
            </w:pPr>
          </w:p>
        </w:tc>
        <w:tc>
          <w:tcPr>
            <w:tcW w:w="9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178,942</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176,662</w:t>
            </w:r>
          </w:p>
        </w:tc>
        <w:tc>
          <w:tcPr>
            <w:tcW w:w="2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148,508</w:t>
            </w:r>
          </w:p>
        </w:tc>
        <w:tc>
          <w:tcPr>
            <w:tcW w:w="2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141,207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1,673</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91,026</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91,100</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90,058</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90,193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Shareholders' equity</w:t>
            </w:r>
          </w:p>
        </w:tc>
        <w:tc>
          <w:tcPr>
            <w:tcW w:w="2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200,394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212,009</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77,237</w:t>
            </w:r>
          </w:p>
        </w:tc>
        <w:tc>
          <w:tcPr>
            <w:tcW w:w="2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81,578</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98,091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-8697595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-8697595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-8448675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-8448675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-8448675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-8448675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-8448675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-8448675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-8448675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-8448675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-8448675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-8448675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-7668260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-7668260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-7668260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-7668260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-7668260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-7668260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-7668260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-7668260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-7668260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-7668260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-7419975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-7419975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-7419975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-7419975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-7419975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-7419975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-7419975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-7419975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-7419975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-7419975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-6982460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-6982460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-6982460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-6982460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-6982460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-6982460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-6982460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-6982460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-6982460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-6982460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-6544945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-6544945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-6544945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-6544945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-6544945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-6544945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-6544945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-6544945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-6544945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-6544945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-6107430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-6107430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-6107430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-6107430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-6107430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-6107430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-6107430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-6107430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-6107430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-6107430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-5764530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-5764530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-5764530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-5764530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-5764530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-5764530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-5764530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-5764530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-5764530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-5764530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-5233035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-5233035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-5233035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-5233035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-5233035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-5233035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-5233035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-5233035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-5233035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-5233035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-4435475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-4435475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-4435475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-4435475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-4435475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-4435475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-4435475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-4435475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-4435475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-4435475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-3731895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-3731895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-3731895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-3731895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-3731895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-3731895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-3731895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-3731895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-3731895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-3731895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-661670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business strategy is to emphasize increasing operating cash flow and improving profitability at each business location through strategies that carry out our culture of service and leadership excellence. We do not expect our strategy will require significant investments of new capital over the next two years. We plan to continue reducing our debt and improving our leverage ratios. Our focus is on continuing to improve our organizational leadership and quality of personnel. Successful execution during 2001 and 2002 has, in our view, positioned the Company as a leader in our industry and improved our financial flexibility. We expect to replace our revolving credit facility during 2003 and prior to its maturity in June 2004. We expect to resume selective acquisitions later in 2004.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Company's revenues and earnings for the year ended December 31, 2001 to the year ended December 31, 2002 is as follows:</w:t>
      </w:r>
    </w:p>
    <w:p>
      <w:pPr>
        <w:sectPr>
          <w:pgSz w:w="11900" w:h="16838" w:orient="portrait"/>
          <w:cols w:equalWidth="0" w:num="1">
            <w:col w:w="11420"/>
          </w:cols>
          <w:pgMar w:left="240" w:top="127"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COMPARISON OF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 31, 2001 VS YEAR ENDED DEC. 31, 2002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Before Taxes</w:t>
            </w:r>
          </w:p>
        </w:tc>
        <w:tc>
          <w:tcPr>
            <w:tcW w:w="22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(000's)</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Year Ended December 31, 2001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Adjustment of tax rate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goodwill amortization per SFAS 142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Change in accounting for taxes related to goodwill</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2001, as adjusted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Properties disposed</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(4,717)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Properties acquired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Lower preneed funeral commissions</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Termination and tax project costs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Special charges and other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Lower interest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Lower depreciation and other amortization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performance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(2,185)</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18"/>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3"/>
              </w:rPr>
              <w:t>Year Ended Dec. 31, 2002 excluding reversal of deferred tax valuation</w:t>
            </w: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allowance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tcPr>
          <w:p>
            <w:pPr>
              <w:spacing w:after="0"/>
              <w:rPr>
                <w:sz w:val="19"/>
                <w:szCs w:val="19"/>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7,478</w:t>
            </w:r>
          </w:p>
        </w:tc>
        <w:tc>
          <w:tcPr>
            <w:tcW w:w="2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 of deferred tax valuation allowance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gridSpan w:val="2"/>
          </w:tcPr>
          <w:p>
            <w:pPr>
              <w:spacing w:after="0"/>
              <w:rPr>
                <w:sz w:val="20"/>
                <w:szCs w:val="20"/>
                <w:color w:val="auto"/>
              </w:rPr>
            </w:pPr>
            <w:r>
              <w:rPr>
                <w:rFonts w:ascii="Arial" w:cs="Arial" w:eastAsia="Arial" w:hAnsi="Arial"/>
                <w:sz w:val="18"/>
                <w:szCs w:val="18"/>
                <w:color w:val="auto"/>
              </w:rPr>
              <w:t>Reported Year Ended December 31, 2002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494"/>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-3569970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-3569970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-3569970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-3569970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-3569970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-3569970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-3569970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-3569970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-2618105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-2618105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-2618105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-2618105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-2618105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-2618105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-2618105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-2618105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-1228725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-1228725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-1228725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-1228725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-1228725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-1228725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-1228725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-1228725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-662940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-662940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-662940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-662940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-662940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-662940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-662940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-662940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effect the reported amounts of assets, liabilities, revenues and expenses. On an on-going basis, we evaluate estimates and judgments, including those related to revenue recognition, realization of accounts receivable, intangible assets, property and equipment and deferred tax assets. We base our estimates on historical experience, third party data and assumptions 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the margins, operating income and net earnings as a percentage of revenues will be sustained consistently from year to year.</w:t>
      </w:r>
    </w:p>
    <w:p>
      <w:pPr>
        <w:spacing w:after="0" w:line="172"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presented herewith, which have been prepared in accordance with accounting principles generally accepted in the United States of America. Our significant accounting policies are summarized in Note 1. We believe the following critical accounting policies affect our more significant judgments and estimates used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record the sales of funeral merchandise and services when the funeral service is performed. Sales of cemetery interment rights are recorded as revenue in accordance with the retail land sales provisions of Statement of Financial Accounting Standards (SFAS) No. 66, "Accounting for Sales of Real Estate". This method generally provides for the recognition of revenue in the period in which the customer's cumulative payments exceed 10% of the contract price related to the real estate. Costs related to the sales of interment rights, which include property and other costs related to cemetery development activities, are charged to operations using the specific identification method in the period in which the sale of the interment right is recognized as revenue. Revenue from the sales of cemetery merchandise and services are recognized in the period in which the merchandise is delivered or the service is performed. Revenues to be recognized from the delivery of merchandise and performance of services related to contracts that were acquired in acquisitions are typically lower than those originated by the Company and are likely to exceed the cash collected from the contract and received from the trust at maturity.</w:t>
      </w:r>
    </w:p>
    <w:p>
      <w:pPr>
        <w:spacing w:after="0" w:line="172" w:lineRule="exact"/>
        <w:rPr>
          <w:sz w:val="20"/>
          <w:szCs w:val="20"/>
          <w:color w:val="auto"/>
        </w:rPr>
      </w:pPr>
    </w:p>
    <w:p>
      <w:pPr>
        <w:jc w:val="both"/>
        <w:ind w:right="320" w:firstLine="341"/>
        <w:spacing w:after="0" w:line="298" w:lineRule="auto"/>
        <w:rPr>
          <w:sz w:val="20"/>
          <w:szCs w:val="20"/>
          <w:color w:val="auto"/>
        </w:rPr>
      </w:pPr>
      <w:r>
        <w:rPr>
          <w:rFonts w:ascii="Arial" w:cs="Arial" w:eastAsia="Arial" w:hAnsi="Arial"/>
          <w:sz w:val="16"/>
          <w:szCs w:val="16"/>
          <w:color w:val="auto"/>
        </w:rPr>
        <w:t>Allowances for customer cancellations, refunds and bad debts are provided at the date of sale based on our historical experience. In addition, we monitor changes in delinquency rates and provide additional bad debt and cancellation reserves when warranted. When preneed funeral services and merchandise are funded through third-party insurance policies, we earn a commission on the sale of the policies. Insurance commissions are recognized as revenues when the commission is no longer subject to refund, which is typically one year after the policy is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Contracts &amp; Deferred Preneed Funeral Contracts Revenue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Cash proceeds from preneed funeral sales are deposited to a trust or to purchase of a third-party insurance product. Unperformed guaranteed preneed funeral contracts are included in the consolidated balance sheets as preneed funeral contracts. The balance in this asset account represents amounts due from customer receivables and third-party insurance companies, and the amounts deposited with the trustee and the accumulated earnings on these deposits. A corresponding credit is recorded to deferred preneed funeral contracts revenue. The funeral revenue is not recorded until the service is performed. The trust income earned and the increases in insurance benefits on the insurance products are also</w:t>
      </w:r>
    </w:p>
    <w:p>
      <w:pPr>
        <w:sectPr>
          <w:pgSz w:w="11900" w:h="16838" w:orient="portrait"/>
          <w:cols w:equalWidth="0" w:num="1">
            <w:col w:w="11400"/>
          </w:cols>
          <w:pgMar w:left="240" w:top="125" w:right="259" w:bottom="22"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22" w:gutter="0" w:footer="0" w:header="0"/>
          <w:type w:val="continuous"/>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deferred until the service is performed, in order to offset inflation in cost to provide the service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Obtaining Costs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Deferred obtaining costs consist of sales commissions and other direct related costs of originating preneed sales contracts. These costs are deferred and amortized into funeral and cemetery costs and expenses over the expected timing of the performance of the services or delivery of the merchandise covered by the preneed contracts. Effective October 1, 2001, we adopted an actuarial method that more closely matches the expected maturity of the preneed contracts. The effect of this change was to reduce expense in the fourth quarter of 2001 by approximately $0.5 million and for the year 2002 by approximately $1.8 million from that which would have been recorded using the prior amortization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excess of the purchase price over the fair value of net identifiable assets acquired, as determined by management in transactions accounted for as purchases, is recorded as goodwill. Many of the acquired funeral homes have provided high quality service to families for generations. The resulting loyalty often represents a substantial portion of the value of a funeral business. Goodwill is typically not associated with or recorded for the cemetery businesses. In accordance with SFAS No. 142, we review the carrying value of goodwill at least annually on a regional basis to determine if facts and circumstances exist which would suggest that this intangible asset might be carried in excess of fair value. Fair value is determined by discounting the estimated future cash flows of the businesses in each region at the Company's weighted average cost of capital less debt allocable to the region. The calculation of fair value can vary dramatically with changes in estimates of the number of future services performed, inflation in costs and the Company's cost of capital. If impairment is indicated, then an adjustment will be made to reduce the carrying amount of goodwill to fair value.</w:t>
      </w:r>
    </w:p>
    <w:p>
      <w:pPr>
        <w:spacing w:after="0" w:line="172"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Pursuant to the implementation of SFAS No. 142 as discussed in the "Accounting Changes" section below, the Company no longer amortizes goodwill effective as of the beginning of 2002. Amortization of goodwill recorded during the years ended December 31, 2000 and 2001 totaled $5.7 million and $4.5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Company and its subsidiaries file a consolidated U.S. federal income tax return. We record deferred taxes for temporary differences between the tax basis and financial reporting basis of assets and liabilities, in accordance with SFAS No. 109, "Accounting for Income Taxes".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2001, the Company had an effective financial statement tax rate of 20 percent, reflecting the benefit of previously unrecognized tax losses from prior periods related to the Fresh Start restructuring program. When the Company incurred the Fresh Start restructuring costs and write-downs in late 2000, the Company recorded a "valuation allowance" to offset these tax benefits until such time that it could be determined that the Company would be able to deduct them. Management determined in the first quarter of 2002 that it is more likely than not that the Company will be able to utilize substantially all of these previously unrecognized tax benefits. Accordingly, in the first quarter of 2002 the Company eliminated substantially all of the valuation allowance which resulted in a tax benefit in the amount of $12.8 million, equal to $0.73 per diluted share. The Company recorded income taxes at the effective rate of 38.5 percent in 2002, excluding the affect of the reversal of the deferred tax valuation allowance. Had the Company also used the 38.5 percent tax rate for the year ended December 31, 2001, net income for that period, including the related tax effect of the change in accounting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goodwill amortization discussed above, would have been lower by $3.2 million or $0.18 per diluted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operating loss carryforwards for Federal and state income tax reporting purposes (See Note 10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Employee Stock Purchase Plan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has four stock option plans currently in effect under which stock options may be issued. Additionally, the Company sponsors an Employee Stock Purchase Plan (ESPP) under which employees can purchase common stock at a discount. The stock options are granted with an exercise price equal to or greater than the fair market value of the Company's Common Stock. Substantially all of the options granted under the four stock option plans have ten-year terms. The options generally vest over a period of two to four years. The Company accounts for stock options and shares issued under the ESPP under APB Opinion No. 25, under which no compensation cost is recognized in the Consolidated Statement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RECENTLY ISSUED ACCOUNTING STANDARDS</w:t>
      </w:r>
    </w:p>
    <w:p>
      <w:pPr>
        <w:spacing w:after="0" w:line="24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addresses financial accounting and reporting for goodwill and other intangible assets acquired in a business combination at acquisition. SFAS No. 142 addresses how intangible assets that are acquired individually or with a group of other assets (but not those acquired in a business combination) should be accounted for in financial statements upon their acquisition. This Statement also addresses how goodwill and other intangible assets should be accounted for after they have been initially recognized in the financial statements.</w:t>
      </w:r>
    </w:p>
    <w:p>
      <w:pPr>
        <w:spacing w:after="0" w:line="170"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Company adopted SFAS No. 142 as of the beginning of the first quarter of 2002. The effect of SFAS No. 142 on the Company is the elimination of the amortization of goodwill, which prior to 2002 was amortized over 40 years, and the testing for impairment of goodwill on an annual basis. Had the adoption of SFAS No. 142 occurred at the beginning of the previous year, the results would have been as follows (in thousands,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 the year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jc w:val="right"/>
              <w:ind w:right="442"/>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right"/>
              <w:ind w:right="442"/>
              <w:spacing w:after="0"/>
              <w:rPr>
                <w:sz w:val="20"/>
                <w:szCs w:val="20"/>
                <w:color w:val="auto"/>
              </w:rPr>
            </w:pPr>
            <w:r>
              <w:rPr>
                <w:rFonts w:ascii="Arial" w:cs="Arial" w:eastAsia="Arial" w:hAnsi="Arial"/>
                <w:sz w:val="14"/>
                <w:szCs w:val="14"/>
                <w:b w:val="1"/>
                <w:bCs w:val="1"/>
                <w:color w:val="auto"/>
              </w:rPr>
              <w:t>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(95,372)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(126,333)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-382905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-382905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-382905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-382905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590" w:right="239" w:bottom="0" w:gutter="0" w:footer="0" w:header="0"/>
        </w:sectPr>
      </w:pPr>
    </w:p>
    <w:bookmarkStart w:id="11" w:name="page12"/>
    <w:bookmarkEnd w:id="11"/>
    <w:p>
      <w:pPr>
        <w:spacing w:after="0" w:line="45" w:lineRule="exact"/>
        <w:rPr>
          <w:sz w:val="20"/>
          <w:szCs w:val="20"/>
          <w:color w:val="auto"/>
        </w:rPr>
      </w:pPr>
    </w:p>
    <w:p>
      <w:pPr>
        <w:spacing w:after="0"/>
        <w:tabs>
          <w:tab w:leader="none" w:pos="6000" w:val="left"/>
          <w:tab w:leader="none" w:pos="7760" w:val="left"/>
          <w:tab w:leader="none" w:pos="8340" w:val="left"/>
          <w:tab w:leader="none" w:pos="10180" w:val="left"/>
        </w:tabs>
        <w:rPr>
          <w:sz w:val="20"/>
          <w:szCs w:val="20"/>
          <w:color w:val="auto"/>
        </w:rPr>
      </w:pPr>
      <w:r>
        <w:rPr>
          <w:rFonts w:ascii="Arial" w:cs="Arial" w:eastAsia="Arial" w:hAnsi="Arial"/>
          <w:sz w:val="18"/>
          <w:szCs w:val="18"/>
          <w:color w:val="auto"/>
        </w:rPr>
        <w:t>Diluted earnings (loss)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(7.87)</w:t>
        <w:tab/>
        <w:t>$</w:t>
      </w:r>
      <w:r>
        <w:rPr>
          <w:sz w:val="20"/>
          <w:szCs w:val="20"/>
          <w:color w:val="auto"/>
        </w:rPr>
        <w:tab/>
      </w:r>
      <w:r>
        <w:rPr>
          <w:rFonts w:ascii="Arial" w:cs="Arial" w:eastAsia="Arial" w:hAnsi="Arial"/>
          <w:sz w:val="15"/>
          <w:szCs w:val="15"/>
          <w:color w:val="auto"/>
        </w:rPr>
        <w:t>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66369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performed a review of goodwill as of January 1, 2002 by comparing the fair value of the Company's reporting units (funeral home businesses by region) to the carrying value of the reporting units, and no impairment was recorded at the implementation date of the new accounting standard. Goodwill acquired during 2002, included $1.0 million for performance-based contingent consideration payments on a prior year acquisition and $0.9 million for a funeral home acquisition in the second quarter of 2002.</w:t>
      </w:r>
    </w:p>
    <w:p>
      <w:pPr>
        <w:spacing w:after="0" w:line="22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SFAS No. 144 addresses financial accounting and reporting of long-lived assets, other than goodwill, that are to be held and used or disposed by sale or otherwise, and is effective for financial statements issued for fiscal years beginning after December 15, 2001. The Company adopted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SFAS No. 144 in 2002 which had no effect on the Company's results of operations. See Note 4 to the consolidated financial statements for the restatement of the amounts classified as Assets Held for Sale.</w:t>
      </w:r>
    </w:p>
    <w:p>
      <w:pPr>
        <w:spacing w:after="0" w:line="19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Gains and Losses from Extinguishment of Debt</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provisions, SFAS No. 145 rescinds SFAS No. 4, "Reporting Gains and Losses from Extinguishment of Debt". Accordingly, gains or losses from extinguishment of debt shall not be reported as extraordinary items unless the extinguishment qualifies as an extraordinary item under the criteria of APB No. 30. Gains and losses from extinguishment of debt that do not meet the criteria of APB No. 30 should be reclassified to income from continuing operations in all prior periods presented. SFAS No. 145 is effective for fiscal years beginning after May 15, 2002.</w:t>
      </w:r>
    </w:p>
    <w:p>
      <w:pPr>
        <w:spacing w:after="0" w:line="18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Disposal Activities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July 2002, the FASB issued SFAS No. 146, "Accounting for Costs Associated with Exit or Disposal Activities." SFAS No. 146 addresses financial accounting and reporting for costs associated with exit or disposal activities. This statement requires that a liability for a cost associated with an exit or disposal activity be recognized when the liability is incurred. Previous guidance, provided under Emerging Issues Task Force ("EITF") No. 94-3, "Liability Recognition for Certain Employee Termination Benefits and Other Costs to Exit an Activity (including certain costs incurred in a restructuring)," required an exit cost liability to be recognized at the date of an entity's commitment to an exit plan. The provisions of this statement are effective for exit or disposal activities that are initiated by a company after December 31, 2002.</w:t>
      </w:r>
    </w:p>
    <w:p>
      <w:pPr>
        <w:spacing w:after="0" w:line="22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SFAS 148 provides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This Statement is effective for financial statements for fiscal years ending after December 15, 2002. The Company accounts for stock options and shares issued pursuant to its employee stock purchase plan under APB Opinion No. 25, under which no compensation expense is recognized in the Consolidated Statement of Operations. The difference between the two acceptable methods of accounting is disclosed in Note 11 to the consolidated financial statements.</w:t>
      </w:r>
    </w:p>
    <w:p>
      <w:pPr>
        <w:spacing w:after="0" w:line="186"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2003, the FASB issued FASB Interpretation No. 46, "Consolidation of Variable Interest Entities." FIN No. 46 clarifies the application of Accounting Research Bulletin No. 51, "Consolidated Financial Statements", to require consolidation of business entities under certain circumstances, particularly with respect to certain entities in which equity investors do not have the characteristics of a controlling financial interest or do not have sufficient equity at risk for the entity to finance its activities without additional subordinated financial support from other parties. An enterprise that consolidates a variable interest entity is the primary beneficiary of the variable interest entity. The primary beneficiary of a variable interest entity is the party that absorbs a majority of the entity's expected losses, receives a majority of its expected residual returns, or both, as a result of holding variable interests, which are the ownership, contractual, or other primary interests in an entity. The Company is currently evaluating FIN No. 46 to determine if its application would change the manner in which it accounts for preneed trusts. The provisions of this statement would be effective beginning with Carriage's third quarter of 2003.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INCOME AND OPERATIONAL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income statement data for Carriage expressed as a percentage of net revenues for the periods presented:</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5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gross profit</w:t>
            </w: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64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income, excluding special charges</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-1015365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-1015365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-767080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-767080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-767080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-767080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-767080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-767080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00"/>
          </w:cols>
          <w:pgMar w:left="240" w:top="131" w:right="259" w:bottom="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The following table sets forth the number of funeral homes and cemeteries owned and operated by Carriage for the periods presented:</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6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Funeral homes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Acquisitions or openings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 mergers or closures of existing funeral homes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4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spacing w:after="0"/>
              <w:rPr>
                <w:sz w:val="20"/>
                <w:szCs w:val="20"/>
                <w:color w:val="auto"/>
              </w:rPr>
            </w:pPr>
            <w:r>
              <w:rPr>
                <w:rFonts w:ascii="Arial" w:cs="Arial" w:eastAsia="Arial" w:hAnsi="Arial"/>
                <w:sz w:val="18"/>
                <w:szCs w:val="18"/>
                <w:color w:val="auto"/>
              </w:rPr>
              <w:t>Funeral homes at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Cemeteries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Acquisitions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4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spacing w:after="0"/>
              <w:rPr>
                <w:sz w:val="20"/>
                <w:szCs w:val="20"/>
                <w:color w:val="auto"/>
              </w:rPr>
            </w:pPr>
            <w:r>
              <w:rPr>
                <w:rFonts w:ascii="Arial" w:cs="Arial" w:eastAsia="Arial" w:hAnsi="Arial"/>
                <w:sz w:val="18"/>
                <w:szCs w:val="18"/>
                <w:color w:val="auto"/>
              </w:rPr>
              <w:t>Cemeteries at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-2012315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-2012315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-1764030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-1764030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-1764030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-1764030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-1764030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-1764030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-1197610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-1197610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-1197610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-1197610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-1197610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-1197610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following is a discussion of Carriage's results of operations for 2000, 2001, and 2002. For purposes of this discussion, the Company's locations are in three groups, as a result of the annual stratification of our funeral home and cemetery portfolios. A "core" group, which represents approximately two-thirds of our revenues and cash flow, a second "underperforming" group, and a third group consisting of businesses that are "targeted for sale". The term "same-store" refers to funeral homes and cemeteries owned and operated for the entirety of each period being compared.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TO YEAR ENDED DECEMBER 31, 2001</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Funeral Home Segment. The following sets forth certain information regarding Carriage's net revenues and gross profit from our funeral home operations during the years ended December 31, 2001 and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ind w:left="50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(dollars in thousands)</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Location same-store 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Core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76,689</w:t>
            </w:r>
          </w:p>
        </w:tc>
        <w:tc>
          <w:tcPr>
            <w:tcW w:w="20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77,134</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Underperforming</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34,914</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35,127</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Targeted for 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same-store revenue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115,700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116,292</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Acquired, sold and closed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(3,445)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8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124,284</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119,299</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(4,985)</w:t>
            </w:r>
          </w:p>
        </w:tc>
        <w:tc>
          <w:tcPr>
            <w:tcW w:w="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EBITDA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41,933</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Field EBITDA margin</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Same-store gross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27,126</w:t>
            </w:r>
          </w:p>
        </w:tc>
        <w:tc>
          <w:tcPr>
            <w:tcW w:w="20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32,546</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sold and closed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-3616325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-3616325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-3616325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-3616325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-3367405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-3367405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-3367405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-3367405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-3367405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-3367405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-3367405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-3367405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-2364105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-2364105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-2364105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-2364105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-2364105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-2364105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-1781175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-1781175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-1781175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-1781175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-1781175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-1781175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-477520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-477520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-477520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-477520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-477520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-477520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Funeral same-store revenues for the year ended December 31, 2002 increased 0.5% when compared to the year ended December 31, 2001, as we experienced a decrease of 1.4% in the number of services and an increase of 1.9% in the average revenue per service for those existing operations. The decrease in the number of services compares favorably with the reported 1.6% decline in the national death rates for 2002. The increase in the average revenue per service, which equated to 1.9%, was hampered by an increase from 27% to 28% in the percentage of funeral services involving cremations, which generally have a lower sales value. The average revenue for cremation services increased 3.8% from year to year. The number of funeral services decreased 1.1% for the core group in comparing 2002 to 2001, and the average revenue per service for those existing locations increased 1.7% in comparing those same periods. The number of funeral services performed by the underperforming group decreased 2.0% while the average revenue per service increased 2.6% in comparing 2002 to 2001. In addition to the net revenues from funeral location operations above, insurance commission revenues from preneed funeral contract sales totaled $1.5 million for 2002, as compared to $3.7 million for 2001, primarily due to nonrecurring commissions in the prior year period on the conversion of trust funded contracts to insurance funded contracts.</w:t>
      </w:r>
    </w:p>
    <w:p>
      <w:pPr>
        <w:sectPr>
          <w:pgSz w:w="11900" w:h="16838" w:orient="portrait"/>
          <w:cols w:equalWidth="0" w:num="1">
            <w:col w:w="11420"/>
          </w:cols>
          <w:pgMar w:left="240" w:top="131" w:right="239" w:bottom="0" w:gutter="0" w:footer="0" w:header="0"/>
        </w:sectPr>
      </w:pPr>
    </w:p>
    <w:bookmarkStart w:id="13" w:name="page14"/>
    <w:bookmarkEnd w:id="13"/>
    <w:p>
      <w:pPr>
        <w:ind w:right="320" w:firstLine="348"/>
        <w:spacing w:after="0" w:line="332" w:lineRule="auto"/>
        <w:rPr>
          <w:sz w:val="20"/>
          <w:szCs w:val="20"/>
          <w:color w:val="auto"/>
        </w:rPr>
      </w:pPr>
      <w:r>
        <w:rPr>
          <w:rFonts w:ascii="Arial" w:cs="Arial" w:eastAsia="Arial" w:hAnsi="Arial"/>
          <w:sz w:val="16"/>
          <w:szCs w:val="16"/>
          <w:color w:val="auto"/>
        </w:rPr>
        <w:t>Total funeral same-store gross profit for the year ended December 31, 2002 increased $5.4 million or 20% from the comparable year of 2001. The higher gross profit is primarily due to the elimination of goodwill amortization which totaled $4.5 million during the year ended December 31, 2001.</w:t>
      </w:r>
    </w:p>
    <w:p>
      <w:pPr>
        <w:spacing w:after="0" w:line="139"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Total funeral field EBITDA for the year ended December 31, 2002 decreased $1.8 million or 4.1% from the comparable prior year, the largest factor for which was the contribution associated with businesses we sold during 2001. As a percentage of revenue, the field EBITDA margin for the year ended December 31, 2002 of 35.6% declined 0.7% compared with the prior year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Cemetery Segment. The following sets forth certain information regarding Carriage's net revenues and gross profit from cemetery operations for the years ended December 31, 2001 and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Acquired or sold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40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3"/>
          </w:tcPr>
          <w:p>
            <w:pPr>
              <w:spacing w:after="0"/>
              <w:rPr>
                <w:sz w:val="20"/>
                <w:szCs w:val="20"/>
                <w:color w:val="auto"/>
              </w:rPr>
            </w:pPr>
            <w:r>
              <w:rPr>
                <w:rFonts w:ascii="Arial" w:cs="Arial" w:eastAsia="Arial" w:hAnsi="Arial"/>
                <w:sz w:val="18"/>
                <w:szCs w:val="18"/>
                <w:color w:val="auto"/>
              </w:rPr>
              <w:t>Field EBITDA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14,781</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13,505</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EBITDA margin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Same-store gross profit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Acquired or sold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-2586990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-2586990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-2586990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-2586990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-2338070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-2338070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-2338070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-2338070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-2338070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-2338070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-2338070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-2338070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-1661160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-1661160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-1661160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-1661160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-1661160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-1661160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-477520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-477520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-477520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-477520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-477520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Cemetery same-store net revenues for the year ended December 31, 2002 decreased $2.8 million, or 7.4%, over the year ended December 31, 2001, and cemetery same-store gross profit decreased $0.1 million, or 1.5%, over the comparable year of 2001. No cemetery locations were sold or discontinued in 2002. Sales of property merchandise and services on an at-need basis increased 4.0% from $13.3 million in 2001 to $13.8 million in 2002. Preneed cemetery sales have been negatively affected by the weak economy and internal challenges in restaffing the preneed sales group. In particular, we experienced a 15.0% decrease in preneed sales of interment and entombment sites from $12.2 million to $10.4, and a decrease of $0.4 million in finance charges earned on preneed receivables. Income from trust funds was substantially the same in both years. Total gross margin increased from 23.1% for the year ended December 31, 2001 to 25% for the year ended December 31, 2002. Gross margin in the current year period benefited by a lower bad debt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General and administrative expenses for the year ended December 31, 2002 increased $2.1 million as compared to the year ended December 31, 2001. These expenses, as a percentage of net revenues, increased from 5.4% to 7.0% primarily because of a $0.7 million charge related to the termination of an employment agreement with a former officer and $0.5 million in professional fees incurred in connection with changes in tax accounting methods during 2002. Excluding these two unusual charges, general and administrative expenses totaled 6.2% of net revenues. Higher salaries and benefits accounted for the remaining increase in year-over-year expenses.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Interest expense and other financing costs for the year ended December 31, 2002 declined slightly compared to the year ended December 31, 2001 primarily because average debt outstanding was less than the average debt outstanding in the same period for 2001. Additional amortization in the amount of $0.5 million was recorded in 2002 because of the reduction in the maximum principal available under the Company's revolving credit facility from $100 million to $75 million and paydowns on the senior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the provision (benefit) of income taxes for the Company for the year ended December 31, 2002.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jc w:val="center"/>
              <w:ind w:right="472"/>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88"/>
              </w:rPr>
              <w:t>Year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December 31,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b w:val="1"/>
                <w:bCs w:val="1"/>
                <w:color w:val="auto"/>
                <w:w w:val="87"/>
              </w:rPr>
              <w:t>Percent of</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Pretax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Provision for income taxes before the reduction of the deferred tax asset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2,251</w:t>
            </w:r>
          </w:p>
        </w:tc>
        <w:tc>
          <w:tcPr>
            <w:tcW w:w="7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20% $</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-792480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-792480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-792480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-792480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-354965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-354965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-354965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-354965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-354965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-354965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-354965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-354965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Reduction of deferred tax asset valuation allowance</w:t>
            </w:r>
          </w:p>
        </w:tc>
        <w:tc>
          <w:tcPr>
            <w:tcW w:w="3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(12,800)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20% $</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-323215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Company has a net operating loss carryforward for Federal income tax purposes. See Note 10 to the consolidated financial statements. Because of the ability to use the net operating loss to offset taxable income and the timing of when revenue and expenses are recognized for tax purposes, we do not expect to pay Federal income taxes in 2003 and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2001 COMPARED TO YEAR ENDED DECEMBER 31, 2000</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Funeral Home Segment. The following sets forth certain information regarding Carriage's net revenues and gross profit from our funeral home operations during the years ended December 31, 2000 and 2001: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ind w:left="50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(dollars in thousands)</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Location same-store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Core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76,462</w:t>
            </w:r>
          </w:p>
        </w:tc>
        <w:tc>
          <w:tcPr>
            <w:tcW w:w="2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77,592</w:t>
            </w:r>
          </w:p>
        </w:tc>
        <w:tc>
          <w:tcPr>
            <w:tcW w:w="2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Underperforming</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Targeted for 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same-store revenue</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116,975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Acquired, sold and discontinued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(7,127)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9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127,261</w:t>
            </w:r>
          </w:p>
        </w:tc>
        <w:tc>
          <w:tcPr>
            <w:tcW w:w="2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124,284</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EBITDA</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Field EBITDA margin</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Same-store gross profit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24,268</w:t>
            </w:r>
          </w:p>
        </w:tc>
        <w:tc>
          <w:tcPr>
            <w:tcW w:w="2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27,185</w:t>
            </w:r>
          </w:p>
        </w:tc>
        <w:tc>
          <w:tcPr>
            <w:tcW w:w="2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sold and discontinued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-3616325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-3616325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-3616325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-3616325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-3367405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-3367405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-3367405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-3367405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-3367405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-3367405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-3367405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-3367405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-2364105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-2364105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-2364105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-2364105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-2364105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-2364105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-1781175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-1781175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-1781175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-1781175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-1781175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-1781175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-477520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-477520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-477520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-477520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-477520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-477520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Funeral same-store revenues for the year ended December 31, 2001 were up 2.2% when compared to the year ended December 31, 2000, as we experienced a decrease of 0.9% in the number of services and an increase of 3.1% in the average revenue per service for those existing operations. The lower total net revenues were primarily a result of the decline in revenues related to the businesses that we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have sold during 2000 and 2001. The number of funeral services decreased 1.5% for the core group in comparing 2001 to 2000, while the average revenue per service for those existing locations increased 3.0% in comparing the two years. The number of funeral services for the underperforming group decreased 0.1% while the average revenue per service increased 3.4% in comparing 2001 to 2000.</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net revenues from funeral location operations above, insurance commission revenues from preneed funeral contract sales totaled</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 million and $3.7 million for the years ended December 31, 2000 and 2001, respectively. Revenue in 2001 included higher than normal level of commissions resulting from the conversion of previously sold trust funded contracts to insurance funded contracts. Commissions received from new sales of preneed funeral insurance were also higher than in 2000. These commissions are recorded when they have been held beyond their refund period, which is generally one year.</w:t>
      </w:r>
    </w:p>
    <w:p>
      <w:pPr>
        <w:spacing w:after="0" w:line="163"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Total funeral same-store gross profit for the year ended December 31, 2001 increased $2.9 million or 12.0% from the year ended December 31, 2000. The higher gross profit is due primarily to depreciation and amortization that was $3.1 million less than the prior period due to the impairments recorded in the latter half of 2000.</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Cemetery Segment. The following sets forth certain information regarding Carriage's net revenues and gross profit from cemetery operations for the years ended December 31, 2000 and 2001:</w:t>
      </w:r>
    </w:p>
    <w:p>
      <w:pPr>
        <w:spacing w:after="0" w:line="169"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15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87"/>
              </w:rPr>
              <w:t>Year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4"/>
        </w:trPr>
        <w:tc>
          <w:tcPr>
            <w:tcW w:w="15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74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5"/>
                <w:szCs w:val="15"/>
                <w:color w:val="auto"/>
              </w:rPr>
            </w:pPr>
          </w:p>
        </w:tc>
      </w:tr>
      <w:tr>
        <w:trPr>
          <w:trHeight w:val="105"/>
        </w:trPr>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Percent</w:t>
            </w:r>
          </w:p>
        </w:tc>
      </w:tr>
      <w:tr>
        <w:trPr>
          <w:trHeight w:val="105"/>
        </w:trPr>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-431800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-431800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-431800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-431800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-183515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-183515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-183515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-183515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-183515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-183515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-183515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-183515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revenue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36,531</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Acquired or sold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38,209</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620" w:type="dxa"/>
            <w:vAlign w:val="bottom"/>
          </w:tcPr>
          <w:p>
            <w:pPr>
              <w:spacing w:after="0"/>
              <w:rPr>
                <w:sz w:val="5"/>
                <w:szCs w:val="5"/>
                <w:color w:val="auto"/>
              </w:rPr>
            </w:pPr>
          </w:p>
        </w:tc>
        <w:tc>
          <w:tcPr>
            <w:tcW w:w="11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80" w:type="dxa"/>
            <w:vAlign w:val="bottom"/>
            <w:gridSpan w:val="3"/>
          </w:tcPr>
          <w:p>
            <w:pPr>
              <w:ind w:left="1320"/>
              <w:spacing w:after="0"/>
              <w:rPr>
                <w:sz w:val="20"/>
                <w:szCs w:val="20"/>
                <w:color w:val="auto"/>
              </w:rPr>
            </w:pPr>
            <w:r>
              <w:rPr>
                <w:rFonts w:ascii="Arial" w:cs="Arial" w:eastAsia="Arial" w:hAnsi="Arial"/>
                <w:sz w:val="18"/>
                <w:szCs w:val="18"/>
                <w:color w:val="auto"/>
              </w:rPr>
              <w:t>Field EBITDA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18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14,781</w:t>
            </w:r>
          </w:p>
        </w:tc>
        <w:tc>
          <w:tcPr>
            <w:tcW w:w="180" w:type="dxa"/>
            <w:vAlign w:val="bottom"/>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3,128</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EBITDA margin</w:t>
            </w:r>
          </w:p>
        </w:tc>
        <w:tc>
          <w:tcPr>
            <w:tcW w:w="1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Same-store gross profit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Acquired or sold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w:t>
            </w:r>
          </w:p>
        </w:tc>
        <w:tc>
          <w:tcPr>
            <w:tcW w:w="36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-1661160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-1661160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-1661160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-1661160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-1661160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-477520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-477520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-477520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-477520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-477520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-477520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Cemetery same-store net revenues for the year ended December 31, 2001 increased $3.6 million over the year ended December 31, 2000, and cemetery same-store gross profit increased $3.0 million over the year 2000. The higher same-store net revenues resulted primarily from an increase of $3.1 million from core operations. The higher same-store gross profit reflected an increase of $2.6 million from core operations and $0.4 million from cemeteries that have been targeted for sale. Total gross margin increased from 15.0% for the year ended December 31, 2000 to 23.1% for the year ended December 31, 2001, primarily due to a higher level of deliveries of previously contracted preneed merchandise and services, increased property sales and improved business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General and administrative expenses for the year ended December 31, 2001, decreased $1.6 million or 15.2% from 2000. As a percentage of net revenues, general and administrative expenses decreased from 6.3% in 2000 to 5.4% in 2001 resulting from the downsizing of the corporate organization and other cost saving initiatives of Fresh Start.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Interest expense and financing costs for the year ended December 31, 2001, decreased $0.4 million or 1.7% from 2000. While the average debt outstanding during 2001 was less than the average debt outstanding during 2000, we experienced higher amortization of loan costs in 2001 due to debt modification fees incurred late in the year 2000. Additionally, the amount of interest capitalized on construction in progress declined from $621,000 in 2000 to $298,000 in 2001.</w:t>
      </w:r>
    </w:p>
    <w:p>
      <w:pPr>
        <w:spacing w:after="0" w:line="142"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were no special charges for the year ended December 31, 2001. Special charges and other charges for the year ended December 31, 2000, were $102.3 million as discussed in the "Overview" section above.</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Preferred dividends of $81,000 for 2000 and $37,000 for 2001 were subtracted from net income in computing earnings attributable to common stockholders for purposes of computing basic and diluted earnings per common share.</w:t>
      </w:r>
    </w:p>
    <w:p>
      <w:pPr>
        <w:spacing w:after="0" w:line="18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provided for tax benefits and income taxes on income before income taxes at a combined state and federal tax rate of 7.9% and 20.0% for the years ended December 31, 2000 and 2001, respectively. The sale of properties in 2000 and 2001 generated substantial losses for income tax purposes. The low tax rate for the year 2000 was due to the limitation on the tax benefit, of the losses deducted in 2000, to the amount that can reasonably be expected to be refunded in the foreseeable future from carrybacks of the tax loss. The rate for 2001 benefited from the utilization of tax benefits that were generated in the fourth quarter of 2000, those tax benefits are recognized when realized through taxable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Cash and cash equivalents totaled $2.7 million at December 31, 2002 and at December 31, 2001. It is Carriage's practice to apply available cash balances against its revolving line of credit to minimize interest expense. If the Company needs cash for working capital or investment purposes, it can draw upon available capacity under its $75 million revolving line of credit, such availability being $44.9 million as of December 31, 2002. For the year ended December 31, 2002, cash provided by operations was $18.9 million as compared to $27.7 million for the year ended December 31, 2001. The higher level of cash provided by operations during 2001 was primarily due to $2.2 million in tax refunds received in 2001 and catch-up trust withdrawals in the 2001 period totaling $3.5 million that normally would have been withdrawn during the 2000 year. Cash used in investing activities was $6.0 million for the year ended December 31, 2002 compared to cash provided from investing activities in the amount of $6.8 million for December 31, 2001, the change being primarily due to the higher amount of proceeds from the sales of businesses during 2001 as compared to 2002. Cash used in financing activities was $13 million for the year ended December 31, 2002 compared to cash used in financing activities in the amount of $35 million for December 31, 2001, the change being primarily due to the higher amount of payments on debt in which funds were available from the sales of businesses during 2001 as compared to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debt at December 31, 2002 totaled $149.1 million and consisted of $99.3 million in senior notes, a $75 million revolving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($29.0 million outstanding at December 31, 2002) and $20.8 million in acquisition indebtedness and capital lease obligations. The credit facility matures in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are unsecured, mature in traunches of $22.9 million in 2004, $54.1 million in 2006 and $22.3 million in 2008 and bear interest at the fixed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7.73%, 7.96% and 8.06%, respectively. The senior note agreement additionally requires that a significant portion of any proceeds from the sales of assets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to the note holders as prepayment of the amounts outstanding. These prepayments are made at par value. Prepayments were made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$8.0 million and $2.7 million during 2001 and 2002, respectively, related to the proceeds from sales of assets.</w:t>
      </w:r>
    </w:p>
    <w:p>
      <w:pPr>
        <w:sectPr>
          <w:pgSz w:w="11900" w:h="16838" w:orient="portrait"/>
          <w:cols w:equalWidth="0" w:num="1">
            <w:col w:w="11400"/>
          </w:cols>
          <w:pgMar w:left="240" w:top="140" w:right="259" w:bottom="306"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306" w:gutter="0" w:footer="0" w:header="0"/>
          <w:type w:val="continuous"/>
        </w:sectPr>
      </w:pPr>
    </w:p>
    <w:bookmarkStart w:id="16" w:name="page17"/>
    <w:bookmarkEnd w:id="16"/>
    <w:p>
      <w:pPr>
        <w:spacing w:after="0" w:line="3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has a revolving credit facility with a group of banks. The credit facility is unsecured and contains customary restrictive covenants, including a restriction on the payment of dividends on common stock, and requires that we maintain certain financial ratios. The Company met all financial covenants at December 31, 2002. Interest under the credit facility is provided at both LIBOR and prime rate options. As of December 31, 2002, the Company's debt to total capitalization was 44.2 percent as compared to 47.8 percent at December 31, 2001. During October 2002, management voluntarily reduced the capacity of the revolving line of credit from $100 million to $75 million to reduce bank fees on a portion that is not expected to be used. With the lower capacity, the Company has $44.9 million available to draw under the credit facility.</w:t>
      </w:r>
    </w:p>
    <w:p>
      <w:pPr>
        <w:spacing w:after="0" w:line="17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do not have any liquidity sources or financing arrangements with unconsolidated or limited purpose entities in which we may be economically or legally required or reasonably likely to fund losses of an unconsolidated, limited purpose entity, provide it with additional funding, issue securities pursuant to a call option held by that entity, purchase the entity's capital stock or assets, or otherwise may be financially affected by the performance or non-performance of an entity or counterparty to a transaction or arrangement. In particular, we do not expect to be required to fund any unrealized or realized losses in the preneed trust funds.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25" w:lineRule="exact"/>
        <w:rPr>
          <w:sz w:val="20"/>
          <w:szCs w:val="20"/>
          <w:color w:val="auto"/>
        </w:rPr>
      </w:pPr>
    </w:p>
    <w:p>
      <w:pPr>
        <w:jc w:val="both"/>
        <w:ind w:right="300" w:firstLine="341"/>
        <w:spacing w:after="0" w:line="259" w:lineRule="auto"/>
        <w:rPr>
          <w:sz w:val="20"/>
          <w:szCs w:val="20"/>
          <w:color w:val="auto"/>
        </w:rPr>
      </w:pPr>
      <w:r>
        <w:rPr>
          <w:rFonts w:ascii="Arial" w:cs="Arial" w:eastAsia="Arial" w:hAnsi="Arial"/>
          <w:sz w:val="18"/>
          <w:szCs w:val="18"/>
          <w:color w:val="auto"/>
        </w:rPr>
        <w:t>As of December 31, 2000, we had 1,182,500 shares of Series D Preferred Stock issued and outstanding. During 2001, we redeemed 1,000,000 shares in a noncash exchange in connection with the sale of certain businesses to the holder of those shares at value of $1.00 per share. Effective December 31, 2001, we redeemed the remaining 182,500 shares at a redemption price of $1.00 per share.</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On June 3, 1999, the Company's subsidiary, Carriage Services Capital Trust, completed the sale of 1,875,000 units of 7% convertible preferred securities, with a maturity of 30 years, resulting in approximately $90 million in net proceeds that are included in the Company's consolidated balance sheets as Company-obligated mandatorily redeemable convertible preferred securities of Carriage Services Capital Trust. Dividends are tax deductible and may be deferred at our option for up to five years. For purposes of debt ratios, under our revolving credit and senior note agreements, the convertible preferred securities are treated as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Significant Uses of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2000 the Company modified its approach to marketing preneed funeral contracts to: (1) emphasize insurance products over trust products;</w:t>
      </w:r>
    </w:p>
    <w:p>
      <w:pPr>
        <w:spacing w:after="0" w:line="38" w:lineRule="exact"/>
        <w:rPr>
          <w:sz w:val="20"/>
          <w:szCs w:val="20"/>
          <w:color w:val="auto"/>
        </w:rPr>
      </w:pPr>
    </w:p>
    <w:p>
      <w:pPr>
        <w:ind w:right="120" w:firstLine="8"/>
        <w:spacing w:after="0" w:line="281"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eliminate the national and regional overhead management structure; and (3) outsource a significant portion of the administration. These changes significantly reduced the cash investment that has historically been required to generate this backlog of business. In 2000, $33.7 million of preneed funeral sales were generated for a cash outlay of $6.0 million. In 2001, $23.9 million of preneed funeral sales were generated for a cash outlay of $2.1 million. In 2002,</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$25.1 million of preneed sales were generated for a cash outlay of $1.9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During the twelve months ended December 31, 2002, the Company incurred approximately $6.0 million in capital expenditures, primarily related to refurbishing and improving funeral home facilities and construction of lawn crypts and mausoleums at cemeteries. The Company believes that cash flow from operations and borrowings under the credit facility should be sufficient to fund anticipated capital expenditures as well as other ongoing operating requirements. During 2002, the Company spent approximately $1.1 million for the acquisition of two funeral homes. Other investing activities for 2002 included the final payment in the amount of $1.0 million related to a performance-based contingent purchase price payment. Acquisition spending during 2001 was limited to a performance-based contingent consideration payment on a prior year acquisition. The Company anticipates that the capital expenditures in 2003 will primarily be limited to those that are required to maintain the revenue capability of its existing businesses. It does not anticipate making significant capital expenditures to grow or enhance new revenue streams or acquire new businesses. Because future cash flows and the availability of financing are subject to a number of variables, there can be no assurance that the Company's capital resources will be sufficient to fund its capital needs. Additional debt and equity financings may be required in the future. The availability and terms of these capital sources will depend on prevailing market conditions and interest rates and the then-existing financial condition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Obligations and Commitments</w:t>
      </w:r>
    </w:p>
    <w:p>
      <w:pPr>
        <w:spacing w:after="0" w:line="225"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following table summarizes our obligations and commitments to make future payments under contracts, such as debt and lease agreements, as well as other financial commitments. Where appropriate we have indicated the footnote to our annual consolidated financial statements where additional information is available.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Payments By Period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left="92"/>
              <w:spacing w:after="0"/>
              <w:rPr>
                <w:sz w:val="20"/>
                <w:szCs w:val="20"/>
                <w:color w:val="auto"/>
              </w:rPr>
            </w:pPr>
            <w:r>
              <w:rPr>
                <w:rFonts w:ascii="Arial" w:cs="Arial" w:eastAsia="Arial" w:hAnsi="Arial"/>
                <w:sz w:val="14"/>
                <w:szCs w:val="14"/>
                <w:b w:val="1"/>
                <w:bCs w:val="1"/>
                <w:color w:val="auto"/>
                <w:w w:val="83"/>
              </w:rPr>
              <w:t>Footnote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4"/>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5"/>
                <w:szCs w:val="15"/>
                <w:color w:val="auto"/>
              </w:rPr>
            </w:pPr>
          </w:p>
        </w:tc>
        <w:tc>
          <w:tcPr>
            <w:tcW w:w="900" w:type="dxa"/>
            <w:vAlign w:val="bottom"/>
          </w:tcPr>
          <w:p>
            <w:pPr>
              <w:jc w:val="center"/>
              <w:ind w:left="92"/>
              <w:spacing w:after="0"/>
              <w:rPr>
                <w:sz w:val="20"/>
                <w:szCs w:val="20"/>
                <w:color w:val="auto"/>
              </w:rPr>
            </w:pPr>
            <w:r>
              <w:rPr>
                <w:rFonts w:ascii="Arial" w:cs="Arial" w:eastAsia="Arial" w:hAnsi="Arial"/>
                <w:sz w:val="14"/>
                <w:szCs w:val="14"/>
                <w:b w:val="1"/>
                <w:bCs w:val="1"/>
                <w:color w:val="auto"/>
                <w:w w:val="85"/>
              </w:rPr>
              <w:t>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-1369060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-1369060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-1026160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-1026160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-1026160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-1026160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-1026160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-1026160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-1026160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-1026160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-1026160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-1026160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-1026160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-1026160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-1026160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-1026160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-1026160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-323215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-323215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-323215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-323215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Two of the Company's directors are prior owners of previously unrelated businesses that Carriage acquired in 1997. As an incentive, the Company entered into arrangements with the directors to pay them 10% of the amount by which the annual field level cash flow exceeds predetermined targets on certain businesses in their respective geographic region through 2008, with a final payment equal to a multiple of six times the average of the last three years payments. The business purpose of the arrangements was to incentivise the directors to provide Carriage with high quality acquisition targets and to have input in the competitive strategies of those businesses post-acquisition so that cash flows grow over time. The terms were determined by reference to similar arrangements within the death care industry. The incentives earned by the two directors totaled $117,000, $135,000 and $120,000 for the years 2000, 2001 and 2002, respectively.</w:t>
      </w:r>
    </w:p>
    <w:p>
      <w:pPr>
        <w:sectPr>
          <w:pgSz w:w="11900" w:h="16877" w:orient="portrait"/>
          <w:cols w:equalWidth="0" w:num="1">
            <w:col w:w="11420"/>
          </w:cols>
          <w:pgMar w:left="240" w:top="131" w:right="239" w:bottom="0" w:gutter="0" w:footer="0" w:header="0"/>
        </w:sectPr>
      </w:pPr>
    </w:p>
    <w:bookmarkStart w:id="17" w:name="page18"/>
    <w:bookmarkEnd w:id="17"/>
    <w:p>
      <w:pPr>
        <w:spacing w:after="0" w:line="123"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connection with the 1997 acquisition of two funeral homes from a group of individuals, one of which is one of the directors referred to in the preceding paragraph, a portion of the purchase price of each of those funeral homes was to be payable based on a formula related to the annual field level cash flows subsequent to the year of acquisition. The business purpose was to determine the final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purchase prices of the acquisitions since both were expected to show strong growth in cash flow. The terms were negotiated by the sellers, one of which later was appointed to director of Carriage. The contingent purchase price payments paid to the director totaled $524,107 and $47,673 during the years 2000 and 2001, respectively. The final contingent purchase price payment of $1,040,442 was paid in March 2002, of which $572,243 was paid to the director.</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rents office space, at an annual rate of $19,000 per year through 2005, from an entity in which one of the Company's directors has a financial interest. The terms were determined by reference to rentals of similar office space in the area.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Although the death care business is relatively stable and fairly predictable, our business can be affected by seasonal fluctuations in the death rate. Generally, death rates are higher during the winter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Inflation has not had a significant impact on the results of Carriage's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to historical information, this Annual Report contains forward-looking statements within the safe harbor provisions of the Private Securities Litigation Reform Act of 1995. These statements include any projections of earnings, revenues, asset sales, cash flow, debt levels or other financial items; any statements of the plans, strategies and objectives of management for future operation; any statements regarding future economic conditions or performance; any statements of belief; and any statements of assumptions underlying any of the foregoing. Forward-looking statements may include the words "may", "will", "estimate", "intend", "believe", "expect", "project", "forecast", "plan", "anticipate" and other similar words.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caution readers that the following important factors, among others, in some cases have affected, and in the future, could affect, our actual consolidated results and could cause our actual consolidated results in the future to differ materially from the goals and expectations expressed in the forward-looking statements above and in any other forward-looking statements made by us or on our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Earnings from and principal of trust funds and insurance contracts could be reduced by changes in stock and bond prices and interest and dividend rates.</w:t>
      </w:r>
    </w:p>
    <w:p>
      <w:pPr>
        <w:spacing w:after="0" w:line="180"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Earnings and investment gains and losses on trust funds and insurance contracts are affected by financial market conditions that are not within our control. Earnings are also affected by the mix of fixed-income and equity securities that we choose to maintain in the funds, and we may not choose the optimal mix for any particular market condition. The size of the funds depends upon the level of preneed sales and maturities, the amount of investment gains or losses and funds added through acquisitions, if any. Declines in earnings from perpetual care trust funds would cause a decline in current revenues, while declines in earnings from other trust funds and insurance contracts could cause a decline in future cash flows and revenues. In addition, any significant or sustained investment losses could result in there being insufficient funds in the trusts to cover the cost of delivering services and merchandise or maintaining cemeteries in the future. Any such deficiency would have to be covered by cash flow, which could have a material adverse effect on our financial condition. As of December 31,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2002, net unrealized depreciation in the funeral, cemetery merchandise and perpetual care trust funds amounted to $3.5 million, $2.8 million and $0.6 million, respectively. See Note 1 in our consolidated financial statements.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Unrealized gains and losses in the funeral trust funds and cemetery merchandise trust funds have no immediate impact on our revenues, margins, earnings or cash flow, unless the fair market value of the funds were to decline below the estimated costs to deliver the underlying products and services. If that were to occur, we would record a charge to earnings to record the expected loss currently. Over time, gains and losses realized in the funds are allocated to underlying preneed contracts and affect the amount of the trust fund earnings to be recognized when we deliver the underlying product or service. Accordingly, if current market conditions do not improve, the funds may eventually realize losses, and our revenues, margins, earnings and cash flow would be negatively affected by the reduced revenue when we deliver the underlying products and services. In addition, any significant or sustained investment losses could result in there being insufficient funds in the trusts to cover the cost of delivering services and merchandise or maintaining cemeteries in the future. Any such deficiency would have to be covered by cash flow, which could have a material adverse effect on our financial condition and results of operations. (See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costs may have a negative impact on earnings and cash flows.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Cost increases may impair our ability to achieve revenue growth that exceeds our cost increases. Our 2003 plan assumes that we will be successful in increasing revenues at a rate that is greater than the growth in the cost of sales. Although we believe we can achieve that goal, we can give no assurance that we will be successful in doing so in 2003.</w:t>
      </w:r>
    </w:p>
    <w:p>
      <w:pPr>
        <w:spacing w:after="0" w:line="194"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We expect insurance costs, in particular, to increase substantially in 2003. The terrorist attacks in the United States on September 11, 2001 and related subsequent events have resulted in higher insurance premiums. The volume of claims made in such a short span of time resulted in liquidity challenges that many</w:t>
      </w:r>
    </w:p>
    <w:p>
      <w:pPr>
        <w:sectPr>
          <w:pgSz w:w="11900" w:h="16962" w:orient="portrait"/>
          <w:cols w:equalWidth="0" w:num="1">
            <w:col w:w="11420"/>
          </w:cols>
          <w:pgMar w:left="240" w:top="131" w:right="239" w:bottom="0" w:gutter="0" w:footer="0" w:header="0"/>
        </w:sectPr>
      </w:pPr>
    </w:p>
    <w:bookmarkStart w:id="18" w:name="page19"/>
    <w:bookmarkEnd w:id="18"/>
    <w:p>
      <w:pPr>
        <w:ind w:right="740"/>
        <w:spacing w:after="0" w:line="332" w:lineRule="auto"/>
        <w:rPr>
          <w:sz w:val="20"/>
          <w:szCs w:val="20"/>
          <w:color w:val="auto"/>
        </w:rPr>
      </w:pPr>
      <w:r>
        <w:rPr>
          <w:rFonts w:ascii="Arial" w:cs="Arial" w:eastAsia="Arial" w:hAnsi="Arial"/>
          <w:sz w:val="16"/>
          <w:szCs w:val="16"/>
          <w:color w:val="auto"/>
        </w:rPr>
        <w:t>insurers have passed on to their policyholders. Additionally, insurers have increased premiums to offset losses in equity markets due to recent economic conditions. While our insurance costs are expected to increase materially, the actual increase in insurance costs cannot be predicted.</w:t>
      </w:r>
    </w:p>
    <w:p>
      <w:pPr>
        <w:spacing w:after="0" w:line="133"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ability to achieve our debt reduction targets and to service our debt in the future depends upon our ability to generate sufficient cash, which depends on many factors, some of which are beyond our control.</w:t>
      </w:r>
    </w:p>
    <w:p>
      <w:pPr>
        <w:spacing w:after="0" w:line="18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ability to achieve our debt reduction targets in the time frame projected by us depends upon our ability to generate sufficient cash from two main sources: (1) disposing of underperforming assets and locations, and (2) our ongoing operations. We expect to generate cash proceeds from disposing of assets and locations which depends upon our ability to negotiate transactions on acceptable terms and conditions with qualified buyers who can obtain third party financing. Our ability to generate cash flow from operations depends upon, among other things, the number of deaths in our markets, competition, the level of preneed sales and their maturities, our ability to control our costs, stock and bond market conditions, and general economic, financial and regulatory factors, most of which is beyond our control.</w:t>
      </w:r>
    </w:p>
    <w:p>
      <w:pPr>
        <w:spacing w:after="0" w:line="192" w:lineRule="exact"/>
        <w:rPr>
          <w:sz w:val="20"/>
          <w:szCs w:val="20"/>
          <w:color w:val="auto"/>
        </w:rPr>
      </w:pPr>
    </w:p>
    <w:p>
      <w:pPr>
        <w:ind w:right="460"/>
        <w:spacing w:after="0" w:line="378" w:lineRule="auto"/>
        <w:rPr>
          <w:sz w:val="20"/>
          <w:szCs w:val="20"/>
          <w:color w:val="auto"/>
        </w:rPr>
      </w:pPr>
      <w:r>
        <w:rPr>
          <w:rFonts w:ascii="Arial" w:cs="Arial" w:eastAsia="Arial" w:hAnsi="Arial"/>
          <w:sz w:val="15"/>
          <w:szCs w:val="15"/>
          <w:b w:val="1"/>
          <w:bCs w:val="1"/>
          <w:color w:val="auto"/>
        </w:rPr>
        <w:t>We may experience declines in preneed sales due to numerous factors including changes made to contract terms and sales force compensation, or a weakening economy. Declines in preneed sales would reduce our backlog and revenue and could reduce our future market share.</w:t>
      </w:r>
    </w:p>
    <w:p>
      <w:pPr>
        <w:spacing w:after="0" w:line="11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an effort to increase cash flow, we modified our preneed sales strategies early in fiscal year 2000 by increasing finance charges, requiring larger down payments and shortening installment payment terms. We also changed the compensation structure for our preneed sales force. These changes, and the accompanying sales force attrition and adverse impact on sales force morale, caused preneed sales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decline. Although we do not anticipate making further significant changes in these areas, we may decide that further adjustments are advisable, which could cause additional declines in preneed sales. In addition, a weakening economy that causes customers to have less discretionary income could cause a decline in preneed sales. Declines in preneed cemetery property sales would reduce current revenue, and declines in other preneed sales would reduce our backlog and future revenue and could reduce future market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preneed sales may have a negative impact on cash flow.</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Preneed sales of cemetery property and funeral and cemetery products and services are generally cash flow negative initially, primarily due to the commissions paid on the sale, the portion of the sales proceeds required to be placed into trust or escrow and the terms of the particular contract such as the size of the down payment required and the length of the contract. In fiscal year 2000, we changed the terms and conditions of preneed sales contracts and commissions and moderated our preneed sales effort in order to reduce the initial negative impact on cash flow. Nevertheless, we will continue to invest a portion of cash flow in preneed acquisition costs, which reduces cash flow available for other activities, and, to the extent preneed activities are increased, cash flow will be further reduced, and our ability to service debt could be adversely affected.</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Price competition could reduce market share or cause us to reduce prices to retain or recapture market share, either of which could reduce revenues and margins.</w:t>
      </w:r>
    </w:p>
    <w:p>
      <w:pPr>
        <w:spacing w:after="0" w:line="18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funeral home and cemetery operations generally face intense competition in local markets that typically are served by numerous funeral homes and cemetery firms. We have historically experienced price competition primarily from independent funeral home and cemetery operators, and from monument dealers, casket retailers, low-cost funeral providers and other non-traditional providers of services or products. In the past, this price competition has resulted in losing market share in some markets. In other markets, we have had to reduce prices thereby reducing profit margins in order to retain or recapture market share. Increased price competition in the future could further reduce revenues, profit margins and the backlog.</w:t>
      </w:r>
    </w:p>
    <w:p>
      <w:pPr>
        <w:spacing w:after="0" w:line="164"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Increased advertising or better marketing by competitors, or increased activity by competitors offering products or services over the Internet, could cause us to lose market share and revenues or cause us to incur increased costs in order to retain or recapture our market share.</w:t>
      </w:r>
    </w:p>
    <w:p>
      <w:pPr>
        <w:spacing w:after="0" w:line="13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recent years, marketing through television, radio and print advertising, direct mailings and personal sales calls has increased with respect to the sales of preneed funeral services. Extensive advertising or effective marketing by competitors in local markets could cause us to lose market share and revenues or cause us to increase marketing costs. In addition, competitors may change the types or mix of products or services offered. These changes may attract customers, causing us to lose market share and revenue or to incur costs in response to competition to vary the types or mix of products or services offered by us. Also, increased use of the Internet by customers to research and/or purchase products and services could cause us to lose market share to competitors offering to sell products or services over the Internet.</w:t>
      </w:r>
    </w:p>
    <w:p>
      <w:pPr>
        <w:spacing w:after="0" w:line="19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Increases in interest rates would increase interest costs on our variable-rate long-term debt and could have a material adverse effect on our net income and earnings per share.</w:t>
      </w:r>
    </w:p>
    <w:p>
      <w:pPr>
        <w:spacing w:after="0" w:line="180"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As of December 31, 2002, $29 million of our long-term debt was subject to variable interest rates, although that amount was fixed pursuant to the terms of interest rate swaps expiring in May 2003. Accordingly, any significant increase in interest rates, could increase our interest costs on our variable-rate long-term debt, which could decrease our net income and earnings per share.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 restrictions under our revolving credit facility and senior notes limit our flexibility in operating our business.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revolving credit facility and the senior notes contain, among other things, covenants that limit, among other things, our ability to: borrow money; pay dividends or distributions; purchase or redeem stock; make investments; engage in transactions with affiliates; engage in sale leaseback transactions; effect a consolidation or merger or sell, transfer, lease, or otherwise dispose of all or substantially all assets; and create liens on assets. We must also stay within specified limits of financial ratios, such as a debt-to-capital ratio, debt-to-EBITDA ratio, and fixed charge coverage ratio.</w:t>
      </w:r>
    </w:p>
    <w:p>
      <w:pPr>
        <w:sectPr>
          <w:pgSz w:w="11900" w:h="16838" w:orient="portrait"/>
          <w:cols w:equalWidth="0" w:num="1">
            <w:col w:w="11420"/>
          </w:cols>
          <w:pgMar w:left="240" w:top="131" w:right="239" w:bottom="0" w:gutter="0" w:footer="0" w:header="0"/>
        </w:sectPr>
      </w:pPr>
    </w:p>
    <w:bookmarkStart w:id="19" w:name="page20"/>
    <w:bookmarkEnd w:id="19"/>
    <w:p>
      <w:pPr>
        <w:ind w:right="20" w:firstLine="351"/>
        <w:spacing w:after="0" w:line="332" w:lineRule="auto"/>
        <w:rPr>
          <w:sz w:val="20"/>
          <w:szCs w:val="20"/>
          <w:color w:val="auto"/>
        </w:rPr>
      </w:pPr>
      <w:r>
        <w:rPr>
          <w:rFonts w:ascii="Arial" w:cs="Arial" w:eastAsia="Arial" w:hAnsi="Arial"/>
          <w:sz w:val="16"/>
          <w:szCs w:val="16"/>
          <w:color w:val="auto"/>
        </w:rPr>
        <w:t>Events beyond our control, including changes in general economic and business conditions, may affect our ability to satisfy these covenants. A breach of any of those covenants could result in a default allowing the lenders to declare all amounts immediately due and payable.</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projections for 2003 include adjustments to earnings and cash flow for estimated disposition activity. Several important factors, among others, may affect our ability to consummate dispositions.</w:t>
      </w:r>
    </w:p>
    <w:p>
      <w:pPr>
        <w:spacing w:after="0" w:line="18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projections for 2003 include adjustments to earnings and cash flow for estimated disposition activity. The actual level of disposition activity, if any, will depend not only on the number of properties sold, but also on the size of the businesses sold. Several important factors, among others, may affect our ability to consummate sales. We may not be able to find a sufficient number of buyers at prices we are willing to sell.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DEATH CARE INDUSTRY</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Declines in the number of deaths in our markets can cause a decrease in revenues. Changes in the number of deaths are not predictable from market to market or over the short term.</w:t>
      </w:r>
    </w:p>
    <w:p>
      <w:pPr>
        <w:spacing w:after="0" w:line="18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Declines in the number of deaths could cause at-need sales of funeral and cemetery services, property and merchandise to decline, which could decrease revenues. Although studies estimate that the number of deaths in the United States will increase by approximately 1 percent per year to 2010, longer lifespans could reduce the rate of deaths, and appear to be doing so currently. For example, data obtained from the Centers for Disease Control and Prevention ("CDC") indicate a decrease in deaths in the United States of 1.6 percent during our fiscal year ended December 31, 2002, compared to the same period in the prior year. In addition, changes in the number of deaths can vary among local markets and from quarter to quarter, and variations in the number of deaths in our markets or from quarter to quarter are not predictable. These variations can cause revenues to fluctuate.</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comparisons of the change in the number of families served to the change in the number of deaths reported by the CDC from time to time may not necessarily be meaningful. The CDC receives weekly mortality reports from 122 cities and metropolitan areas in the United States within two to three weeks from the date of death and reports the total number of deaths occurring in these areas each week based on the reports received from state health departments. The comparability of our funeral calls to the CDC data is limited, as reports from the state health departments are often delayed, and the 122 cities reporting to the CDC are not necessarily comparable with the markets in which we operate. Nonetheless, we believe that the CDC data is the most comprehensive data of this kind available.</w:t>
      </w:r>
    </w:p>
    <w:p>
      <w:pPr>
        <w:spacing w:after="0" w:line="19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color w:val="auto"/>
        </w:rPr>
        <w:t>The increasing number of cremations in the United States could cause revenues to decline because we could lose market share to firms specializing in cremations. In addition, basic cremations produce no revenues for cemetery operations and lesser funeral revenues and, in certain cases, lesser profit margins than traditional funerals.</w:t>
      </w:r>
    </w:p>
    <w:p>
      <w:pPr>
        <w:spacing w:after="0" w:line="19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traditional cemetery and funeral service operations face competition from the increasing number of cremations in the United States. Industry studies indicate that the percentage of cremations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has steadily increased and that cremations will represent approximately 40 percent of the United States burial market by the year 2010, compared to 28 percent in 2002. The trend toward cremation could cause cemeteries and traditional funeral homes to lose market share and revenues to firms specializing in cremations. In addition, basic cremations (with no funeral service, casket, urn, mausoleum niche, columbarium niche or burial) produce no revenues for cemetery operations and lower revenues than traditional funerals and, when delivered at a traditional funeral home, produce lower profit margins as well.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respond effectively to changing consumer preferences, our market share, revenues and profitability could decrease.</w:t>
      </w:r>
    </w:p>
    <w:p>
      <w:pPr>
        <w:spacing w:after="0" w:line="25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Future market share, revenues and profits will depend in part on our ability to anticipate, identify and respond to changing consumer preferences. During the last three years, we have implemented new product and service strategies based on results of customer surveys that we conduct on a continuous basis. However, we may not correctly anticipate or identify trends in consumer preferences, or we may identify them later than our competitors do. In addition, any strategies we may implement to address these trends may prove incorrect or ineffective.</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the funeral and cemetery businesses are high fixed-cost businesses, positive or negative changes in revenue can have a disproportionately large effect on cash flow and profits.</w:t>
      </w:r>
    </w:p>
    <w:p>
      <w:pPr>
        <w:spacing w:after="0" w:line="18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Companies in the funeral home and cemetery business must incur many of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declines in sales can cause margins, profits and cash flow to decline at a greater rate than the decline in revenues.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increases in, or failure to comply with, regulations applicable to our business could increase costs or decrease cash flows.</w:t>
      </w:r>
    </w:p>
    <w:p>
      <w:pPr>
        <w:spacing w:after="0" w:line="25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death care industry is subject to extensive regulation and licensing requirements under federal, state and local laws. For example, the funeral home industry is regulated by the Federal Trade Commission, which requires funeral homes to take actions designed to protect consumers. State laws impose licensing requirements and regulate preneed sales. Embalming facilities are subject to stringent environmental and health regulations. Compliance with these regulations is burdensome, and we are always at risk of not complying with the regulations or facing costly and burdensome investigations from regulatory authorities, regardless of the merit thereof.</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from time to time, governments and agencies propose to amend or add regulations, which could increase costs or decrease cash flows. For example, federal, state, local and other regulatory agencies have considered and may enact additional legislation or regulations that could affect the death care industry. As discussed in Item 1 under the heading "Regulation," Senator Dodd has recently proposed legislation that, if adopted, would more heavily regulate the death care industry. If adopted, this bill could result in an increase in our costs.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 prohibit the common ownership of funeral homes and cemeteries in the same market. If adopted by the regulatory</w:t>
      </w:r>
    </w:p>
    <w:p>
      <w:pPr>
        <w:sectPr>
          <w:pgSz w:w="11900" w:h="16838" w:orient="portrait"/>
          <w:cols w:equalWidth="0" w:num="1">
            <w:col w:w="11420"/>
          </w:cols>
          <w:pgMar w:left="240" w:top="131" w:right="239" w:bottom="0" w:gutter="0" w:footer="0" w:header="0"/>
        </w:sectPr>
      </w:pPr>
    </w:p>
    <w:bookmarkStart w:id="20" w:name="page21"/>
    <w:bookmarkEnd w:id="20"/>
    <w:p>
      <w:pPr>
        <w:ind w:right="320"/>
        <w:spacing w:after="0" w:line="332" w:lineRule="auto"/>
        <w:rPr>
          <w:sz w:val="20"/>
          <w:szCs w:val="20"/>
          <w:color w:val="auto"/>
        </w:rPr>
      </w:pPr>
      <w:r>
        <w:rPr>
          <w:rFonts w:ascii="Arial" w:cs="Arial" w:eastAsia="Arial" w:hAnsi="Arial"/>
          <w:sz w:val="16"/>
          <w:szCs w:val="16"/>
          <w:color w:val="auto"/>
        </w:rPr>
        <w:t>authorities of the jurisdictions in which we operate, these and other possible proposals could have a material adverse effect on us, our financial condition, our results of operations and our future prospects. For additional information regarding the regulation of the death care industry, see "Regulation."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MARKET RISK DISCLOSURE</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Carriage is exposed to market risk primarily related to potential adverse changes in interest rates as discussed below. Management is actively involved in monitoring exposure to market risk and developing and utilizing appropriate risk management techniques. We are not exposed to any other significant market risks including commodity price risk, nor foreign currency exchange risk.</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Carriage is currently exposed to market risk from changes in interest rates. Our variable rate long-term borrowings primarily consist of the $29 million outstanding under our $75 million floating rate line of credit maturing in 2004. Any change in the floating rate will cause a change in interest expense. We seek to minimize the risk that interest rates will increase by entering into interest rate swap transactions. As of December 31, 2002, we were engaged in two interest rate swaps in which we exchange the floating rate payments for fixed rate payments at 90-day intervals. The interest rate swaps have a combined notional amount of $30 million, mature in May 2003, and have a weighted average fixed rate of 5.5475% and a negative fair value of $0.4 million at December 31, 2002. The fair values of the swaps are recorded as a liability in the balance sheet at December 31, 2002. Any decrease in market interest rates, assuming all other things being equal, causes the fair value of our interest rate swaps to decrease. The remainder of Carriage's long-term debt and leases consist of non-interest bearing notes and fixed rate instruments. Any increase in market interest rates causes the fair value of those liabilities to decrease.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required by this Item 8 are incorporated under Item 15 in Part IV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information required by Item 10 is incorporated by reference to the registrant's definitive proxy statement relating to its 2003 annual meeting of shareholders, which proxy statement will be filed pursuant to Regulation 14A of the Securities Exchange Act of 1934, as amended (the "Exchange Act"), within 120 days after the end of the last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information required by Item 11 is incorporated by reference to the registrant's definitive proxy statement relating to its 2003 annual meeting of shareholders, which proxy statement will be filed pursuant to Regulation 14A of the Exchange Act within 120 days after the end of the last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information required by Item 12 is incorporated by reference to the registrant's definitive proxy statement relating to its 2003 annual meeting of shareholders, which proxy statement will be filed pursuant to Regulation 14A of the Exchange Act within 120 days after the end of the last fiscal year.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information required by Item 13 is incorporated by reference to the registrant's definitive proxy statement relating to its 2003 annual meeting of shareholders, which proxy statement will be filed pursuant to Regulation 14A of the Exchange Act within 120 days after the end of the last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with the SEC is recorded, processed, summarized and reported within the time periods specified in the rules and forms of the SEC and that such information is accumulated and communicated to our management. In designing and evaluating the disclosure controls and procedures, our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7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Based on their most recent evaluation, which was completed within 90 days of the filing of this annual report, our Chief Executive Officer and our Chief Financial Officer believe that our disclosure controls and procedures (as defined Rules 13a-14 and 15d-14 of the Securities Exchange Act of 1934, as amended) are effective. Our Chief Executive Officer and Chief Financial Officer have attached certifications to this annual report immediately following the signatures to this annual report that should be read in connection with this Item 14. There were not any significant changes in internal controls or in other factors that could significantly affect these internal controls subsequent to the date of their most recent evaluation.</w:t>
      </w:r>
    </w:p>
    <w:p>
      <w:pPr>
        <w:sectPr>
          <w:pgSz w:w="11900" w:h="16838" w:orient="portrait"/>
          <w:cols w:equalWidth="0" w:num="1">
            <w:col w:w="11380"/>
          </w:cols>
          <w:pgMar w:left="240" w:top="131" w:right="279" w:bottom="76"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76" w:gutter="0" w:footer="0" w:header="0"/>
          <w:type w:val="continuous"/>
        </w:sectPr>
      </w:pPr>
    </w:p>
    <w:bookmarkStart w:id="21" w:name="page22"/>
    <w:bookmarkEnd w:id="21"/>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financial statements and the Report of Independent Public Accountants are filed as a part of this report on the pages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Public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Report of Independent Public Accountants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2001 and 2002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2000, 2001 and 2002</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0"/>
              </w:rPr>
              <w:t>Consolidated Statements of Comprehensive Income (Loss) for the Years Ended December 31, 2000, 2001 and 2002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3"/>
              </w:rPr>
              <w:t>Consolidated Statements of Changes in Stockholders' Equity for the Years Ended December 31, 2000, 2001 and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2002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2000, 2001 and 2002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-1319530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-1319530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Financial Statement Schedule and the Report of Independent Accountants on Financial Statement Schedule are included in this report on the pages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Public Accountants on Financial Statement Schedule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Report of Independent Public Accountants on Financial Statement Schedule</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 II—Valuation and Qualifying Accounts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-492760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-492760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exhibits to this report have been included only with the copies of this report filed with the Securities and Exchange Commission. Copies of individual exhibits will be furnished to stockholders upon written request to Carriage Services, Inc. and payment of a reasonable fee.</w:t>
      </w:r>
    </w:p>
    <w:p>
      <w:pPr>
        <w:spacing w:after="0" w:line="135"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5" w:lineRule="exact"/>
        <w:rPr>
          <w:sz w:val="20"/>
          <w:szCs w:val="20"/>
          <w:color w:val="auto"/>
        </w:rPr>
      </w:pPr>
    </w:p>
    <w:p>
      <w:pPr>
        <w:ind w:left="1040" w:right="2820" w:hanging="475"/>
        <w:spacing w:after="0" w:line="253" w:lineRule="auto"/>
        <w:tabs>
          <w:tab w:leader="none" w:pos="1020" w:val="left"/>
        </w:tabs>
        <w:rPr>
          <w:sz w:val="20"/>
          <w:szCs w:val="20"/>
          <w:color w:val="auto"/>
        </w:rPr>
      </w:pPr>
      <w:r>
        <w:rPr>
          <w:rFonts w:ascii="Arial" w:cs="Arial" w:eastAsia="Arial" w:hAnsi="Arial"/>
          <w:sz w:val="18"/>
          <w:szCs w:val="18"/>
          <w:color w:val="auto"/>
        </w:rPr>
        <w:t>3.1</w:t>
        <w:tab/>
        <w:t>Amended and Restated Certificate of Incorporation, as amended, of the Company. Incorporated herein by reference to Exhibit 3.1 to the Company's Annual Report on Form 10-K for its fiscal year ended December 31, 1996.</w:t>
      </w:r>
    </w:p>
    <w:p>
      <w:pPr>
        <w:ind w:left="1040" w:right="2760" w:hanging="475"/>
        <w:spacing w:after="0" w:line="250" w:lineRule="auto"/>
        <w:tabs>
          <w:tab w:leader="none" w:pos="1020" w:val="left"/>
        </w:tabs>
        <w:rPr>
          <w:sz w:val="20"/>
          <w:szCs w:val="20"/>
          <w:color w:val="auto"/>
        </w:rPr>
      </w:pPr>
      <w:r>
        <w:rPr>
          <w:rFonts w:ascii="Arial" w:cs="Arial" w:eastAsia="Arial" w:hAnsi="Arial"/>
          <w:sz w:val="18"/>
          <w:szCs w:val="18"/>
          <w:color w:val="auto"/>
        </w:rPr>
        <w:t>3.2</w:t>
        <w:tab/>
        <w:t>Certificate of Amendment dated May 7, 1997. Incorporated by reference to Exhibit 10.2 to the Company's Quarterly Report on Form 10-Q for its fiscal quarter ended September 30, 1997.</w:t>
      </w:r>
    </w:p>
    <w:p>
      <w:pPr>
        <w:spacing w:after="0" w:line="1" w:lineRule="exact"/>
        <w:rPr>
          <w:sz w:val="20"/>
          <w:szCs w:val="20"/>
          <w:color w:val="auto"/>
        </w:rPr>
      </w:pPr>
    </w:p>
    <w:p>
      <w:pPr>
        <w:ind w:left="1040" w:right="2860" w:hanging="475"/>
        <w:spacing w:after="0" w:line="250" w:lineRule="auto"/>
        <w:tabs>
          <w:tab w:leader="none" w:pos="1020" w:val="left"/>
        </w:tabs>
        <w:rPr>
          <w:sz w:val="20"/>
          <w:szCs w:val="20"/>
          <w:color w:val="auto"/>
        </w:rPr>
      </w:pPr>
      <w:r>
        <w:rPr>
          <w:rFonts w:ascii="Arial" w:cs="Arial" w:eastAsia="Arial" w:hAnsi="Arial"/>
          <w:sz w:val="18"/>
          <w:szCs w:val="18"/>
          <w:color w:val="auto"/>
        </w:rPr>
        <w:t>3.3</w:t>
        <w:tab/>
        <w:t>Certificate of Amendment dated May 7, 2002. Incorporated by reference to Exhibit 3.1 to the Company's Quarterly Report on Form 10-Q for its fiscal quarter ended June 30, 2002.</w:t>
      </w:r>
    </w:p>
    <w:p>
      <w:pPr>
        <w:spacing w:after="0" w:line="1" w:lineRule="exact"/>
        <w:rPr>
          <w:sz w:val="20"/>
          <w:szCs w:val="20"/>
          <w:color w:val="auto"/>
        </w:rPr>
      </w:pPr>
    </w:p>
    <w:p>
      <w:pPr>
        <w:ind w:left="1040" w:right="2720" w:hanging="475"/>
        <w:spacing w:after="0" w:line="281" w:lineRule="auto"/>
        <w:tabs>
          <w:tab w:leader="none" w:pos="10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Certificate of Designation of the Company's Series G Junior Participating Preferred Stock. Incorporated by reference to Exhibit C to the Rights Agreement with American Stock Transfer &amp; Trust Company dated December 18, 2000, which is attached as Exhibit 1 to the Company's Form 8-A filed December 29, 2000.</w:t>
      </w:r>
    </w:p>
    <w:p>
      <w:pPr>
        <w:spacing w:after="0" w:line="2" w:lineRule="exact"/>
        <w:rPr>
          <w:sz w:val="20"/>
          <w:szCs w:val="20"/>
          <w:color w:val="auto"/>
        </w:rPr>
      </w:pPr>
    </w:p>
    <w:p>
      <w:pPr>
        <w:ind w:left="1040" w:right="2700" w:hanging="475"/>
        <w:spacing w:after="0" w:line="261" w:lineRule="auto"/>
        <w:tabs>
          <w:tab w:leader="none" w:pos="1020" w:val="left"/>
        </w:tabs>
        <w:rPr>
          <w:sz w:val="20"/>
          <w:szCs w:val="20"/>
          <w:color w:val="auto"/>
        </w:rPr>
      </w:pPr>
      <w:r>
        <w:rPr>
          <w:rFonts w:ascii="Arial" w:cs="Arial" w:eastAsia="Arial" w:hAnsi="Arial"/>
          <w:sz w:val="18"/>
          <w:szCs w:val="18"/>
          <w:color w:val="auto"/>
        </w:rPr>
        <w:t>3.5</w:t>
        <w:tab/>
        <w:t>Amended and Restated Bylaws of the Company. Incorporated by reference to Exhibit 3.2 to the Company's Registration Statement on Form S-1 (File No. 333-05545).</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40" w:right="2960" w:hanging="475"/>
        <w:spacing w:after="0" w:line="286" w:lineRule="auto"/>
        <w:tabs>
          <w:tab w:leader="none" w:pos="10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Amendments to the Bylaws of the Company effective December 18, 2000. Incorporated by reference to Exhibit 3.9 to the Company's Annual Report on Form 10-K for its year ended December 31, 2001.</w:t>
      </w:r>
    </w:p>
    <w:p>
      <w:pPr>
        <w:ind w:left="1040" w:right="3120" w:hanging="475"/>
        <w:spacing w:after="0" w:line="250" w:lineRule="auto"/>
        <w:tabs>
          <w:tab w:leader="none" w:pos="1020" w:val="left"/>
        </w:tabs>
        <w:rPr>
          <w:sz w:val="20"/>
          <w:szCs w:val="20"/>
          <w:color w:val="auto"/>
        </w:rPr>
      </w:pPr>
      <w:r>
        <w:rPr>
          <w:rFonts w:ascii="Arial" w:cs="Arial" w:eastAsia="Arial" w:hAnsi="Arial"/>
          <w:sz w:val="18"/>
          <w:szCs w:val="18"/>
          <w:color w:val="auto"/>
        </w:rPr>
        <w:t>4.1</w:t>
        <w:tab/>
        <w:t>Certificate of Trust of Carriage Services Capital Trust. Incorporated by reference to Exhibit 4.6 to the Company's Form S-3 Registration Statement No. 333-84141.</w:t>
      </w:r>
    </w:p>
    <w:p>
      <w:pPr>
        <w:spacing w:after="0" w:line="1" w:lineRule="exact"/>
        <w:rPr>
          <w:sz w:val="20"/>
          <w:szCs w:val="20"/>
          <w:color w:val="auto"/>
        </w:rPr>
      </w:pPr>
    </w:p>
    <w:p>
      <w:pPr>
        <w:ind w:left="1040" w:right="2780" w:hanging="475"/>
        <w:spacing w:after="0" w:line="250" w:lineRule="auto"/>
        <w:tabs>
          <w:tab w:leader="none" w:pos="1020" w:val="left"/>
        </w:tabs>
        <w:rPr>
          <w:sz w:val="20"/>
          <w:szCs w:val="20"/>
          <w:color w:val="auto"/>
        </w:rPr>
      </w:pPr>
      <w:r>
        <w:rPr>
          <w:rFonts w:ascii="Arial" w:cs="Arial" w:eastAsia="Arial" w:hAnsi="Arial"/>
          <w:sz w:val="18"/>
          <w:szCs w:val="18"/>
          <w:color w:val="auto"/>
        </w:rPr>
        <w:t>4.2</w:t>
        <w:tab/>
        <w:t>Amended and Restated Declaration of Trust of Carriage Services Capital Trust, dated June 3, 1999 among the Company, Wilmington Trust Company, Wilmington Trust Company, and Mark W. Duffey, Thomas C. Livengood and Terry E. Sanford. Incorporated by reference to Exhibit 4.7 to the Company's Form S-3 Registration Statement No. 333-84141.</w:t>
      </w:r>
    </w:p>
    <w:p>
      <w:pPr>
        <w:spacing w:after="0" w:line="2" w:lineRule="exact"/>
        <w:rPr>
          <w:sz w:val="20"/>
          <w:szCs w:val="20"/>
          <w:color w:val="auto"/>
        </w:rPr>
      </w:pPr>
    </w:p>
    <w:p>
      <w:pPr>
        <w:ind w:left="1040" w:right="2940" w:hanging="475"/>
        <w:spacing w:after="0" w:line="250" w:lineRule="auto"/>
        <w:tabs>
          <w:tab w:leader="none" w:pos="1020" w:val="left"/>
        </w:tabs>
        <w:rPr>
          <w:sz w:val="20"/>
          <w:szCs w:val="20"/>
          <w:color w:val="auto"/>
        </w:rPr>
      </w:pPr>
      <w:r>
        <w:rPr>
          <w:rFonts w:ascii="Arial" w:cs="Arial" w:eastAsia="Arial" w:hAnsi="Arial"/>
          <w:sz w:val="18"/>
          <w:szCs w:val="18"/>
          <w:color w:val="auto"/>
        </w:rPr>
        <w:t>4.3</w:t>
        <w:tab/>
        <w:t>Indenture for the Convertible Junior Subordinated Debentures due 2029 dated June 3, 1999 between the Company and Wilmington Trust Company. Incorporated by reference to Exhibit 4.8 to the Company's Form S-3 Registration Statement No. 333-84141.</w:t>
      </w:r>
    </w:p>
    <w:p>
      <w:pPr>
        <w:spacing w:after="0" w:line="1" w:lineRule="exact"/>
        <w:rPr>
          <w:sz w:val="20"/>
          <w:szCs w:val="20"/>
          <w:color w:val="auto"/>
        </w:rPr>
      </w:pPr>
    </w:p>
    <w:p>
      <w:pPr>
        <w:ind w:left="1040" w:right="2740" w:hanging="475"/>
        <w:spacing w:after="0" w:line="250" w:lineRule="auto"/>
        <w:tabs>
          <w:tab w:leader="none" w:pos="1020" w:val="left"/>
        </w:tabs>
        <w:rPr>
          <w:sz w:val="20"/>
          <w:szCs w:val="20"/>
          <w:color w:val="auto"/>
        </w:rPr>
      </w:pPr>
      <w:r>
        <w:rPr>
          <w:rFonts w:ascii="Arial" w:cs="Arial" w:eastAsia="Arial" w:hAnsi="Arial"/>
          <w:sz w:val="18"/>
          <w:szCs w:val="18"/>
          <w:color w:val="auto"/>
        </w:rPr>
        <w:t>4.4</w:t>
        <w:tab/>
        <w:t>Form of Carriage Services Capital Trust 7% Convertible Preferred Securities. Incorporated by reference to Exhibit 4.10 to the Company's Form S-3 Registration Statement No. 333-84141.</w:t>
      </w:r>
    </w:p>
    <w:p>
      <w:pPr>
        <w:spacing w:after="0" w:line="1" w:lineRule="exact"/>
        <w:rPr>
          <w:sz w:val="20"/>
          <w:szCs w:val="20"/>
          <w:color w:val="auto"/>
        </w:rPr>
      </w:pPr>
    </w:p>
    <w:p>
      <w:pPr>
        <w:ind w:left="1040" w:right="2620" w:hanging="475"/>
        <w:spacing w:after="0" w:line="250" w:lineRule="auto"/>
        <w:tabs>
          <w:tab w:leader="none" w:pos="1020" w:val="left"/>
        </w:tabs>
        <w:rPr>
          <w:sz w:val="20"/>
          <w:szCs w:val="20"/>
          <w:color w:val="auto"/>
        </w:rPr>
      </w:pPr>
      <w:r>
        <w:rPr>
          <w:rFonts w:ascii="Arial" w:cs="Arial" w:eastAsia="Arial" w:hAnsi="Arial"/>
          <w:sz w:val="18"/>
          <w:szCs w:val="18"/>
          <w:color w:val="auto"/>
        </w:rPr>
        <w:t>4.5</w:t>
        <w:tab/>
        <w:t>Form of the Company's Convertible Junior Subordinated Debentures due 2029. Incorporated by reference to Exhibit 4.11 to the Company's Form S-3 Registration Statement No. 333-84141.</w:t>
      </w:r>
    </w:p>
    <w:p>
      <w:pPr>
        <w:spacing w:after="0" w:line="1" w:lineRule="exact"/>
        <w:rPr>
          <w:sz w:val="20"/>
          <w:szCs w:val="20"/>
          <w:color w:val="auto"/>
        </w:rPr>
      </w:pPr>
    </w:p>
    <w:p>
      <w:pPr>
        <w:ind w:left="1040" w:right="2760" w:hanging="475"/>
        <w:spacing w:after="0" w:line="250" w:lineRule="auto"/>
        <w:tabs>
          <w:tab w:leader="none" w:pos="1020" w:val="left"/>
        </w:tabs>
        <w:rPr>
          <w:sz w:val="20"/>
          <w:szCs w:val="20"/>
          <w:color w:val="auto"/>
        </w:rPr>
      </w:pPr>
      <w:r>
        <w:rPr>
          <w:rFonts w:ascii="Arial" w:cs="Arial" w:eastAsia="Arial" w:hAnsi="Arial"/>
          <w:sz w:val="18"/>
          <w:szCs w:val="18"/>
          <w:color w:val="auto"/>
        </w:rPr>
        <w:t>4.6</w:t>
        <w:tab/>
        <w:t>Preferred Securities Guarantee dated June 3, 1999 between the Company and Wilmington Trust Company. Incorporated by reference to Exhibit 4.12 to the Company's Form S-3 Registration Statement No. 333-84141.</w:t>
      </w:r>
    </w:p>
    <w:p>
      <w:pPr>
        <w:spacing w:after="0" w:line="1" w:lineRule="exact"/>
        <w:rPr>
          <w:sz w:val="20"/>
          <w:szCs w:val="20"/>
          <w:color w:val="auto"/>
        </w:rPr>
      </w:pPr>
    </w:p>
    <w:p>
      <w:pPr>
        <w:ind w:left="1040" w:right="2680" w:hanging="475"/>
        <w:spacing w:after="0" w:line="281" w:lineRule="auto"/>
        <w:tabs>
          <w:tab w:leader="none" w:pos="10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Common Securities Guarantee, dated June 3, 1999 by Carriage Services, Inc. as Guarantor. Incorporated by reference to Exhibit 4.13 to the Company's Form S-3 Registration Statement No. 333-84141.</w:t>
      </w:r>
    </w:p>
    <w:p>
      <w:pPr>
        <w:spacing w:after="0" w:line="1" w:lineRule="exact"/>
        <w:rPr>
          <w:sz w:val="20"/>
          <w:szCs w:val="20"/>
          <w:color w:val="auto"/>
        </w:rPr>
      </w:pPr>
    </w:p>
    <w:p>
      <w:pPr>
        <w:ind w:left="1040" w:right="3040" w:hanging="475"/>
        <w:spacing w:after="0" w:line="361" w:lineRule="auto"/>
        <w:tabs>
          <w:tab w:leader="none" w:pos="10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Amendment No. 1 to Amended and Restated Declaration of Trust of Carriage Services Capital Trust. Incorporated by reference to Exhibit 4.14 to the Company's Form S-3 Registration Statement No. 333-</w:t>
      </w:r>
    </w:p>
    <w:p>
      <w:pPr>
        <w:sectPr>
          <w:pgSz w:w="11900" w:h="16861" w:orient="portrait"/>
          <w:cols w:equalWidth="0" w:num="1">
            <w:col w:w="11280"/>
          </w:cols>
          <w:pgMar w:left="240" w:top="125" w:right="379" w:bottom="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84141.</w:t>
      </w:r>
    </w:p>
    <w:p>
      <w:pPr>
        <w:spacing w:after="0" w:line="15" w:lineRule="exact"/>
        <w:rPr>
          <w:sz w:val="20"/>
          <w:szCs w:val="20"/>
          <w:color w:val="auto"/>
        </w:rPr>
      </w:pPr>
    </w:p>
    <w:p>
      <w:pPr>
        <w:ind w:left="640" w:right="1579" w:hanging="475"/>
        <w:spacing w:after="0" w:line="250" w:lineRule="auto"/>
        <w:tabs>
          <w:tab w:leader="none" w:pos="620" w:val="left"/>
        </w:tabs>
        <w:rPr>
          <w:sz w:val="20"/>
          <w:szCs w:val="20"/>
          <w:color w:val="auto"/>
        </w:rPr>
      </w:pPr>
      <w:r>
        <w:rPr>
          <w:rFonts w:ascii="Arial" w:cs="Arial" w:eastAsia="Arial" w:hAnsi="Arial"/>
          <w:sz w:val="18"/>
          <w:szCs w:val="18"/>
          <w:color w:val="auto"/>
        </w:rPr>
        <w:t>4.9</w:t>
        <w:tab/>
        <w:t>Rights Agreement with American Stock Transfer &amp; Trust Company dated December 18, 2000. Incorporated by reference to Exhibit 1 to the Company's Form 8-A filed December 29, 2000.</w:t>
      </w:r>
    </w:p>
    <w:p>
      <w:pPr>
        <w:spacing w:after="0" w:line="1" w:lineRule="exact"/>
        <w:rPr>
          <w:sz w:val="20"/>
          <w:szCs w:val="20"/>
          <w:color w:val="auto"/>
        </w:rPr>
      </w:pPr>
    </w:p>
    <w:p>
      <w:pPr>
        <w:jc w:val="both"/>
        <w:ind w:left="640" w:right="1699" w:hanging="563"/>
        <w:spacing w:after="0" w:line="250" w:lineRule="auto"/>
        <w:tabs>
          <w:tab w:leader="none" w:pos="620" w:val="left"/>
        </w:tabs>
        <w:rPr>
          <w:sz w:val="20"/>
          <w:szCs w:val="20"/>
          <w:color w:val="auto"/>
        </w:rPr>
      </w:pPr>
      <w:r>
        <w:rPr>
          <w:rFonts w:ascii="Arial" w:cs="Arial" w:eastAsia="Arial" w:hAnsi="Arial"/>
          <w:sz w:val="18"/>
          <w:szCs w:val="18"/>
          <w:color w:val="auto"/>
        </w:rPr>
        <w:t>10.1</w:t>
        <w:tab/>
        <w:t>Credit Agreement among the Company, Bank of America, N.A. and the other lenders named therein dated June 14, 1999. Incorporated by reference to Exhibit 4.1 to the Company's Quarterly Report on Form 10-Q for its fiscal quarter ended June 30, 1999.</w:t>
      </w:r>
    </w:p>
    <w:p>
      <w:pPr>
        <w:spacing w:after="0" w:line="1" w:lineRule="exact"/>
        <w:rPr>
          <w:sz w:val="20"/>
          <w:szCs w:val="20"/>
          <w:color w:val="auto"/>
        </w:rPr>
      </w:pPr>
    </w:p>
    <w:p>
      <w:pPr>
        <w:ind w:left="640" w:right="1559" w:hanging="563"/>
        <w:spacing w:after="0" w:line="250" w:lineRule="auto"/>
        <w:tabs>
          <w:tab w:leader="none" w:pos="620" w:val="left"/>
        </w:tabs>
        <w:rPr>
          <w:sz w:val="20"/>
          <w:szCs w:val="20"/>
          <w:color w:val="auto"/>
        </w:rPr>
      </w:pPr>
      <w:r>
        <w:rPr>
          <w:rFonts w:ascii="Arial" w:cs="Arial" w:eastAsia="Arial" w:hAnsi="Arial"/>
          <w:sz w:val="18"/>
          <w:szCs w:val="18"/>
          <w:color w:val="auto"/>
        </w:rPr>
        <w:t>10.2</w:t>
        <w:tab/>
        <w:t>Registration Rights Agreement, dated June 3, 1999, by and among Carriage Services Capital Trust, Carriage Services, Inc. and Credit Suisse First Boston Corporation. (10.1)</w:t>
      </w:r>
    </w:p>
    <w:p>
      <w:pPr>
        <w:spacing w:after="0" w:line="1" w:lineRule="exact"/>
        <w:rPr>
          <w:sz w:val="20"/>
          <w:szCs w:val="20"/>
          <w:color w:val="auto"/>
        </w:rPr>
      </w:pPr>
    </w:p>
    <w:p>
      <w:pPr>
        <w:ind w:left="640" w:right="1659" w:hanging="563"/>
        <w:spacing w:after="0" w:line="250" w:lineRule="auto"/>
        <w:tabs>
          <w:tab w:leader="none" w:pos="620" w:val="left"/>
        </w:tabs>
        <w:rPr>
          <w:sz w:val="20"/>
          <w:szCs w:val="20"/>
          <w:color w:val="auto"/>
        </w:rPr>
      </w:pPr>
      <w:r>
        <w:rPr>
          <w:rFonts w:ascii="Arial" w:cs="Arial" w:eastAsia="Arial" w:hAnsi="Arial"/>
          <w:sz w:val="18"/>
          <w:szCs w:val="18"/>
          <w:color w:val="auto"/>
        </w:rPr>
        <w:t>10.3</w:t>
        <w:tab/>
        <w:t>Amendment No. 1 to Credit Agreement among the Company, Bank of America, N.A. and the other lenders named therein dated July 1, 1999. Incorporated by reference to Exhibit 10.1 to the Company's Quarterly Report on Form 10-Q for its quarter ended September 30, 1999.</w:t>
      </w:r>
    </w:p>
    <w:p>
      <w:pPr>
        <w:spacing w:after="0" w:line="1" w:lineRule="exact"/>
        <w:rPr>
          <w:sz w:val="20"/>
          <w:szCs w:val="20"/>
          <w:color w:val="auto"/>
        </w:rPr>
      </w:pPr>
    </w:p>
    <w:p>
      <w:pPr>
        <w:ind w:left="640" w:right="1659" w:hanging="563"/>
        <w:spacing w:after="0" w:line="281"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No. 2 to Credit Agreement among the Company, Bank of America, N.A. and the other lenders named therein dated September 20, 1999. Incorporated by reference to Exhibit 10.1 to the Company's Quarterly Report on Form 10-Q for its quarter ended September 30, 1999.</w:t>
      </w:r>
    </w:p>
    <w:p>
      <w:pPr>
        <w:spacing w:after="0" w:line="2" w:lineRule="exact"/>
        <w:rPr>
          <w:sz w:val="20"/>
          <w:szCs w:val="20"/>
          <w:color w:val="auto"/>
        </w:rPr>
      </w:pPr>
    </w:p>
    <w:p>
      <w:pPr>
        <w:ind w:left="640" w:right="1659" w:hanging="563"/>
        <w:spacing w:after="0" w:line="302" w:lineRule="auto"/>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No. 3 to Credit Agreement among the Company, Bank of America, N.A. and the other lenders named therein dated September 15, 2000. Incorporated by reference to Exhibit 10.1 to the Company's Quarterly Report on Form 10-Q for its quarter ended September 30, 2000.</w:t>
      </w:r>
    </w:p>
    <w:p>
      <w:pPr>
        <w:spacing w:after="0" w:line="1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jc w:val="right"/>
        <w:ind w:left="80" w:right="1579"/>
        <w:spacing w:after="0" w:line="286" w:lineRule="auto"/>
        <w:rPr>
          <w:sz w:val="20"/>
          <w:szCs w:val="20"/>
          <w:color w:val="auto"/>
        </w:rPr>
      </w:pPr>
      <w:r>
        <w:rPr>
          <w:rFonts w:ascii="Arial" w:cs="Arial" w:eastAsia="Arial" w:hAnsi="Arial"/>
          <w:sz w:val="16"/>
          <w:szCs w:val="16"/>
          <w:color w:val="auto"/>
        </w:rPr>
        <w:t>10.6   Note Purchase Agreement dated July 1, 1999, for Senior Notes Issuable in Series. Incorporated by reference to Exhibit 10.1 to the Company's Quarterly Report on Form 10-Q for its quarter ended September 30, 1999.</w:t>
      </w:r>
    </w:p>
    <w:p>
      <w:pPr>
        <w:ind w:left="640" w:right="1799" w:hanging="563"/>
        <w:spacing w:after="0" w:line="300" w:lineRule="auto"/>
        <w:tabs>
          <w:tab w:leader="none" w:pos="6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Amendment No. 1 to Note Purchase Agreement dated November 6, 2000. Incorporated by reference to Exhibit 10.1 to the Company's Quarterly Report on Form 10-Q for its quarter ended September 30, 2000.</w:t>
      </w:r>
    </w:p>
    <w:p>
      <w:pPr>
        <w:spacing w:after="0" w:line="1" w:lineRule="exact"/>
        <w:rPr>
          <w:sz w:val="20"/>
          <w:szCs w:val="20"/>
          <w:color w:val="auto"/>
        </w:rPr>
      </w:pPr>
    </w:p>
    <w:p>
      <w:pPr>
        <w:ind w:left="640" w:right="1639" w:hanging="563"/>
        <w:spacing w:after="0" w:line="281" w:lineRule="auto"/>
        <w:tabs>
          <w:tab w:leader="none" w:pos="6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Amended and Restated 1995 Stock Incentive Plan. Incorporated herein by reference to Exhibit 10.23 to the Company's Annual Report on Form 10-K for its fiscal year ended December 31, 1996.</w:t>
      </w:r>
    </w:p>
    <w:p>
      <w:pPr>
        <w:spacing w:after="0" w:line="1" w:lineRule="exact"/>
        <w:rPr>
          <w:sz w:val="20"/>
          <w:szCs w:val="20"/>
          <w:color w:val="auto"/>
        </w:rPr>
      </w:pPr>
    </w:p>
    <w:p>
      <w:pPr>
        <w:ind w:left="640" w:right="2359" w:hanging="563"/>
        <w:spacing w:after="0" w:line="250" w:lineRule="auto"/>
        <w:tabs>
          <w:tab w:leader="none" w:pos="620" w:val="left"/>
        </w:tabs>
        <w:rPr>
          <w:sz w:val="20"/>
          <w:szCs w:val="20"/>
          <w:color w:val="auto"/>
        </w:rPr>
      </w:pPr>
      <w:r>
        <w:rPr>
          <w:rFonts w:ascii="Arial" w:cs="Arial" w:eastAsia="Arial" w:hAnsi="Arial"/>
          <w:sz w:val="18"/>
          <w:szCs w:val="18"/>
          <w:color w:val="auto"/>
        </w:rPr>
        <w:t>10.9</w:t>
        <w:tab/>
        <w:t>Amendment No. 2 to 1995 Stock Incentive Plan. Incorporated by reference to Exhibit 10.1 to the Company's Form S-8 Registration Statement No. 333-85961.</w:t>
      </w:r>
    </w:p>
    <w:p>
      <w:pPr>
        <w:spacing w:after="0" w:line="1" w:lineRule="exact"/>
        <w:rPr>
          <w:sz w:val="20"/>
          <w:szCs w:val="20"/>
          <w:color w:val="auto"/>
        </w:rPr>
      </w:pPr>
    </w:p>
    <w:p>
      <w:pPr>
        <w:ind w:left="640" w:right="1819" w:hanging="651"/>
        <w:spacing w:after="0" w:line="281" w:lineRule="auto"/>
        <w:tabs>
          <w:tab w:leader="none" w:pos="6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Amended and Restated 1996 Stock Option Plan. Incorporated herein by reference to Exhibit 10.24 to the Company's Annual Report on Form 10-K for its fiscal year ended December 31, 1996.</w:t>
      </w:r>
    </w:p>
    <w:p>
      <w:pPr>
        <w:spacing w:after="0" w:line="1" w:lineRule="exact"/>
        <w:rPr>
          <w:sz w:val="20"/>
          <w:szCs w:val="20"/>
          <w:color w:val="auto"/>
        </w:rPr>
      </w:pPr>
    </w:p>
    <w:p>
      <w:pPr>
        <w:ind w:left="640" w:right="1699" w:hanging="644"/>
        <w:spacing w:after="0" w:line="250" w:lineRule="auto"/>
        <w:tabs>
          <w:tab w:leader="none" w:pos="620" w:val="left"/>
        </w:tabs>
        <w:rPr>
          <w:sz w:val="20"/>
          <w:szCs w:val="20"/>
          <w:color w:val="auto"/>
        </w:rPr>
      </w:pPr>
      <w:r>
        <w:rPr>
          <w:rFonts w:ascii="Arial" w:cs="Arial" w:eastAsia="Arial" w:hAnsi="Arial"/>
          <w:sz w:val="18"/>
          <w:szCs w:val="18"/>
          <w:color w:val="auto"/>
        </w:rPr>
        <w:t>10.11</w:t>
        <w:tab/>
        <w:t>Amendment No. 2 to 1996 Stock Option Plan. Incorporated by reference to Exhibit 10.2 to the Company's Form S-8 Registration Statement No. 333-85961.</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Amended and Restated 1996 Directors' Stock Option Plan. Incorporated herein by reference to</w:t>
      </w:r>
    </w:p>
    <w:p>
      <w:pPr>
        <w:spacing w:after="0" w:line="9" w:lineRule="exact"/>
        <w:rPr>
          <w:sz w:val="20"/>
          <w:szCs w:val="20"/>
          <w:color w:val="auto"/>
        </w:rPr>
      </w:pPr>
    </w:p>
    <w:p>
      <w:pPr>
        <w:ind w:right="1659" w:firstLine="652"/>
        <w:spacing w:after="0" w:line="281" w:lineRule="auto"/>
        <w:rPr>
          <w:sz w:val="20"/>
          <w:szCs w:val="20"/>
          <w:color w:val="auto"/>
        </w:rPr>
      </w:pPr>
      <w:r>
        <w:rPr>
          <w:rFonts w:ascii="Arial" w:cs="Arial" w:eastAsia="Arial" w:hAnsi="Arial"/>
          <w:sz w:val="16"/>
          <w:szCs w:val="16"/>
          <w:color w:val="auto"/>
        </w:rPr>
        <w:t>Exhibit 10.25 to the Company's Annual Report on Form 10-K for its fiscal year ended December 31, 1996. 10.13 Amendment No. 1 to 1996 Directors' Stock Option Plan. Incorporated by reference to Exhibit 10.3 to the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Company's Form S-8 Registration Statement No. 333-85961.</w:t>
      </w:r>
    </w:p>
    <w:p>
      <w:pPr>
        <w:spacing w:after="0" w:line="9" w:lineRule="exact"/>
        <w:rPr>
          <w:sz w:val="20"/>
          <w:szCs w:val="20"/>
          <w:color w:val="auto"/>
        </w:rPr>
      </w:pPr>
    </w:p>
    <w:p>
      <w:pPr>
        <w:ind w:left="640" w:right="1799" w:hanging="651"/>
        <w:spacing w:after="0" w:line="250" w:lineRule="auto"/>
        <w:tabs>
          <w:tab w:leader="none" w:pos="620" w:val="left"/>
        </w:tabs>
        <w:rPr>
          <w:sz w:val="20"/>
          <w:szCs w:val="20"/>
          <w:color w:val="auto"/>
        </w:rPr>
      </w:pPr>
      <w:r>
        <w:rPr>
          <w:rFonts w:ascii="Arial" w:cs="Arial" w:eastAsia="Arial" w:hAnsi="Arial"/>
          <w:sz w:val="18"/>
          <w:szCs w:val="18"/>
          <w:color w:val="auto"/>
        </w:rPr>
        <w:t>10.14</w:t>
        <w:tab/>
        <w:t>Amendment No. 2 to 1996 Directors' Stock Option Plan. Incorporated by reference to Exhibit 10.4 to the Company's Form S-8 Registration Statement No. 333-85961.</w:t>
      </w:r>
    </w:p>
    <w:p>
      <w:pPr>
        <w:spacing w:after="0" w:line="1" w:lineRule="exact"/>
        <w:rPr>
          <w:sz w:val="20"/>
          <w:szCs w:val="20"/>
          <w:color w:val="auto"/>
        </w:rPr>
      </w:pPr>
    </w:p>
    <w:p>
      <w:pPr>
        <w:ind w:left="640" w:right="2099" w:hanging="651"/>
        <w:spacing w:after="0" w:line="250" w:lineRule="auto"/>
        <w:tabs>
          <w:tab w:leader="none" w:pos="620" w:val="left"/>
        </w:tabs>
        <w:rPr>
          <w:sz w:val="20"/>
          <w:szCs w:val="20"/>
          <w:color w:val="auto"/>
        </w:rPr>
      </w:pPr>
      <w:r>
        <w:rPr>
          <w:rFonts w:ascii="Arial" w:cs="Arial" w:eastAsia="Arial" w:hAnsi="Arial"/>
          <w:sz w:val="18"/>
          <w:szCs w:val="18"/>
          <w:color w:val="auto"/>
        </w:rPr>
        <w:t>10.15</w:t>
        <w:tab/>
        <w:t>1998 Stock Option Plan for Consultants. Incorporated by reference to Exhibit 10.1 to the Company's Form S-8 Registration Statement No. 333-62593.</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with Melvin C. Payne, dated November 8, 1999. Incorporated by reference to Exhibit 10.11 to the Company's Annual Report on Form 10-K for its fiscal year ended December 31, 1999.</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Indemnity Agreement with Melvin C. Payne dated December 18, 2000. Incorporated by reference to Exhibit 10.20 to the Company's Annual Report on Form 10-K for its fiscal year ended December 31, 2000.</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Indemnity Agreement with Jay D. Dodds dated December 18, 2000. Incorporated by reference to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Exhibit 10.23 to the Company's Annual Report on Form 10-K for its fiscal year ended December 31, 2000.</w:t>
      </w:r>
    </w:p>
    <w:p>
      <w:pPr>
        <w:spacing w:after="0" w:line="32"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Indemnity Agreement with Mark F. Wilson dated December 18, 2000. Incorporated by reference to Exhibit 10.24 to the Company's Annual Report on Form 10-K for its fiscal year ended December 31, 2000.</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Indemnity Agreement with Greg M. Brudnicki dated December 18, 2000. Incorporated by reference to Exhibit 10.25 to the Company's Annual Report on Form 10-K for its fiscal year ended December 31, 2000.</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Indemnity Agreement with Stuart W. Stedman dated December 18, 2000. Incorporated by reference to Exhibit 10.26 to the Company's Annual Report on Form 10-K for its fiscal year ended December 31, 2000.</w:t>
      </w:r>
    </w:p>
    <w:p>
      <w:pPr>
        <w:spacing w:after="0" w:line="1" w:lineRule="exact"/>
        <w:rPr>
          <w:sz w:val="20"/>
          <w:szCs w:val="20"/>
          <w:color w:val="auto"/>
        </w:rPr>
      </w:pPr>
    </w:p>
    <w:p>
      <w:pPr>
        <w:ind w:left="640" w:right="1659" w:hanging="651"/>
        <w:spacing w:after="0" w:line="323" w:lineRule="auto"/>
        <w:tabs>
          <w:tab w:leader="none" w:pos="6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Indemnity Agreement with Ronald A. Erickson dated December 18, 2000. Incorporated by reference to Exhibit 10.27 to the Company's Annual Report on Form 10-K for its fiscal year ended December 31, 2000.</w:t>
      </w:r>
    </w:p>
    <w:p>
      <w:pPr>
        <w:spacing w:after="0" w:line="1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40" w:right="1659" w:hanging="651"/>
        <w:spacing w:after="0" w:line="286" w:lineRule="auto"/>
        <w:tabs>
          <w:tab w:leader="none" w:pos="6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Indemnity Agreement with Vincent D. Foster dated December 18, 2000. Incorporated by reference to Exhibit 10.28 to the Company's Annual Report on Form 10-K for its fiscal year ended December 31, 2000.</w:t>
      </w:r>
    </w:p>
    <w:p>
      <w:pPr>
        <w:spacing w:after="0"/>
        <w:tabs>
          <w:tab w:leader="none" w:pos="6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Employment Agreement with Mark F. Wilson dated January 1, 2001. Incorporated by reference to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Exhibit 10.30 to the Company's Annual Report on Form 10-K for its fiscal year ended December 31, 2000.</w:t>
      </w:r>
    </w:p>
    <w:p>
      <w:pPr>
        <w:spacing w:after="0" w:line="32"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Employment Agreement with Greg M. Brudnicki dated January 1, 2001. Incorporated by reference to Exhibit 10.31 to the Company's Annual Report on Form 10-K for its fiscal year ended December 31, 2000.</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Employment Agreement with Jay D. Dodds dated November 8, 1999. Incorporated by reference to Exhibit 10.32 to the Company's Annual Report on Form 10-K for its fiscal year ended December 31, 2000.</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Employment Agreement with James J. Benard dated January 1, 2001. Incorporated by reference to Exhibit 10.29 to the Company's Annual Report on Form 10-K for its fiscal year ended December 31, 2001.</w:t>
      </w:r>
    </w:p>
    <w:p>
      <w:pPr>
        <w:spacing w:after="0" w:line="1" w:lineRule="exact"/>
        <w:rPr>
          <w:sz w:val="20"/>
          <w:szCs w:val="20"/>
          <w:color w:val="auto"/>
        </w:rPr>
      </w:pPr>
    </w:p>
    <w:p>
      <w:pPr>
        <w:ind w:left="640" w:right="1659" w:hanging="651"/>
        <w:spacing w:after="0" w:line="281" w:lineRule="auto"/>
        <w:tabs>
          <w:tab w:leader="none" w:pos="6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Employment Agreement with Mark Groeneman dated January 1, 2000. Incorporated by reference to Exhibit 10.30 to the Company's Annual Report on Form 10-K for its fiscal year ended December 31, 2001.</w:t>
      </w:r>
    </w:p>
    <w:p>
      <w:pPr>
        <w:spacing w:after="0" w:line="1" w:lineRule="exact"/>
        <w:rPr>
          <w:sz w:val="20"/>
          <w:szCs w:val="20"/>
          <w:color w:val="auto"/>
        </w:rPr>
      </w:pPr>
    </w:p>
    <w:p>
      <w:pPr>
        <w:ind w:left="640" w:right="1619" w:hanging="651"/>
        <w:spacing w:after="0" w:line="281" w:lineRule="auto"/>
        <w:tabs>
          <w:tab w:leader="none" w:pos="6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Employment Agreement with George J. Klug dated May 7, 2002. Incorporated by reference to Exhibit 10.1 to the Company's Quarterly Report on Form 10-Q for its quarter ended June 30, 2002.</w:t>
      </w:r>
    </w:p>
    <w:p>
      <w:pPr>
        <w:spacing w:after="0" w:line="1" w:lineRule="exact"/>
        <w:rPr>
          <w:sz w:val="20"/>
          <w:szCs w:val="20"/>
          <w:color w:val="auto"/>
        </w:rPr>
      </w:pPr>
    </w:p>
    <w:p>
      <w:pPr>
        <w:ind w:left="640" w:right="2219" w:hanging="651"/>
        <w:spacing w:after="0" w:line="250" w:lineRule="auto"/>
        <w:tabs>
          <w:tab w:leader="none" w:pos="620" w:val="left"/>
        </w:tabs>
        <w:rPr>
          <w:sz w:val="20"/>
          <w:szCs w:val="20"/>
          <w:color w:val="auto"/>
        </w:rPr>
      </w:pPr>
      <w:r>
        <w:rPr>
          <w:rFonts w:ascii="Arial" w:cs="Arial" w:eastAsia="Arial" w:hAnsi="Arial"/>
          <w:sz w:val="18"/>
          <w:szCs w:val="18"/>
          <w:color w:val="auto"/>
        </w:rPr>
        <w:t>10.30</w:t>
        <w:tab/>
        <w:t>Separation Agreement and Release for Thomas C. Livengood dated July 31, 2002. Incorporated by reference to Exhibit 10.1 to the Company's Quarterly Report on Form 10-Q for its quarter ended September 30, 2002.</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Consulting Agreement with Thomas C. Livengood dated August 1, 2002. Incorporated by reference to</w:t>
      </w:r>
    </w:p>
    <w:p>
      <w:pPr>
        <w:sectPr>
          <w:pgSz w:w="11900" w:h="16838" w:orient="portrait"/>
          <w:cols w:equalWidth="0" w:num="1">
            <w:col w:w="9819"/>
          </w:cols>
          <w:pgMar w:left="640" w:top="131" w:right="1440" w:bottom="0" w:gutter="0" w:footer="0" w:header="0"/>
        </w:sectPr>
      </w:pPr>
    </w:p>
    <w:bookmarkStart w:id="23" w:name="page24"/>
    <w:bookmarkEnd w:id="23"/>
    <w:p>
      <w:pPr>
        <w:jc w:val="right"/>
        <w:ind w:left="400" w:right="2780"/>
        <w:spacing w:after="0" w:line="284" w:lineRule="auto"/>
        <w:rPr>
          <w:sz w:val="20"/>
          <w:szCs w:val="20"/>
          <w:color w:val="auto"/>
        </w:rPr>
      </w:pPr>
      <w:r>
        <w:rPr>
          <w:rFonts w:ascii="Arial" w:cs="Arial" w:eastAsia="Arial" w:hAnsi="Arial"/>
          <w:sz w:val="16"/>
          <w:szCs w:val="16"/>
          <w:color w:val="auto"/>
        </w:rPr>
        <w:t>Exhibit 10.2 to the Company's Quarterly Report on Form 10-Q for its quarter ended September 30, 2002. 10.32   Employment Agreement with Joseph Saporito, III dated September 16, 2002. Incorporated by reference to Exhibit 10.3 to the Company's Quarterly Report on Form 10-Q for its quarter ended September 30, 2002.</w:t>
      </w:r>
    </w:p>
    <w:p>
      <w:pPr>
        <w:spacing w:after="0" w:line="1" w:lineRule="exact"/>
        <w:rPr>
          <w:sz w:val="20"/>
          <w:szCs w:val="20"/>
          <w:color w:val="auto"/>
        </w:rPr>
      </w:pPr>
    </w:p>
    <w:p>
      <w:pPr>
        <w:ind w:left="1040" w:right="2960" w:hanging="651"/>
        <w:spacing w:after="0" w:line="300"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Letter to Bank of America reducing capacity of revolving credit facility. Incorporated by reference to Exhibit 4.1 to the Company's Quarterly Report on Form 10-Q for its quarter ended September 30, 2002.</w:t>
      </w:r>
    </w:p>
    <w:p>
      <w:pPr>
        <w:spacing w:after="0" w:line="1"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*12</w:t>
        <w:tab/>
        <w:t>Calculation of Ratio of Earnings to Fixed Charges.</w:t>
      </w:r>
    </w:p>
    <w:p>
      <w:pPr>
        <w:spacing w:after="0" w:line="9"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9"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9" w:lineRule="exact"/>
        <w:rPr>
          <w:sz w:val="20"/>
          <w:szCs w:val="20"/>
          <w:color w:val="auto"/>
        </w:rPr>
      </w:pPr>
    </w:p>
    <w:p>
      <w:pPr>
        <w:ind w:left="1040" w:right="3260" w:hanging="651"/>
        <w:spacing w:after="0" w:line="250" w:lineRule="auto"/>
        <w:tabs>
          <w:tab w:leader="none" w:pos="1020" w:val="left"/>
        </w:tabs>
        <w:rPr>
          <w:sz w:val="20"/>
          <w:szCs w:val="20"/>
          <w:color w:val="auto"/>
        </w:rPr>
      </w:pPr>
      <w:r>
        <w:rPr>
          <w:rFonts w:ascii="Arial" w:cs="Arial" w:eastAsia="Arial" w:hAnsi="Arial"/>
          <w:sz w:val="18"/>
          <w:szCs w:val="18"/>
          <w:color w:val="auto"/>
        </w:rPr>
        <w:t>*99.1</w:t>
        <w:tab/>
        <w:t>Certification of Periodic Financial Reports by Melvin C. Payne in satisfaction of Section 906 of the Sarbanes-Oxley Act of 2002.</w:t>
      </w:r>
    </w:p>
    <w:p>
      <w:pPr>
        <w:spacing w:after="0" w:line="1" w:lineRule="exact"/>
        <w:rPr>
          <w:sz w:val="20"/>
          <w:szCs w:val="20"/>
          <w:color w:val="auto"/>
        </w:rPr>
      </w:pPr>
    </w:p>
    <w:p>
      <w:pPr>
        <w:ind w:left="1040" w:right="3340" w:hanging="651"/>
        <w:spacing w:after="0" w:line="261" w:lineRule="auto"/>
        <w:tabs>
          <w:tab w:leader="none" w:pos="1020" w:val="left"/>
        </w:tabs>
        <w:rPr>
          <w:sz w:val="20"/>
          <w:szCs w:val="20"/>
          <w:color w:val="auto"/>
        </w:rPr>
      </w:pPr>
      <w:r>
        <w:rPr>
          <w:rFonts w:ascii="Arial" w:cs="Arial" w:eastAsia="Arial" w:hAnsi="Arial"/>
          <w:sz w:val="18"/>
          <w:szCs w:val="18"/>
          <w:color w:val="auto"/>
        </w:rPr>
        <w:t>*99.2</w:t>
        <w:tab/>
        <w:t>Certification of Periodic Financial Reports by Joseph Saporito in satisfaction of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105029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9" w:lineRule="exact"/>
        <w:rPr>
          <w:sz w:val="20"/>
          <w:szCs w:val="20"/>
          <w:color w:val="auto"/>
        </w:rPr>
      </w:pPr>
    </w:p>
    <w:p>
      <w:pPr>
        <w:ind w:left="360" w:right="9000" w:hanging="352"/>
        <w:spacing w:after="0" w:line="504" w:lineRule="auto"/>
        <w:tabs>
          <w:tab w:leader="none" w:pos="267"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ON FORM 8-K </w:t>
      </w:r>
      <w:r>
        <w:rPr>
          <w:rFonts w:ascii="Arial" w:cs="Arial" w:eastAsia="Arial" w:hAnsi="Arial"/>
          <w:sz w:val="18"/>
          <w:szCs w:val="18"/>
          <w:color w:val="auto"/>
        </w:rPr>
        <w:t>None.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HAS DULY CAUSED THIS REPORT ON ITS BEHALF BY THE UNDERSIGNED, THEREUNTO DULY AUTHORIZED 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0"/>
        </w:trPr>
        <w:tc>
          <w:tcPr>
            <w:tcW w:w="10140" w:type="dxa"/>
            <w:vAlign w:val="bottom"/>
            <w:gridSpan w:val="3"/>
          </w:tcPr>
          <w:p>
            <w:pPr>
              <w:ind w:left="3920"/>
              <w:spacing w:after="0"/>
              <w:rPr>
                <w:sz w:val="20"/>
                <w:szCs w:val="20"/>
                <w:color w:val="auto"/>
              </w:rPr>
            </w:pPr>
            <w:r>
              <w:rPr>
                <w:rFonts w:ascii="Arial" w:cs="Arial" w:eastAsia="Arial" w:hAnsi="Arial"/>
                <w:sz w:val="18"/>
                <w:szCs w:val="18"/>
                <w:color w:val="auto"/>
              </w:rPr>
              <w:t>CARRIAGE SERVICES, INC.</w:t>
            </w:r>
          </w:p>
        </w:tc>
        <w:tc>
          <w:tcPr>
            <w:tcW w:w="580" w:type="dxa"/>
            <w:vAlign w:val="bottom"/>
          </w:tcPr>
          <w:p>
            <w:pPr>
              <w:spacing w:after="0"/>
              <w:rPr>
                <w:sz w:val="24"/>
                <w:szCs w:val="24"/>
                <w:color w:val="auto"/>
              </w:rPr>
            </w:pPr>
          </w:p>
        </w:tc>
      </w:tr>
      <w:tr>
        <w:trPr>
          <w:trHeight w:val="459"/>
        </w:trPr>
        <w:tc>
          <w:tcPr>
            <w:tcW w:w="4260" w:type="dxa"/>
            <w:vAlign w:val="bottom"/>
          </w:tcPr>
          <w:p>
            <w:pPr>
              <w:ind w:left="3920"/>
              <w:spacing w:after="0"/>
              <w:rPr>
                <w:sz w:val="20"/>
                <w:szCs w:val="20"/>
                <w:color w:val="auto"/>
              </w:rPr>
            </w:pPr>
            <w:r>
              <w:rPr>
                <w:rFonts w:ascii="Arial" w:cs="Arial" w:eastAsia="Arial" w:hAnsi="Arial"/>
                <w:sz w:val="18"/>
                <w:szCs w:val="18"/>
                <w:color w:val="auto"/>
              </w:rPr>
              <w:t>By:</w:t>
            </w:r>
          </w:p>
        </w:tc>
        <w:tc>
          <w:tcPr>
            <w:tcW w:w="5880" w:type="dxa"/>
            <w:vAlign w:val="bottom"/>
            <w:gridSpan w:val="2"/>
          </w:tcPr>
          <w:p>
            <w:pPr>
              <w:ind w:left="1220"/>
              <w:spacing w:after="0"/>
              <w:rPr>
                <w:sz w:val="20"/>
                <w:szCs w:val="20"/>
                <w:color w:val="auto"/>
              </w:rPr>
            </w:pPr>
            <w:r>
              <w:rPr>
                <w:rFonts w:ascii="Arial" w:cs="Arial" w:eastAsia="Arial" w:hAnsi="Arial"/>
                <w:sz w:val="18"/>
                <w:szCs w:val="18"/>
                <w:color w:val="auto"/>
              </w:rPr>
              <w:t>/s/ MELVIN C. PAYNE</w:t>
            </w:r>
          </w:p>
        </w:tc>
        <w:tc>
          <w:tcPr>
            <w:tcW w:w="580" w:type="dxa"/>
            <w:vAlign w:val="bottom"/>
          </w:tcPr>
          <w:p>
            <w:pPr>
              <w:spacing w:after="0"/>
              <w:rPr>
                <w:sz w:val="24"/>
                <w:szCs w:val="24"/>
                <w:color w:val="auto"/>
              </w:rPr>
            </w:pPr>
          </w:p>
        </w:tc>
      </w:tr>
      <w:tr>
        <w:trPr>
          <w:trHeight w:val="93"/>
        </w:trPr>
        <w:tc>
          <w:tcPr>
            <w:tcW w:w="4260" w:type="dxa"/>
            <w:vAlign w:val="bottom"/>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jc w:val="center"/>
        <w:ind w:left="1520"/>
        <w:spacing w:after="0"/>
        <w:rPr>
          <w:sz w:val="20"/>
          <w:szCs w:val="20"/>
          <w:color w:val="auto"/>
        </w:rPr>
      </w:pPr>
      <w:r>
        <w:rPr>
          <w:rFonts w:ascii="Arial" w:cs="Arial" w:eastAsia="Arial" w:hAnsi="Arial"/>
          <w:sz w:val="18"/>
          <w:szCs w:val="18"/>
          <w:i w:val="1"/>
          <w:iCs w:val="1"/>
          <w:color w:val="auto"/>
        </w:rPr>
        <w:t>Chairman of the Board, Chief Executive Officer, and President</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on the dates indicated.</w:t>
      </w:r>
    </w:p>
    <w:p>
      <w:pPr>
        <w:spacing w:after="0" w:line="182" w:lineRule="exact"/>
        <w:rPr>
          <w:sz w:val="20"/>
          <w:szCs w:val="20"/>
          <w:color w:val="auto"/>
        </w:rPr>
      </w:pPr>
    </w:p>
    <w:p>
      <w:pPr>
        <w:ind w:left="1560"/>
        <w:spacing w:after="0"/>
        <w:tabs>
          <w:tab w:leader="none" w:pos="5260" w:val="left"/>
          <w:tab w:leader="none" w:pos="7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jc w:val="center"/>
              <w:ind w:right="172"/>
              <w:spacing w:after="0"/>
              <w:rPr>
                <w:sz w:val="20"/>
                <w:szCs w:val="20"/>
                <w:color w:val="auto"/>
              </w:rPr>
            </w:pPr>
            <w:r>
              <w:rPr>
                <w:rFonts w:ascii="Arial" w:cs="Arial" w:eastAsia="Arial" w:hAnsi="Arial"/>
                <w:sz w:val="18"/>
                <w:szCs w:val="18"/>
                <w:color w:val="auto"/>
                <w:w w:val="95"/>
              </w:rPr>
              <w:t>/s/ MELVIN C. PAYNE</w:t>
            </w:r>
          </w:p>
        </w:tc>
        <w:tc>
          <w:tcPr>
            <w:tcW w:w="3520" w:type="dxa"/>
            <w:vAlign w:val="bottom"/>
          </w:tcPr>
          <w:p>
            <w:pPr>
              <w:ind w:left="280"/>
              <w:spacing w:after="0"/>
              <w:rPr>
                <w:sz w:val="20"/>
                <w:szCs w:val="20"/>
                <w:color w:val="auto"/>
              </w:rPr>
            </w:pPr>
            <w:r>
              <w:rPr>
                <w:rFonts w:ascii="Arial" w:cs="Arial" w:eastAsia="Arial" w:hAnsi="Arial"/>
                <w:sz w:val="18"/>
                <w:szCs w:val="18"/>
                <w:color w:val="auto"/>
              </w:rPr>
              <w:t>Chairman of the Board, Chief Executive</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7"/>
        </w:trPr>
        <w:tc>
          <w:tcPr>
            <w:tcW w:w="3660" w:type="dxa"/>
            <w:vAlign w:val="bottom"/>
            <w:tcBorders>
              <w:bottom w:val="single" w:sz="8" w:color="808080"/>
            </w:tcBorders>
          </w:tcPr>
          <w:p>
            <w:pPr>
              <w:spacing w:after="0"/>
              <w:rPr>
                <w:sz w:val="11"/>
                <w:szCs w:val="11"/>
                <w:color w:val="auto"/>
              </w:rPr>
            </w:pPr>
          </w:p>
        </w:tc>
        <w:tc>
          <w:tcPr>
            <w:tcW w:w="3520" w:type="dxa"/>
            <w:vAlign w:val="bottom"/>
            <w:vMerge w:val="restart"/>
          </w:tcPr>
          <w:p>
            <w:pPr>
              <w:ind w:left="280"/>
              <w:spacing w:after="0"/>
              <w:rPr>
                <w:sz w:val="20"/>
                <w:szCs w:val="20"/>
                <w:color w:val="auto"/>
              </w:rPr>
            </w:pPr>
            <w:r>
              <w:rPr>
                <w:rFonts w:ascii="Arial" w:cs="Arial" w:eastAsia="Arial" w:hAnsi="Arial"/>
                <w:sz w:val="18"/>
                <w:szCs w:val="18"/>
                <w:color w:val="auto"/>
                <w:w w:val="99"/>
              </w:rPr>
              <w:t>Officer, President and Director (Principal</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66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660" w:type="dxa"/>
            <w:vAlign w:val="bottom"/>
          </w:tcPr>
          <w:p>
            <w:pPr>
              <w:jc w:val="center"/>
              <w:spacing w:after="0"/>
              <w:rPr>
                <w:sz w:val="20"/>
                <w:szCs w:val="20"/>
                <w:color w:val="auto"/>
              </w:rPr>
            </w:pPr>
            <w:r>
              <w:rPr>
                <w:rFonts w:ascii="Arial" w:cs="Arial" w:eastAsia="Arial" w:hAnsi="Arial"/>
                <w:sz w:val="18"/>
                <w:szCs w:val="18"/>
                <w:color w:val="auto"/>
                <w:w w:val="91"/>
              </w:rPr>
              <w:t>Melvin C. Payne</w:t>
            </w:r>
          </w:p>
        </w:tc>
        <w:tc>
          <w:tcPr>
            <w:tcW w:w="3520" w:type="dxa"/>
            <w:vAlign w:val="bottom"/>
          </w:tcPr>
          <w:p>
            <w:pPr>
              <w:ind w:left="280"/>
              <w:spacing w:after="0"/>
              <w:rPr>
                <w:sz w:val="20"/>
                <w:szCs w:val="20"/>
                <w:color w:val="auto"/>
              </w:rPr>
            </w:pPr>
            <w:r>
              <w:rPr>
                <w:rFonts w:ascii="Arial" w:cs="Arial" w:eastAsia="Arial" w:hAnsi="Arial"/>
                <w:sz w:val="18"/>
                <w:szCs w:val="18"/>
                <w:color w:val="auto"/>
              </w:rPr>
              <w:t>Executive Officer)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660" w:type="dxa"/>
            <w:vAlign w:val="bottom"/>
          </w:tcPr>
          <w:p>
            <w:pPr>
              <w:jc w:val="center"/>
              <w:ind w:right="152"/>
              <w:spacing w:after="0"/>
              <w:rPr>
                <w:sz w:val="20"/>
                <w:szCs w:val="20"/>
                <w:color w:val="auto"/>
              </w:rPr>
            </w:pPr>
            <w:r>
              <w:rPr>
                <w:rFonts w:ascii="Arial" w:cs="Arial" w:eastAsia="Arial" w:hAnsi="Arial"/>
                <w:sz w:val="18"/>
                <w:szCs w:val="18"/>
                <w:color w:val="auto"/>
                <w:w w:val="91"/>
              </w:rPr>
              <w:t>/s/ JOSEPH SAPORITO</w:t>
            </w:r>
          </w:p>
        </w:tc>
        <w:tc>
          <w:tcPr>
            <w:tcW w:w="3520" w:type="dxa"/>
            <w:vAlign w:val="bottom"/>
          </w:tcPr>
          <w:p>
            <w:pPr>
              <w:ind w:left="280"/>
              <w:spacing w:after="0"/>
              <w:rPr>
                <w:sz w:val="20"/>
                <w:szCs w:val="20"/>
                <w:color w:val="auto"/>
              </w:rPr>
            </w:pPr>
            <w:r>
              <w:rPr>
                <w:rFonts w:ascii="Arial" w:cs="Arial" w:eastAsia="Arial" w:hAnsi="Arial"/>
                <w:sz w:val="18"/>
                <w:szCs w:val="18"/>
                <w:color w:val="auto"/>
              </w:rPr>
              <w:t>Senior Vice President, Chief Financial</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7"/>
        </w:trPr>
        <w:tc>
          <w:tcPr>
            <w:tcW w:w="3660" w:type="dxa"/>
            <w:vAlign w:val="bottom"/>
            <w:tcBorders>
              <w:bottom w:val="single" w:sz="8" w:color="808080"/>
            </w:tcBorders>
          </w:tcPr>
          <w:p>
            <w:pPr>
              <w:spacing w:after="0"/>
              <w:rPr>
                <w:sz w:val="11"/>
                <w:szCs w:val="11"/>
                <w:color w:val="auto"/>
              </w:rPr>
            </w:pPr>
          </w:p>
        </w:tc>
        <w:tc>
          <w:tcPr>
            <w:tcW w:w="3520" w:type="dxa"/>
            <w:vAlign w:val="bottom"/>
            <w:vMerge w:val="restart"/>
          </w:tcPr>
          <w:p>
            <w:pPr>
              <w:ind w:left="280"/>
              <w:spacing w:after="0"/>
              <w:rPr>
                <w:sz w:val="20"/>
                <w:szCs w:val="20"/>
                <w:color w:val="auto"/>
              </w:rPr>
            </w:pPr>
            <w:r>
              <w:rPr>
                <w:rFonts w:ascii="Arial" w:cs="Arial" w:eastAsia="Arial" w:hAnsi="Arial"/>
                <w:sz w:val="18"/>
                <w:szCs w:val="18"/>
                <w:color w:val="auto"/>
                <w:w w:val="98"/>
              </w:rPr>
              <w:t>Officer and Secretary (Principal Financial</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66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660" w:type="dxa"/>
            <w:vAlign w:val="bottom"/>
          </w:tcPr>
          <w:p>
            <w:pPr>
              <w:jc w:val="center"/>
              <w:spacing w:after="0"/>
              <w:rPr>
                <w:sz w:val="20"/>
                <w:szCs w:val="20"/>
                <w:color w:val="auto"/>
              </w:rPr>
            </w:pPr>
            <w:r>
              <w:rPr>
                <w:rFonts w:ascii="Arial" w:cs="Arial" w:eastAsia="Arial" w:hAnsi="Arial"/>
                <w:sz w:val="18"/>
                <w:szCs w:val="18"/>
                <w:color w:val="auto"/>
                <w:w w:val="86"/>
              </w:rPr>
              <w:t>Joseph Saporito</w:t>
            </w:r>
          </w:p>
        </w:tc>
        <w:tc>
          <w:tcPr>
            <w:tcW w:w="3520" w:type="dxa"/>
            <w:vAlign w:val="bottom"/>
          </w:tcPr>
          <w:p>
            <w:pPr>
              <w:ind w:left="280"/>
              <w:spacing w:after="0"/>
              <w:rPr>
                <w:sz w:val="20"/>
                <w:szCs w:val="20"/>
                <w:color w:val="auto"/>
              </w:rPr>
            </w:pPr>
            <w:r>
              <w:rPr>
                <w:rFonts w:ascii="Arial" w:cs="Arial" w:eastAsia="Arial" w:hAnsi="Arial"/>
                <w:sz w:val="18"/>
                <w:szCs w:val="18"/>
                <w:color w:val="auto"/>
              </w:rPr>
              <w:t>and Accounting Officer)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60" w:type="dxa"/>
            <w:vAlign w:val="bottom"/>
          </w:tcPr>
          <w:p>
            <w:pPr>
              <w:jc w:val="center"/>
              <w:ind w:right="172"/>
              <w:spacing w:after="0"/>
              <w:rPr>
                <w:sz w:val="20"/>
                <w:szCs w:val="20"/>
                <w:color w:val="auto"/>
              </w:rPr>
            </w:pPr>
            <w:r>
              <w:rPr>
                <w:rFonts w:ascii="Arial" w:cs="Arial" w:eastAsia="Arial" w:hAnsi="Arial"/>
                <w:sz w:val="18"/>
                <w:szCs w:val="18"/>
                <w:color w:val="auto"/>
                <w:w w:val="97"/>
              </w:rPr>
              <w:t>/s/ MARK F. WILSON</w:t>
            </w:r>
          </w:p>
        </w:tc>
        <w:tc>
          <w:tcPr>
            <w:tcW w:w="35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89"/>
              </w:rPr>
              <w:t>Mark F. Wilson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jc w:val="center"/>
              <w:ind w:right="172"/>
              <w:spacing w:after="0"/>
              <w:rPr>
                <w:sz w:val="20"/>
                <w:szCs w:val="20"/>
                <w:color w:val="auto"/>
              </w:rPr>
            </w:pPr>
            <w:r>
              <w:rPr>
                <w:rFonts w:ascii="Arial" w:cs="Arial" w:eastAsia="Arial" w:hAnsi="Arial"/>
                <w:sz w:val="18"/>
                <w:szCs w:val="18"/>
                <w:color w:val="auto"/>
                <w:w w:val="97"/>
              </w:rPr>
              <w:t>/s/ GREG M. BRUDNICKI</w:t>
            </w:r>
          </w:p>
        </w:tc>
        <w:tc>
          <w:tcPr>
            <w:tcW w:w="35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92"/>
              </w:rPr>
              <w:t>Greg M. Brudnicki</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jc w:val="center"/>
              <w:ind w:right="152"/>
              <w:spacing w:after="0"/>
              <w:rPr>
                <w:sz w:val="20"/>
                <w:szCs w:val="20"/>
                <w:color w:val="auto"/>
              </w:rPr>
            </w:pPr>
            <w:r>
              <w:rPr>
                <w:rFonts w:ascii="Arial" w:cs="Arial" w:eastAsia="Arial" w:hAnsi="Arial"/>
                <w:sz w:val="18"/>
                <w:szCs w:val="18"/>
                <w:color w:val="auto"/>
                <w:w w:val="95"/>
              </w:rPr>
              <w:t>/s/ VINCENT D. FOSTER</w:t>
            </w:r>
          </w:p>
        </w:tc>
        <w:tc>
          <w:tcPr>
            <w:tcW w:w="35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89"/>
              </w:rPr>
              <w:t>Vincent D. Foster</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jc w:val="center"/>
              <w:ind w:right="152"/>
              <w:spacing w:after="0"/>
              <w:rPr>
                <w:sz w:val="20"/>
                <w:szCs w:val="20"/>
                <w:color w:val="auto"/>
              </w:rPr>
            </w:pPr>
            <w:r>
              <w:rPr>
                <w:rFonts w:ascii="Arial" w:cs="Arial" w:eastAsia="Arial" w:hAnsi="Arial"/>
                <w:sz w:val="18"/>
                <w:szCs w:val="18"/>
                <w:color w:val="auto"/>
                <w:w w:val="95"/>
              </w:rPr>
              <w:t>/s/ STUART W. STEDMAN</w:t>
            </w:r>
          </w:p>
        </w:tc>
        <w:tc>
          <w:tcPr>
            <w:tcW w:w="35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86"/>
              </w:rPr>
              <w:t>Stuart W. Stedman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jc w:val="center"/>
              <w:ind w:right="172"/>
              <w:spacing w:after="0"/>
              <w:rPr>
                <w:sz w:val="20"/>
                <w:szCs w:val="20"/>
                <w:color w:val="auto"/>
              </w:rPr>
            </w:pPr>
            <w:r>
              <w:rPr>
                <w:rFonts w:ascii="Arial" w:cs="Arial" w:eastAsia="Arial" w:hAnsi="Arial"/>
                <w:sz w:val="18"/>
                <w:szCs w:val="18"/>
                <w:color w:val="auto"/>
                <w:w w:val="96"/>
              </w:rPr>
              <w:t>/s/ RONALD A. ERICKSON</w:t>
            </w:r>
          </w:p>
        </w:tc>
        <w:tc>
          <w:tcPr>
            <w:tcW w:w="35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28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91"/>
              </w:rPr>
              <w:t>Ronald A. Erickson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3520" w:type="dxa"/>
            <w:vAlign w:val="bottom"/>
          </w:tcPr>
          <w:p>
            <w:pPr>
              <w:ind w:left="1960"/>
              <w:spacing w:after="0"/>
              <w:rPr>
                <w:sz w:val="20"/>
                <w:szCs w:val="20"/>
                <w:color w:val="auto"/>
              </w:rPr>
            </w:pPr>
            <w:r>
              <w:rPr>
                <w:rFonts w:ascii="Arial" w:cs="Arial" w:eastAsia="Arial" w:hAnsi="Arial"/>
                <w:sz w:val="18"/>
                <w:szCs w:val="18"/>
                <w:color w:val="auto"/>
              </w:rPr>
              <w:t>39</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-3887470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-3887470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-3321050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-2755265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-2755265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-2189480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-1623060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-1057275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-491490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ectPr>
          <w:pgSz w:w="11900" w:h="16838" w:orient="portrait"/>
          <w:cols w:equalWidth="0" w:num="1">
            <w:col w:w="11300"/>
          </w:cols>
          <w:pgMar w:left="240" w:top="131" w:right="359" w:bottom="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I, Melvin C. Payne, certify that:</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9" w:lineRule="exact"/>
        <w:rPr>
          <w:rFonts w:ascii="Arial" w:cs="Arial" w:eastAsia="Arial" w:hAnsi="Arial"/>
          <w:sz w:val="15"/>
          <w:szCs w:val="15"/>
          <w:color w:val="auto"/>
        </w:rPr>
      </w:pPr>
    </w:p>
    <w:p>
      <w:pPr>
        <w:ind w:left="1080" w:right="2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80" w:hanging="532"/>
        <w:spacing w:after="0" w:line="370" w:lineRule="auto"/>
        <w:tabs>
          <w:tab w:leader="none" w:pos="16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prepared;</w:t>
      </w:r>
    </w:p>
    <w:p>
      <w:pPr>
        <w:spacing w:after="0" w:line="129" w:lineRule="exact"/>
        <w:rPr>
          <w:rFonts w:ascii="Arial" w:cs="Arial" w:eastAsia="Arial" w:hAnsi="Arial"/>
          <w:sz w:val="15"/>
          <w:szCs w:val="15"/>
          <w:color w:val="auto"/>
        </w:rPr>
      </w:pPr>
    </w:p>
    <w:p>
      <w:pPr>
        <w:ind w:left="1620" w:right="26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date within 90 days prior to the filing date of this annual report (the "Evaluation Date");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March 27, 2003</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Chairman of the Board, President and Chief Executive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 Joseph Saporito, certify that:</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1"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9" w:lineRule="exact"/>
        <w:rPr>
          <w:rFonts w:ascii="Arial" w:cs="Arial" w:eastAsia="Arial" w:hAnsi="Arial"/>
          <w:sz w:val="15"/>
          <w:szCs w:val="15"/>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80" w:hanging="532"/>
        <w:spacing w:after="0" w:line="370" w:lineRule="auto"/>
        <w:tabs>
          <w:tab w:leader="none" w:pos="16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prepared;</w:t>
      </w:r>
    </w:p>
    <w:p>
      <w:pPr>
        <w:spacing w:after="0" w:line="129" w:lineRule="exact"/>
        <w:rPr>
          <w:rFonts w:ascii="Arial" w:cs="Arial" w:eastAsia="Arial" w:hAnsi="Arial"/>
          <w:sz w:val="15"/>
          <w:szCs w:val="15"/>
          <w:color w:val="auto"/>
        </w:rPr>
      </w:pPr>
    </w:p>
    <w:p>
      <w:pPr>
        <w:ind w:left="1620" w:right="260" w:hanging="532"/>
        <w:spacing w:after="0" w:line="268"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date within 90 days prior to the filing date of this annual report (the "Evaluation Date"); and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w:t>
      </w:r>
    </w:p>
    <w:p>
      <w:pPr>
        <w:sectPr>
          <w:pgSz w:w="11900" w:h="16838" w:orient="portrait"/>
          <w:cols w:equalWidth="0" w:num="1">
            <w:col w:w="11380"/>
          </w:cols>
          <w:pgMar w:left="240" w:top="131" w:right="279" w:bottom="0" w:gutter="0" w:footer="0" w:header="0"/>
        </w:sectPr>
      </w:pPr>
    </w:p>
    <w:bookmarkStart w:id="25" w:name="page26"/>
    <w:bookmarkEnd w:id="25"/>
    <w:p>
      <w:pPr>
        <w:ind w:left="1620" w:right="40"/>
        <w:spacing w:after="0" w:line="268" w:lineRule="auto"/>
        <w:rPr>
          <w:sz w:val="20"/>
          <w:szCs w:val="20"/>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right="6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March 27, 2003</w:t>
      </w:r>
      <w:r>
        <w:rPr>
          <w:sz w:val="20"/>
          <w:szCs w:val="20"/>
          <w:color w:val="auto"/>
        </w:rPr>
        <w:tab/>
      </w:r>
      <w:r>
        <w:rPr>
          <w:rFonts w:ascii="Arial" w:cs="Arial" w:eastAsia="Arial" w:hAnsi="Arial"/>
          <w:sz w:val="16"/>
          <w:szCs w:val="16"/>
          <w:color w:val="auto"/>
        </w:rPr>
        <w:t>/s/ JOSEPH SAPORITO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80" w:type="dxa"/>
            <w:vAlign w:val="bottom"/>
            <w:gridSpan w:val="2"/>
          </w:tcPr>
          <w:p>
            <w:pPr>
              <w:jc w:val="center"/>
              <w:ind w:left="2852"/>
              <w:spacing w:after="0"/>
              <w:rPr>
                <w:sz w:val="20"/>
                <w:szCs w:val="20"/>
                <w:color w:val="auto"/>
              </w:rPr>
            </w:pPr>
            <w:r>
              <w:rPr>
                <w:rFonts w:ascii="Arial" w:cs="Arial" w:eastAsia="Arial" w:hAnsi="Arial"/>
                <w:sz w:val="18"/>
                <w:szCs w:val="18"/>
                <w:color w:val="auto"/>
                <w:w w:val="89"/>
              </w:rPr>
              <w:t>41</w:t>
            </w:r>
          </w:p>
        </w:tc>
        <w:tc>
          <w:tcPr>
            <w:tcW w:w="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460" w:type="dxa"/>
            <w:vAlign w:val="bottom"/>
          </w:tcPr>
          <w:p>
            <w:pPr>
              <w:jc w:val="center"/>
              <w:ind w:left="2792"/>
              <w:spacing w:after="0"/>
              <w:rPr>
                <w:sz w:val="20"/>
                <w:szCs w:val="20"/>
                <w:color w:val="auto"/>
              </w:rPr>
            </w:pPr>
            <w:r>
              <w:rPr>
                <w:rFonts w:ascii="Arial" w:cs="Arial" w:eastAsia="Arial" w:hAnsi="Arial"/>
                <w:sz w:val="18"/>
                <w:szCs w:val="18"/>
                <w:b w:val="1"/>
                <w:bCs w:val="1"/>
                <w:color w:val="auto"/>
                <w:w w:val="98"/>
              </w:rPr>
              <w:t>CARRIAGE SERVICES, INC.</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60" w:type="dxa"/>
            <w:vAlign w:val="bottom"/>
          </w:tcPr>
          <w:p>
            <w:pPr>
              <w:jc w:val="center"/>
              <w:ind w:left="279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42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Report of Independent Public Accountants</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 of Independent Public Accountants</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44</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2001 and 2002</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2000, 2001 and 2002</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46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w w:val="93"/>
              </w:rPr>
              <w:t>Consolidated Statements of Comprehensive Income (Loss) for the Years Ended December 31, 2000, 2001 and</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Consolidated Statements of Changes in Stockholders' Equity for the Years Ended December 31, 2000, 2001 and</w:t>
            </w:r>
          </w:p>
        </w:tc>
        <w:tc>
          <w:tcPr>
            <w:tcW w:w="42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48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 December 31, 2000, 2001 and 2002</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50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480" w:type="dxa"/>
            <w:vAlign w:val="bottom"/>
            <w:gridSpan w:val="2"/>
          </w:tcPr>
          <w:p>
            <w:pPr>
              <w:jc w:val="center"/>
              <w:ind w:left="2852"/>
              <w:spacing w:after="0"/>
              <w:rPr>
                <w:sz w:val="20"/>
                <w:szCs w:val="20"/>
                <w:color w:val="auto"/>
              </w:rPr>
            </w:pPr>
            <w:r>
              <w:rPr>
                <w:rFonts w:ascii="Arial" w:cs="Arial" w:eastAsia="Arial" w:hAnsi="Arial"/>
                <w:sz w:val="18"/>
                <w:szCs w:val="18"/>
                <w:color w:val="auto"/>
                <w:w w:val="89"/>
              </w:rPr>
              <w:t>42</w:t>
            </w: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-3964305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-3964305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-2961005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-2961005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Carriage Services, Inc.:</w:t>
      </w:r>
    </w:p>
    <w:p>
      <w:pPr>
        <w:spacing w:after="0" w:line="225"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have audited the 2002 consolidated financial statements of Carriage Services, Inc. and subsidiaries as listed in the accompanying index. These consolidated financial statements are the responsibility of the Company's management. Our responsibility is to express an opinion on these consolidated financial statements based on our audit. The 2001 and 2000 consolidated financial statements of Carriage Services, Inc. and subsidiaries as listed in the accompanying index were audited by other auditors who have ceased operations. Those auditors expressed an unqualified opinion on those consolidated financial statements, before the revision discussed in Note 1 and the restatement described in Note 3 to the consolidated financial statements, in their report dated March 10, 2002.</w:t>
      </w:r>
    </w:p>
    <w:p>
      <w:pPr>
        <w:spacing w:after="0" w:line="154"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w:t>
      </w:r>
    </w:p>
    <w:p>
      <w:pPr>
        <w:sectPr>
          <w:pgSz w:w="11900" w:h="16838" w:orient="portrait"/>
          <w:cols w:equalWidth="0" w:num="1">
            <w:col w:w="11420"/>
          </w:cols>
          <w:pgMar w:left="240" w:top="131" w:right="239" w:bottom="0" w:gutter="0" w:footer="0" w:header="0"/>
        </w:sectPr>
      </w:pPr>
    </w:p>
    <w:bookmarkStart w:id="26" w:name="page27"/>
    <w:bookmarkEnd w:id="26"/>
    <w:p>
      <w:pPr>
        <w:ind w:right="100"/>
        <w:spacing w:after="0" w:line="268" w:lineRule="auto"/>
        <w:rPr>
          <w:sz w:val="20"/>
          <w:szCs w:val="20"/>
          <w:color w:val="auto"/>
        </w:rPr>
      </w:pPr>
      <w:r>
        <w:rPr>
          <w:rFonts w:ascii="Arial" w:cs="Arial" w:eastAsia="Arial" w:hAnsi="Arial"/>
          <w:sz w:val="18"/>
          <w:szCs w:val="18"/>
          <w:color w:val="auto"/>
        </w:rPr>
        <w:t>accounting principles used and significant estimates made by management, as well as evaluating the overall financial statement presentation. We believe that our audit provides a reasonable basis for our opinion.</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our opinion, the 2002 consolidated financial statements referred to above present fairly, in all material respects, the consolidated financial position of Carriage Services, Inc. and subsidiaries as of December 31, 2002, and the consolidated results of their operations and their cash flows for the year then ended in conformity with accounting principles generally accepted in the United States of America.</w:t>
      </w:r>
    </w:p>
    <w:p>
      <w:pPr>
        <w:spacing w:after="0" w:line="194"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 xml:space="preserve">As discussed in Notes 1 and 3 to the consolidated financial statements, the Company changed, effective January 1, 2002, its method of accounting for goodwill and other intangible assets as required by Statement of Financial Accounting Standards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and its method of reporting assets held for sale as required by Statement of Financial Accounting Standards No. 144, </w:t>
      </w:r>
      <w:r>
        <w:rPr>
          <w:rFonts w:ascii="Arial" w:cs="Arial" w:eastAsia="Arial" w:hAnsi="Arial"/>
          <w:sz w:val="18"/>
          <w:szCs w:val="18"/>
          <w:i w:val="1"/>
          <w:iCs w:val="1"/>
          <w:color w:val="auto"/>
        </w:rPr>
        <w:t>Accounting for the Impairment or Disposal of Long Lived</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discussed in Note 3, the 2001 consolidated balance sheet has been restated to conform to the requirements of Statement of Financial Accounting Standards No. 144. We audited the reclassification adjustment described in Note 3 that was applied to restate the 2001 consolidated balance sheet to reflect the assets and liabilities held for sale on a gross rather than net basis. In our opinion, such reclassification adjustment is appropriate and has been properly applied to the 2001 consolidated balance sheet that was audited by other auditors. As discussed in Note 1, these consolidated financial statements have been revised to include the transitional disclosures required by Statement of Financial Accounting Standards No. 142. In our opinion, the disclosures for 2001 and 2000 in Note 3 are appropriate. However, we were not engaged to audit, review, or apply any procedures to the 2001 and 2000 consolidated financial statements of Carriage Services, Inc. other than with respect to such reclassification adjustment and the transitional disclosures discussed above and, accordingly, we do not express an opinion or any other form of assurance on the 2001 and 2000 consolidated financial statements taken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Carriage Services, Inc. (a Delaware corporation) and subsidiaries as of December 31, 2000 and 2001 and the related consolidated statements of operations, comprehensive income (loss), changes in stockholders' equity and cash flows for each of the three years in the period ended December 31, 2001. These financial statements are the responsibility of the Company's management. Our responsibility is to express an opinion on these consolidated financial statements based on our audits.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Carriage Services, Inc., and subsidiaries as of December 31, 2000 and 2001, and the consolidated results of their operations and their cash flows for each of the three years in the period ended December 31, 2001 in conformity with accounting principles generally accepted in the United States.</w:t>
      </w:r>
    </w:p>
    <w:p>
      <w:pPr>
        <w:spacing w:after="0" w:line="16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explained in Note 2 to the consolidated financial statements, the Company changed, effective January 1, 2000, its method of accounting for revenue and costs related to sales of cemetery interment rights, together with the associated merchandise and services, and the related trust earnings, as well as the balance sheet presentation of preneed funeral contracts to conform to the Securities and Exchange Commission's Staff Accounting Bulletin No. 101, "Revenue Recognition in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2002</w:t>
      </w:r>
    </w:p>
    <w:p>
      <w:pPr>
        <w:spacing w:after="0" w:line="232"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report is a copy of a previously issued report (see Page 37 of Carriage Services, Inc.'s Annual Report for December 31, 2001 on Form 10-K).</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predecessor auditor has not reissued this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66675</wp:posOffset>
            </wp:positionV>
            <wp:extent cx="1624965"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624965" cy="21590"/>
                    </a:xfrm>
                    <a:prstGeom prst="rect">
                      <a:avLst/>
                    </a:prstGeom>
                    <a:noFill/>
                  </pic:spPr>
                </pic:pic>
              </a:graphicData>
            </a:graphic>
          </wp:anchor>
        </w:drawing>
      </w:r>
    </w:p>
    <w:p>
      <w:pPr>
        <w:spacing w:after="0" w:line="211" w:lineRule="exact"/>
        <w:rPr>
          <w:sz w:val="20"/>
          <w:szCs w:val="20"/>
          <w:color w:val="auto"/>
        </w:rPr>
      </w:pPr>
    </w:p>
    <w:p>
      <w:pPr>
        <w:ind w:left="7740"/>
        <w:spacing w:after="0"/>
        <w:tabs>
          <w:tab w:leader="none" w:pos="910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303010" cy="787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303010" cy="787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66675</wp:posOffset>
            </wp:positionV>
            <wp:extent cx="1624965"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62496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7" w:name="page28"/>
    <w:bookmarkEnd w:id="27"/>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net of allowance for doubtful accounts of $3,515 in 2001 and $2,844 in 2002</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Assets held for sale</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and other current assets</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6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54,267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6"/>
              </w:rPr>
              <w:t>Property, plant and equipment, at cost net of accumulated depreciation of $24,176 in 2001 and</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$30,449 in 2002</w:t>
            </w:r>
          </w:p>
        </w:tc>
        <w:tc>
          <w:tcPr>
            <w:tcW w:w="3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114,217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Cemetery property</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160,576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charges and other non-current assets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Preneed funeral contracts</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Preneed cemetery merchandise and service trust funds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40,078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699,902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vMerge w:val="restart"/>
          </w:tcPr>
          <w:p>
            <w:pPr>
              <w:ind w:left="174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vMerge w:val="continu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26,965</w:t>
            </w:r>
          </w:p>
        </w:tc>
        <w:tc>
          <w:tcPr>
            <w:tcW w:w="180" w:type="dxa"/>
            <w:vAlign w:val="bottom"/>
          </w:tcPr>
          <w:p>
            <w:pPr>
              <w:spacing w:after="0"/>
              <w:rPr>
                <w:sz w:val="21"/>
                <w:szCs w:val="21"/>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and obligations under capital leases</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Liabilities related to assets held for sale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25,820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cemetery revenue and preneed liabilities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preneed funeral contracts revenue</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229,380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148,508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528,057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515,070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Company-obligated mandatorily redeemable convertible preferred securities of Carriage Services</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Capital Trust</w:t>
            </w:r>
          </w:p>
        </w:tc>
        <w:tc>
          <w:tcPr>
            <w:tcW w:w="3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80,000,000 shares authorized; 17,075,000 issued and outstanding</w:t>
            </w:r>
          </w:p>
        </w:tc>
        <w:tc>
          <w:tcPr>
            <w:tcW w:w="3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2002</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Class A Common Stock, $.01 par value; 40,000,000 shares authorized; 16,811,000 issued and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outstanding in 2001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189,449</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(107,193)</w:t>
            </w: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(86,915)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interest rate swaps, net of tax benefit</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81,578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699,902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-6909435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-6909435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-6909435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-6909435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-6308725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-6308725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-6308725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-6308725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-6000115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-6000115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-6000115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-6000115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-4885055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-4885055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-4885055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-4885055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-3667760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-3667760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-3667760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-3667760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-2809875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-2809875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-2809875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-2809875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-2501265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-2501265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-2501265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-2501265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-648970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-648970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-648970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-648970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-340360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-340360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-340360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-340360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38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Funeral</w:t>
            </w:r>
          </w:p>
        </w:tc>
        <w:tc>
          <w:tcPr>
            <w:tcW w:w="2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127,261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124,284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-607695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-607695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-359410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-359410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-359410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-359410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-359410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-359410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4" w:orient="portrait"/>
          <w:cols w:equalWidth="0" w:num="1">
            <w:col w:w="10500"/>
          </w:cols>
          <w:pgMar w:left="240" w:top="140" w:right="1159" w:bottom="0" w:gutter="0" w:footer="0" w:header="0"/>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Cemetery</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38,209</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162,606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162,493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154,176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Funeral</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100,370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92,813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Cemetery</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130,430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122,198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 and other</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(80,330)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31,597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Financing costs of company-obligated mandatorily redeemable convertible preferred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securities of Carriage Services Capital Trust</w:t>
            </w: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(6,653)</w:t>
            </w: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(6,765)</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and cumulative effect of the change in accounting</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principle</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(101,035)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(8,032)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cumulative effect of the change in accounting principle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(93,003)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Cumulative effect on prior year of the change in accounting principle, net of income tax</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benefit of $20,755</w:t>
            </w: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(38,993)</w:t>
            </w: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(131,996)</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available to common stockholders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(132,077)</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income (loss) before cumulative effect of the change in accounting principle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Cumulative effect of the change in accounting principle, net</w:t>
            </w:r>
          </w:p>
        </w:tc>
        <w:tc>
          <w:tcPr>
            <w:tcW w:w="3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income (loss) before cumulative effect of the change in accounting principle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Cumulative effect of the change in accounting principle, net</w:t>
            </w:r>
          </w:p>
        </w:tc>
        <w:tc>
          <w:tcPr>
            <w:tcW w:w="3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number of common and common equivalent shares outstanding</w:t>
            </w: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-6892290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-6892290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-6892290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-6892290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-6892290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-6154420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-6154420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-6154420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-6154420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-6154420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-6154420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-5862955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-5862955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-5862955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-5862955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-5862955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-5862955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-5280025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-5280025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-5280025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-5280025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-5280025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-5280025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-4559300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-4559300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-4559300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-4559300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-4559300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-4559300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-3993515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-3993515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-3993515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-3993515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-3993515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-3993515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-3427730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-3427730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-3427730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-3427730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-3427730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-3427730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-2981325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-2981325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-2981325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-2981325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-2981325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-2981325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-2055495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-2055495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-2055495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-2055495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-2055495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-2055495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-1129030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-1129030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-1129030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-1129030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-1129030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-1129030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the years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ended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(131,996)</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Cumulative effect on prior years of the change in accounting principle, net of</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of $1</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Unrealized gain (loss) on interest rate swaps arising during period</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-1111885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-1111885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-862965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-862965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-862965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-862965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-862965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-862965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500"/>
          </w:cols>
          <w:pgMar w:left="240" w:top="383" w:right="115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income tax benefit (provision)</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Amortization of accumulated unrealized loss on interest rate swap</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6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(131,996)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8,156</w:t>
            </w:r>
          </w:p>
        </w:tc>
        <w:tc>
          <w:tcPr>
            <w:tcW w:w="18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-614680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-614680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-614680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-614680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-614680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-614680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-323215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Contributed</w:t>
            </w:r>
          </w:p>
        </w:tc>
        <w:tc>
          <w:tcPr>
            <w:tcW w:w="22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Income (Loss)</w:t>
            </w:r>
          </w:p>
        </w:tc>
        <w:tc>
          <w:tcPr>
            <w:tcW w:w="3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1999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195,931</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loss—2000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(131,996)</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Purchase and retirement of treasury stock</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Payment of contingent stock price guarantees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193,234</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(116,158)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income—2001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Payment of contingent stock price guarantees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0"/>
              </w:rPr>
              <w:t>Unrealized loss on interest rate swaps, net of tax</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benefit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Balance—December 31, 2001</w:t>
            </w: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189,449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(107,193)</w:t>
            </w:r>
          </w:p>
        </w:tc>
        <w:tc>
          <w:tcPr>
            <w:tcW w:w="22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income—2002</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6"/>
              </w:rPr>
              <w:t>Payment of contingent stock price guarantees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(5,286)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Unrealized gain on interest rate swaps, net of tax</w:t>
            </w: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Balance—December 31, 2002</w:t>
            </w: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17,075</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185,100</w:t>
            </w:r>
          </w:p>
        </w:tc>
        <w:tc>
          <w:tcPr>
            <w:tcW w:w="1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(86,915)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98,091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-3667760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-3667760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-3667760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-3667760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-3667760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-3667760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-3667760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-3667760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-3667760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-3667760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-3667760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-3667760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-2689860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-2689860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-2689860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-2689860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-2689860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-2689860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-2689860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-2689860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-2689860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-2689860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-1437640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-1437640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-1437640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-1437640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-1437640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-1437640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-1437640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-1437640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-1437640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-1437640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-1437640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-1437640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-323215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-323215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-323215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-323215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-323215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-323215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-323215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(131,996)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9,002</w:t>
            </w:r>
          </w:p>
        </w:tc>
        <w:tc>
          <w:tcPr>
            <w:tcW w:w="14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20,278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Cumulative effect of the change in accounting principle, net of tax benefit</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38,993</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21,407</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Loss (gain) on sale of business assets</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5,676</w:t>
            </w: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(187)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assets</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86,095</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Provision for losses on accounts receivable</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5,737</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2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Deferred income taxes (benefit)</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(6,289)</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4,221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(7,003)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-1591945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-1591945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-1343025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-1343025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-1343025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-1343025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-1343025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-1343025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(Increase) decrease in accounts receivable</w:t>
            </w: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(8,960)</w:t>
            </w:r>
          </w:p>
        </w:tc>
        <w:tc>
          <w:tcPr>
            <w:tcW w:w="2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(1,992)</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decrease in inventories and other current assets</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(Increase) decrease in deferred charges and other</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(261)</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in preneed funeral and cemetery costs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(10,218)</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(3,918)</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Increase in preneed cemetery trust funds</w:t>
            </w: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(15,827)</w:t>
            </w:r>
          </w:p>
        </w:tc>
        <w:tc>
          <w:tcPr>
            <w:tcW w:w="2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(4,530)</w:t>
            </w:r>
          </w:p>
        </w:tc>
        <w:tc>
          <w:tcPr>
            <w:tcW w:w="3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(decrease) in accounts payable and accrued liabilities</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(4,933)</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Income tax refunds, net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in deferred revenue and preneed liabilities</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21,164</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620" w:type="dxa"/>
            <w:vAlign w:val="bottom"/>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16,926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27,749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Purchase of note receivable</w:t>
            </w: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(566)</w:t>
            </w:r>
          </w:p>
        </w:tc>
        <w:tc>
          <w:tcPr>
            <w:tcW w:w="2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(1,983)</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(212)</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Proceeds from sale of business assets</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4,846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11,878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of minority interest in subsidiary</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(10,547)</w:t>
            </w:r>
          </w:p>
        </w:tc>
        <w:tc>
          <w:tcPr>
            <w:tcW w:w="2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(5,046)</w:t>
            </w:r>
          </w:p>
        </w:tc>
        <w:tc>
          <w:tcPr>
            <w:tcW w:w="30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(6,034)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(8,250)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payments under bank lines of credit</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(1,125)</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(17,000)</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Proceeds from long-term debt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38,199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on long-term debt and obligations under capital leases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(39,587)</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(13,760)</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Proceeds from sale of interest rate swap</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of contingent stock price guarantees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(3,297)</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(4,935)</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of debt modification fees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(3,275)</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Payment of preferred stock dividends</w:t>
            </w: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2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Purchase and retirement of treasury stock</w:t>
            </w: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620" w:type="dxa"/>
            <w:vAlign w:val="bottom"/>
          </w:tcPr>
          <w:p>
            <w:pPr>
              <w:ind w:left="56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(7,983)</w:t>
            </w:r>
          </w:p>
        </w:tc>
        <w:tc>
          <w:tcPr>
            <w:tcW w:w="2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(35,035)</w:t>
            </w:r>
          </w:p>
        </w:tc>
        <w:tc>
          <w:tcPr>
            <w:tcW w:w="3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4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640" w:type="dxa"/>
            <w:vAlign w:val="bottom"/>
            <w:gridSpan w:val="2"/>
          </w:tcPr>
          <w:p>
            <w:pPr>
              <w:spacing w:after="0"/>
              <w:rPr>
                <w:sz w:val="20"/>
                <w:szCs w:val="20"/>
                <w:color w:val="auto"/>
              </w:rPr>
            </w:pPr>
            <w:r>
              <w:rPr>
                <w:rFonts w:ascii="Arial" w:cs="Arial" w:eastAsia="Arial" w:hAnsi="Arial"/>
                <w:sz w:val="14"/>
                <w:szCs w:val="14"/>
                <w:color w:val="auto"/>
              </w:rPr>
              <w:t>Supplemental disclosure of cash flow information:</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paid for interest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20,331</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18,388</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678</w:t>
            </w:r>
          </w:p>
        </w:tc>
        <w:tc>
          <w:tcPr>
            <w:tcW w:w="20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473</w:t>
            </w:r>
          </w:p>
        </w:tc>
        <w:tc>
          <w:tcPr>
            <w:tcW w:w="200" w:type="dxa"/>
            <w:vAlign w:val="bottom"/>
          </w:tcPr>
          <w:p>
            <w:pPr>
              <w:spacing w:after="0"/>
              <w:rPr>
                <w:sz w:val="24"/>
                <w:szCs w:val="24"/>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consideration for acquisitions</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620" w:type="dxa"/>
            <w:vAlign w:val="bottom"/>
          </w:tcPr>
          <w:p>
            <w:pPr>
              <w:ind w:left="360"/>
              <w:spacing w:after="0"/>
              <w:rPr>
                <w:sz w:val="20"/>
                <w:szCs w:val="20"/>
                <w:color w:val="auto"/>
              </w:rPr>
            </w:pPr>
            <w:r>
              <w:rPr>
                <w:rFonts w:ascii="Arial" w:cs="Arial" w:eastAsia="Arial" w:hAnsi="Arial"/>
                <w:sz w:val="14"/>
                <w:szCs w:val="14"/>
                <w:color w:val="auto"/>
              </w:rPr>
              <w:t>Stock issued to directors or officers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438</w:t>
            </w:r>
          </w:p>
        </w:tc>
        <w:tc>
          <w:tcPr>
            <w:tcW w:w="200" w:type="dxa"/>
            <w:vAlign w:val="bottom"/>
          </w:tcPr>
          <w:p>
            <w:pPr>
              <w:spacing w:after="0"/>
              <w:rPr>
                <w:sz w:val="24"/>
                <w:szCs w:val="24"/>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71590" cy="154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371590" cy="15430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-5451475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-5451475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-5451475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-5451475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-5451475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-5451475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-4276725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-4276725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-4276725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-4276725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-4276725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-4276725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-2175510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-2175510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-2175510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-2175510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-2175510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-2175510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-1678305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-1678305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-1678305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-1678305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-1678305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-1678305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Carriage Services, Inc. ("Carriage" or the "Company") was founded in 1991 and incorporated under the laws of the State of Delaware in 1993. The Company owns and operates 144 funeral homes and 30 cemeteries in 29 states. Carriage provides a complete range of preneed and at-need services and products related to funerals, burials and cremations.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financial statements include the consolidated financial statements of Carriage Services, Inc. and its subsidiaries, after eliminating all significant intercompany balances and transactions. Certain prior year amounts in the consolidated financial statements have been reclassified to conform to current year presentation.</w:t>
      </w:r>
    </w:p>
    <w:p>
      <w:pPr>
        <w:sectPr>
          <w:pgSz w:w="11900" w:h="16838" w:orient="portrait"/>
          <w:cols w:equalWidth="0" w:num="1">
            <w:col w:w="11400"/>
          </w:cols>
          <w:pgMar w:left="240" w:top="465" w:right="259" w:bottom="0" w:gutter="0" w:footer="0" w:header="0"/>
        </w:sectPr>
      </w:pPr>
    </w:p>
    <w:bookmarkStart w:id="31" w:name="page32"/>
    <w:bookmarkEnd w:id="31"/>
    <w:p>
      <w:pPr>
        <w:spacing w:after="0" w:line="3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accounting policies and procedures reflected herein have been consistently followed during the periods presented, except for the changes in accounting principle discussed in Notes 2 and 3 as of January 1, 2000. Such changes in accounting principle were adopted pursuant to new pronouncements issued by accounting standards setters. Note 2 describes a significant cumulative effect of a change that was recorded in 2000 related to revenue recognition.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record the sales of funeral merchandise and services when the funeral service is performed. Sales of cemetery interment rights are recorded as revenue in the period in which the customer's cumulative payments exceed 10% of the contract price related to the real estate. Costs related to the sales of interment rights, which include property and other costs related to cemetery development activities, are charged to operations using the specific identification method in the period in which the sale of the interment right is recognized as revenue. Revenue from the sales of cemetery merchandise and services are recognized in the period in which the merchandise is delivered or the service is performed. Revenues to be recognized from the delivery of merchandise and performance of services related to contracts that were acquired in acquisitions are typically lower than those originated by the Company and are likely to exceed the cash collected from the contract and received from the trust at maturity.</w:t>
      </w:r>
    </w:p>
    <w:p>
      <w:pPr>
        <w:spacing w:after="0" w:line="172"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Allowances for customer cancellations, refunds and bad debts are provided at the date of sale based on our historical experience. In addition, we monitor changes in delinquency rates and provide additional bad debt and cancellation reserves when warranted. When preneed funeral services and merchandise are funded through third-party insurance policies, we earn a commission on the sale of the policies. Insurance commissions are recognized as revenues at the point at which the commission is no longer subject to refund, which is typically one year after the policy is issued.</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trade accounts receivable consists of approximately $8.6 million and $8.6 million of funeral receivables and approximately $7.0 million and $6.0 million of current cemetery receivables at December 31, 2001 and 2002, respectively. Non-current cemetery receivables, those payable after one year, are classified as deferred charges and other non-current assets. The non-current cemetery accounts receivable balances, net of amounts in assets held for sale in 2001, were approximately $16.6 million and $15.6 million at December 31, 2001 and 2002, respectively (see Note 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Contracts</w:t>
      </w:r>
    </w:p>
    <w:p>
      <w:pPr>
        <w:spacing w:after="0" w:line="225" w:lineRule="exact"/>
        <w:rPr>
          <w:sz w:val="20"/>
          <w:szCs w:val="20"/>
          <w:color w:val="auto"/>
        </w:rPr>
      </w:pPr>
    </w:p>
    <w:p>
      <w:pPr>
        <w:ind w:right="400" w:firstLine="351"/>
        <w:spacing w:after="0" w:line="294" w:lineRule="auto"/>
        <w:rPr>
          <w:sz w:val="20"/>
          <w:szCs w:val="20"/>
          <w:color w:val="auto"/>
        </w:rPr>
      </w:pPr>
      <w:r>
        <w:rPr>
          <w:rFonts w:ascii="Arial" w:cs="Arial" w:eastAsia="Arial" w:hAnsi="Arial"/>
          <w:sz w:val="16"/>
          <w:szCs w:val="16"/>
          <w:color w:val="auto"/>
        </w:rPr>
        <w:t>Cash proceeds from preneed funeral sales are deposited to a trust or used to purchase a third-party insurance product. Unperformed guaranteed preneed funeral contracts are included in the consolidated balance sheets as preneed funeral contracts. The balance in this asset account represents amounts due from customer receivables and third-party insurance companies, and the amounts deposited with the trustee and the accumulated earnings on these deposits. A corresponding credit is recorded to deferred preneed funeral contracts revenue. The funeral revenue is not recorded until the service is performed. The trust income earned and the increases in insurance benefits on the insurance products are also deferred until the service is performed.</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the opinion of management, the proceeds from the funeral trust assets or the insurance policy at the time the preneed policy matures will exceed the estimated future cost to perform services and provide products under such arrangements. The types of instruments in which the trusts may invest are regulated by state agencies.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preneed funeral contracts in the consolidated balance sheet at December 31 are as follows (in thousands):</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customers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from insurance companies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Preneed funeral trust funds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89,902</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allowance for cancellation</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amounts included in Assets held for sale, net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219,975</w:t>
            </w:r>
          </w:p>
        </w:tc>
        <w:tc>
          <w:tcPr>
            <w:tcW w:w="1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235,347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-1163320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-1163320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-1163320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summary reflects the composition of the assets held in trust to satisfy Carriage's future obligations under preneed funeral arrangements. The cost basis includes interest and dividends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that have been earned on the trust assets. Fair value includes unrealized gains and losses on trust assets.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Fixed income investment contracts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Mutual funds and stocks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Annuities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89,902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89,372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-1497965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-1497965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-1497965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-1497965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-340360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-340360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400"/>
          </w:cols>
          <w:pgMar w:left="240" w:top="131" w:right="259" w:bottom="0" w:gutter="0" w:footer="0" w:header="0"/>
        </w:sectPr>
      </w:pPr>
    </w:p>
    <w:bookmarkStart w:id="32" w:name="page33"/>
    <w:bookmarkEnd w:id="32"/>
    <w:p>
      <w:pPr>
        <w:spacing w:after="0" w:line="1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income investment contracts</w:t>
            </w: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40"/>
              <w:spacing w:after="0"/>
              <w:rPr>
                <w:sz w:val="20"/>
                <w:szCs w:val="20"/>
                <w:color w:val="auto"/>
              </w:rPr>
            </w:pPr>
            <w:r>
              <w:rPr>
                <w:rFonts w:ascii="Arial" w:cs="Arial" w:eastAsia="Arial" w:hAnsi="Arial"/>
                <w:sz w:val="18"/>
                <w:szCs w:val="18"/>
                <w:color w:val="auto"/>
              </w:rPr>
              <w:t>Mutual funds and stocks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Annuities</w:t>
            </w: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6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8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90,708</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87,202</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6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-340360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-340360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Merchandise and Service Trust Funds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Carriage is also generally required, by certain states, to deposit a specified amount into a merchandise and service trust fund for cemetery merchandise and service contracts sold on a preneed basis. The principal and accumulated earnings of the trust may be withdrawn upon maturity (usually the death of the purchaser) or the cancellation of the contracts. Trust fund investment income is recorded to deferred revenue as trust earnings accrue in the trusts, and recognized in current revenues in the period the service is performed or merchandise delivered. Merchandise and service trust fund balances were comprised of the following at December 31, 2001 and 2002, respectively:</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2001:</w:t>
            </w:r>
          </w:p>
        </w:tc>
        <w:tc>
          <w:tcPr>
            <w:tcW w:w="23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Fixed income investment contracts</w:t>
            </w:r>
          </w:p>
        </w:tc>
        <w:tc>
          <w:tcPr>
            <w:tcW w:w="2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Mutual funds and stocks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2002:</w:t>
            </w:r>
          </w:p>
        </w:tc>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00" w:type="dxa"/>
            <w:vAlign w:val="bottom"/>
            <w:gridSpan w:val="2"/>
            <w:vMerge w:val="continue"/>
          </w:tcPr>
          <w:p>
            <w:pPr>
              <w:spacing w:after="0"/>
              <w:rPr>
                <w:sz w:val="5"/>
                <w:szCs w:val="5"/>
                <w:color w:val="auto"/>
              </w:rPr>
            </w:pPr>
          </w:p>
        </w:tc>
        <w:tc>
          <w:tcPr>
            <w:tcW w:w="2380" w:type="dxa"/>
            <w:vAlign w:val="bottom"/>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30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Fixed income investment contracts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Mutual funds and stocks</w:t>
            </w:r>
          </w:p>
        </w:tc>
        <w:tc>
          <w:tcPr>
            <w:tcW w:w="2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ind w:left="46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43,965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380" w:type="dxa"/>
            <w:vAlign w:val="bottom"/>
            <w:vMerge w:val="restart"/>
          </w:tcPr>
          <w:p>
            <w:pPr>
              <w:jc w:val="right"/>
              <w:ind w:right="1512"/>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-2763520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-2763520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-2763520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-2763520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-1760220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-1760220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-1760220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-1760220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-680085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-680085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-680085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-680085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and Memorial Care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respective state laws, the Company is required to deposit a specified amount into perpetual and memorial care trust funds for each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interment/entombment right and memorial sold. Income from the trust fund is used to provide care and maintenance for the cemeteries and mausoleums and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periodically distributed to Carriage and recognized as revenue when realized by the trust. The perpetual and memorial care trust assets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$28.6 million and $27.8 million at December 31, 2001 and 2002, respectively, which, in the opinion of management, will cover future obligations to provide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maintenance for our cemeteries and mausoleums. The Company does not have the right to withdraw any of the principal balances of these funds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these trust fund balances are not reflected in the accompanying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Obtaining Costs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Deferred obtaining costs consist of sales commissions and other direct related costs of originating preneed sales contracts. These costs are deferred and amortized into funeral and cemetery costs and expenses over the expected timing of the performance of the services or delivery of the merchandise covered by the preneed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Carriage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Securities</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Carriage entered into interest rate swap agreements to reduce the impact of changes in interest rates on our floating rate debt. The swap agreements are agreements to exchange floating rates for fixed interest payments periodically over the life of the agreements without the exchange of the underlying notional amounts. The differential paid or received is recognized as an adjustment to interest expense. The Company does not hold or issue financial instruments for trading purposes.</w:t>
      </w:r>
    </w:p>
    <w:p>
      <w:pPr>
        <w:spacing w:after="0" w:line="197" w:lineRule="exact"/>
        <w:rPr>
          <w:sz w:val="20"/>
          <w:szCs w:val="20"/>
          <w:color w:val="auto"/>
        </w:rPr>
      </w:pPr>
    </w:p>
    <w:p>
      <w:pPr>
        <w:ind w:right="200" w:firstLine="348"/>
        <w:spacing w:after="0" w:line="312" w:lineRule="auto"/>
        <w:rPr>
          <w:sz w:val="20"/>
          <w:szCs w:val="20"/>
          <w:color w:val="auto"/>
        </w:rPr>
      </w:pPr>
      <w:r>
        <w:rPr>
          <w:rFonts w:ascii="Arial" w:cs="Arial" w:eastAsia="Arial" w:hAnsi="Arial"/>
          <w:sz w:val="15"/>
          <w:szCs w:val="15"/>
          <w:color w:val="auto"/>
        </w:rPr>
        <w:t>The Financial Accounting Standards Board (FASB) issued SFAS No. 133, "Accounting For Derivative Instruments and Hedging Activities", for which the effective date was deferred to years beginning after June 15, 2000 by SFAS No. 137, and amended by SFAS No. 138 to establish accounting and financial reporting standards for certain derivative instruments and certain hedging activities. The key provisions of SFAS No. 133, as amended, are that every derivative will be recognized as an asset or liability at its fair value and that later changes in fair value are generally reported in earnings or other comprehensive income. The swaps, which were carried off-balance sheet prior to 2001, were recorded as an asset when the Company implemented SFAS No. 133 January 1, 2001. As interest rates change, the value of the interest rate swaps change. The recorded value of the interest rate swaps is adjusted on the balance sheet through other comprehensive income for swaps that are designated as hedges and through current earnings for swaps that are not designated as hedges.</w:t>
      </w:r>
    </w:p>
    <w:p>
      <w:pPr>
        <w:sectPr>
          <w:pgSz w:w="11900" w:h="16852" w:orient="portrait"/>
          <w:cols w:equalWidth="0" w:num="1">
            <w:col w:w="11420"/>
          </w:cols>
          <w:pgMar w:left="240" w:top="356"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Many of the acquired funeral homes have provided high quality service to families for generations. The resulting loyalty often represents a substantial portion of the value of a funeral business.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excess of the purchase price over the fair value of net identifiable assets acquired, as determined by management in transactions accounted for as purchases, is recorded as goodwill. Such amounts were amortized over 40 years using the straight-line method in years prior to 2002.</w:t>
      </w:r>
    </w:p>
    <w:p>
      <w:pPr>
        <w:spacing w:after="0" w:line="139"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addresses financial accounting and reporting for goodwill and other intangible assets acquired in a business combination at acquisition, requires the use of the purchase method of accounting and requires the recognition of acquired intangible assets apart from goodwill if the acquired intangible assets meet certain criteria. SFAS No. 142 addresses how intangible assets that are acquired individually or with a group of other assets (but not those acquired in a business combination) should be accounted for in financial statements upon their acquisition. This Statement also addresses how goodwill and other intangible assets should be accounted for after they have been initially recognized in the financial statements.</w:t>
      </w:r>
    </w:p>
    <w:p>
      <w:pPr>
        <w:spacing w:after="0" w:line="17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adoption of SFAS No. 141 by the Company had no effect on its consolidated financial statements. The effect of SFAS No. 142 on the Company, which was adopted as of the beginning of 2002, included the elimination of the amortization of goodwill, the identification of reporting units (aggregated geographically) for the purpose of assessing potential future impairments of goodwill and the testing for impairments of goodwill on an annual basis. See Note 3 for transitional disclosures required by SFAS No. 142.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is recorded at the lower of its cost basis (determined by the specific identification method) or net realizable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Property, plant and equipment are stated at cost. The costs of ordinary maintenance and repairs are charged to operations as incurred, while renewals and betterments are capitalized. Capitalized interest was approximately $298,000 and $184,000 in 2001 and 2002, respectively. Depreciation of property, plant and equipment is computed based on the straight-line method over the following estimated useful lives of the assets:</w:t>
      </w:r>
    </w:p>
    <w:p>
      <w:pPr>
        <w:spacing w:after="0" w:line="156"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Years</w:t>
            </w:r>
          </w:p>
        </w:tc>
      </w:tr>
      <w:tr>
        <w:trPr>
          <w:trHeight w:val="105"/>
        </w:trPr>
        <w:tc>
          <w:tcPr>
            <w:tcW w:w="2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105"/>
        </w:trPr>
        <w:tc>
          <w:tcPr>
            <w:tcW w:w="2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8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15 to 40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680" w:type="dxa"/>
            <w:vAlign w:val="bottom"/>
            <w:gridSpan w:val="2"/>
          </w:tcPr>
          <w:p>
            <w:pPr>
              <w:ind w:left="3680"/>
              <w:spacing w:after="0"/>
              <w:rPr>
                <w:sz w:val="20"/>
                <w:szCs w:val="20"/>
                <w:color w:val="auto"/>
              </w:rPr>
            </w:pPr>
            <w:r>
              <w:rPr>
                <w:rFonts w:ascii="Arial" w:cs="Arial" w:eastAsia="Arial" w:hAnsi="Arial"/>
                <w:sz w:val="18"/>
                <w:szCs w:val="18"/>
                <w:color w:val="auto"/>
              </w:rPr>
              <w:t>7 to 10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8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5 to 10</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Automobiles</w:t>
            </w:r>
          </w:p>
        </w:tc>
        <w:tc>
          <w:tcPr>
            <w:tcW w:w="4680" w:type="dxa"/>
            <w:vAlign w:val="bottom"/>
            <w:gridSpan w:val="2"/>
          </w:tcPr>
          <w:p>
            <w:pPr>
              <w:ind w:left="3680"/>
              <w:spacing w:after="0"/>
              <w:rPr>
                <w:sz w:val="20"/>
                <w:szCs w:val="20"/>
                <w:color w:val="auto"/>
              </w:rPr>
            </w:pPr>
            <w:r>
              <w:rPr>
                <w:rFonts w:ascii="Arial" w:cs="Arial" w:eastAsia="Arial" w:hAnsi="Arial"/>
                <w:sz w:val="18"/>
                <w:szCs w:val="18"/>
                <w:color w:val="auto"/>
              </w:rPr>
              <w:t>5 to 7</w:t>
            </w:r>
          </w:p>
        </w:tc>
      </w:tr>
      <w:tr>
        <w:trPr>
          <w:trHeight w:val="424"/>
        </w:trPr>
        <w:tc>
          <w:tcPr>
            <w:tcW w:w="2840" w:type="dxa"/>
            <w:vAlign w:val="bottom"/>
          </w:tcPr>
          <w:p>
            <w:pPr>
              <w:spacing w:after="0"/>
              <w:rPr>
                <w:sz w:val="24"/>
                <w:szCs w:val="24"/>
                <w:color w:val="auto"/>
              </w:rPr>
            </w:pPr>
          </w:p>
        </w:tc>
        <w:tc>
          <w:tcPr>
            <w:tcW w:w="3680" w:type="dxa"/>
            <w:vAlign w:val="bottom"/>
          </w:tcPr>
          <w:p>
            <w:pPr>
              <w:ind w:left="820"/>
              <w:spacing w:after="0"/>
              <w:rPr>
                <w:sz w:val="20"/>
                <w:szCs w:val="20"/>
                <w:color w:val="auto"/>
              </w:rPr>
            </w:pPr>
            <w:r>
              <w:rPr>
                <w:rFonts w:ascii="Arial" w:cs="Arial" w:eastAsia="Arial" w:hAnsi="Arial"/>
                <w:sz w:val="18"/>
                <w:szCs w:val="18"/>
                <w:color w:val="auto"/>
              </w:rPr>
              <w:t>54</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-902970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-902970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were comprised of the following at December 31, 2001 and 2002:</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Land</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28,494</w:t>
            </w:r>
          </w:p>
        </w:tc>
        <w:tc>
          <w:tcPr>
            <w:tcW w:w="1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Buildings and improvements</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91,444</w:t>
            </w: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Furniture, equipment and automobiles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151,364</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Less: accumulated depreciation before assets held for sale adjustment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125,527</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amounts included in assets held for sale, net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114,217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-2183765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-2183765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-2183765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-2183765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-1180465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-1180465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-1180465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-1180465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-751840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-751840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-751840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During 2000, 2001 and 2002, the Company recorded $7,142,000, $6,335,000 and $6,566,000, respectively, in depreciation expense in the accompanying consolidated statements of operations.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 and depreciation ceases.</w:t>
      </w:r>
    </w:p>
    <w:p>
      <w:pPr>
        <w:sectPr>
          <w:pgSz w:w="11900" w:h="16838" w:orient="portrait"/>
          <w:cols w:equalWidth="0" w:num="1">
            <w:col w:w="11400"/>
          </w:cols>
          <w:pgMar w:left="240" w:top="131"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Taxes</w:t>
      </w:r>
    </w:p>
    <w:p>
      <w:pPr>
        <w:sectPr>
          <w:pgSz w:w="11900" w:h="16838" w:orient="portrait"/>
          <w:cols w:equalWidth="0" w:num="1">
            <w:col w:w="11400"/>
          </w:cols>
          <w:pgMar w:left="240" w:top="131" w:right="259" w:bottom="0" w:gutter="0" w:footer="0" w:header="0"/>
          <w:type w:val="continuous"/>
        </w:sectPr>
      </w:pPr>
    </w:p>
    <w:bookmarkStart w:id="34" w:name="page35"/>
    <w:bookmarkEnd w:id="34"/>
    <w:p>
      <w:pPr>
        <w:ind w:right="320" w:firstLine="348"/>
        <w:spacing w:after="0" w:line="332" w:lineRule="auto"/>
        <w:rPr>
          <w:sz w:val="20"/>
          <w:szCs w:val="20"/>
          <w:color w:val="auto"/>
        </w:rPr>
      </w:pPr>
      <w:r>
        <w:rPr>
          <w:rFonts w:ascii="Arial" w:cs="Arial" w:eastAsia="Arial" w:hAnsi="Arial"/>
          <w:sz w:val="16"/>
          <w:szCs w:val="16"/>
          <w:color w:val="auto"/>
        </w:rPr>
        <w:t>The Company and its subsidiaries file a consolidated U.S. federal income tax return. We record deferred taxes for temporary differences between the tax basis and financial reporting basis of assets and liabilities, in accordance with SFAS No. 109, "Accounting for Income Taxes", (see Note 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 and Employee Stock Purchase Plan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has issued stock options to its employees. Additionally, the Company sponsors an Employee Stock Purchase Plan (ESPP) under which employees can purchase common stock at a discount. The Company accounts for stock-based compensation under APB Opinion No. 25, using a method which recognizes no compensation expense in the Consolidated Statement of Operations. An alternative method of accounting for stock-based compensation is prescribed in SFAS No. 123, "Accounting for Stock-Based Compensation", for which compensation expense would be recorded. Had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compensation cost for these plans been determined consistent with SFAS No. 123, net income and income per share would have been the following pro forma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8"/>
          </w:tcPr>
          <w:p>
            <w:pPr>
              <w:jc w:val="center"/>
              <w:ind w:left="439"/>
              <w:spacing w:after="0"/>
              <w:rPr>
                <w:sz w:val="20"/>
                <w:szCs w:val="20"/>
                <w:color w:val="auto"/>
              </w:rPr>
            </w:pPr>
            <w:r>
              <w:rPr>
                <w:rFonts w:ascii="Arial" w:cs="Arial" w:eastAsia="Arial" w:hAnsi="Arial"/>
                <w:sz w:val="14"/>
                <w:szCs w:val="14"/>
                <w:b w:val="1"/>
                <w:bCs w:val="1"/>
                <w:color w:val="auto"/>
                <w:w w:val="85"/>
              </w:rPr>
              <w:t>Year ended December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6"/>
          </w:tcPr>
          <w:p>
            <w:pPr>
              <w:jc w:val="center"/>
              <w:ind w:left="739"/>
              <w:spacing w:after="0"/>
              <w:rPr>
                <w:sz w:val="20"/>
                <w:szCs w:val="20"/>
                <w:color w:val="auto"/>
              </w:rPr>
            </w:pPr>
            <w:r>
              <w:rPr>
                <w:rFonts w:ascii="Arial" w:cs="Arial" w:eastAsia="Arial" w:hAnsi="Arial"/>
                <w:sz w:val="14"/>
                <w:szCs w:val="14"/>
                <w:b w:val="1"/>
                <w:bCs w:val="1"/>
                <w:color w:val="auto"/>
                <w:w w:val="84"/>
              </w:rPr>
              <w:t>(in thousands, except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per share data)</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(132,077)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 per share available to common stockholders: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-2134235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-2134235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-1885950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-1885950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-1885950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-1885950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-1885950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-1885950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December 2002, the Financial Accounting Standards Board issued SFAS No. 148, "Accounting for Stock-Based Compensation—Transition and Disclosure." SFAS No. 148 provides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This Statement is effective for financial statements for fiscal years ending after December 15,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have consisted of stock options and convertible preferred stock (see Note 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Carriage believes that the carrying value approximates fair value for cash and cash equivalents. Additionally, our floating rate credit facility approximates its fair value. Management also believes that the carrying value of our fixed rate debt approximates fair value. Management estimates that the fair values of the company-obligated mandatorily redeemable convertible preferred securities of Carriage Services Capital Trust at December 31, 2001 and 2002 were approximately $54 million and $51 million, respectively, based on available broker quotes.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preparation of the consolidated financial statements requires us to make estimates and judgments that effect the reported amounts of assets, liabilities, revenues and expenses. On an on-going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basis, we evaluate estimates and judgments, including those related to revenue recognition, realization of accounts receivable, intangible assets, property and equipment, deferred tax assets and marketable securities. We base our estimates on historical experience, third party data and assumptions 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the margins, operating income and net earnings as a percentage of revenues will be sustained consistently from year to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2000 ACCOUNTING PRINCIPLE CHANGE</w:t>
      </w:r>
    </w:p>
    <w:p>
      <w:pPr>
        <w:sectPr>
          <w:pgSz w:w="11900" w:h="16838" w:orient="portrait"/>
          <w:cols w:equalWidth="0" w:num="1">
            <w:col w:w="11380"/>
          </w:cols>
          <w:pgMar w:left="240" w:top="131" w:right="279" w:bottom="115"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Preneed Revenues and Costs</w:t>
      </w:r>
    </w:p>
    <w:p>
      <w:pPr>
        <w:sectPr>
          <w:pgSz w:w="11900" w:h="16838" w:orient="portrait"/>
          <w:cols w:equalWidth="0" w:num="1">
            <w:col w:w="11380"/>
          </w:cols>
          <w:pgMar w:left="240" w:top="131" w:right="279" w:bottom="115" w:gutter="0" w:footer="0" w:header="0"/>
          <w:type w:val="continuous"/>
        </w:sectPr>
      </w:pPr>
    </w:p>
    <w:bookmarkStart w:id="35" w:name="page36"/>
    <w:bookmarkEnd w:id="35"/>
    <w:p>
      <w:pPr>
        <w:spacing w:after="0" w:line="4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December 1999, the Securities and Exchange Commission issued SAB 101. This SAB deals with various revenue recognition issues; certain ones of which are pertinent to the death care industry. As a result, Carriage changed our method of recognizing preneed revenues and certain related costs of originating preneed cemetery contracts as of the beginning of 2000.</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Previously, Carriage had recognized sales of cemetery interment rights, together with associated merchandise and services as revenues at the time contracts were signed. Costs related to the sales of interment rights were charged to operations using the specific identification method. The costs for cemetery merchandise and services sold, but not delivered, were previously accrued as an expense at the time the cemetery revenue was recognized. Similarly trust income on cemetery merchandise and service trusts was previously recognized when earned by the trust.</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new accounting principle, the Company follows SFAS No. 66, "Accounting for Sales of Real Estate", in recognizing the revenue from the sales of cemetery interment rights. This method is generally characterized by recognizing the sale in the period when the customer's payments equal or exceed 10% of the contract price related to the interment right. Costs related to the sales of interment rights are charged to operations using the specific identification method in the period in which the sale of the interment right is recognized as revenue. Revenues and costs related to the sales of cemetery merchandise and services, and earnings from the related trust funds, are deferred until the period in which the merchandise is delivered or the service is provided.</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 recorded a non-cash charge of approximately $39.0 million, after reduction for income taxes of approximately $20.8 million, or $2.43 per share, to reflect the cumulative effect of the change in accounting principle as of the beginning of 2000. The effect of this change on the year ended December 31, 2000, before the cumulative effect of the accounting change was to decrease net income $4.7 million, or $.29 per diluted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2002 ACCOUNTING PRINCIPLE CHANGES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adoption of SFAS No. 141 by the Company had no effect on its consolidated financial statements. The effect of SFAS No. 142 on the Company, which was adopted as of the beginning of 2002, included the elimination of the amortization of goodwill, the identification of reporting units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purpose of assessing potential future impairments of goodwill and the testing for impairments of goodwill on an annual basis. The Company performed a review of goodwill during the first quarter of 2002 by comparing the fair value of the Company's reporting units (funeral home businesses by region) to the carrying value of the reporting units and no impairment was recorded at the implementation date of the new accounting standard.</w:t>
      </w:r>
    </w:p>
    <w:p>
      <w:pPr>
        <w:spacing w:after="0" w:line="16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Had the adoption of SFAS No. 142 occurred at the beginning of 2000, costs and expenses would have been reduced by $5.7 million and $4.5 million for 2000 and 2001, respectively, and the results for those preceding years would have been as follows (in thousands, except per share amounts):</w:t>
      </w:r>
    </w:p>
    <w:p>
      <w:pPr>
        <w:spacing w:after="0" w:line="12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31, 2000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(95,372)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(126,333)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-492760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-492760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-492760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-492760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Goodwill acquired during the year ended December 31, 2002, included $1.0 million for performance-based contingent consideration payments on a prior year acquisition and $0.9 million related to the acquisition of two funeral homes in the second quarter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August 2001, the Financial Accounting Standards Board issued SFAS No. 144, "Accounting for the Impairment or Disposal of Long-Lived Assets". SFAS No. 144 addresses financial accounting and reporting of long-lived assets, other than goodwill, that are to be disposed by sale or otherwise, and is effective for financial statements issued for fiscal years beginning after December 15, 2001. The Company adopted SFAS No. 144 as of the beginning of 2002. The effects of adopting SFAS. No. 144 were that the businesses that Carriage intends to sell no longer met the criteria to be classified as "assets held for sale", and the 2001 balance sheet, which previously presented the assets and liabilities of the businesses held for sale on a net basis, was restated to present those assets and liabilities separately.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ASSETS HELD FOR SALE</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During the latter half of 2000, management identified certain businesses and other assets to be sold as part of the Company's Fresh Start initiative (a multi-element restructuring program which was intended to improve financial and operating performance). The carrying value of the net assets of those businesses and other assets has been reduced to management's estimate of fair value less estimated costs to sell. In estimating fair value, management considered, among other things, the range of preliminary prices being discussed with potential buyers. Since the beginning of this initiative, the Company has sold or closed 32 funeral homes, 12 cemeteries and 11 parcels of real estate and realized $18.7 million of proceeds. At December 31, 2001, assets held for sale, net, represents 10 funeral homes,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five cemeteries and 10 parcels of real estate. A summary of the net assets included in the category for 2001 is as follows:</w:t>
      </w:r>
    </w:p>
    <w:p>
      <w:pPr>
        <w:spacing w:after="0" w:line="22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66675</wp:posOffset>
            </wp:positionV>
            <wp:extent cx="818515"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18515" cy="21590"/>
                    </a:xfrm>
                    <a:prstGeom prst="rect">
                      <a:avLst/>
                    </a:prstGeom>
                    <a:noFill/>
                  </pic:spPr>
                </pic:pic>
              </a:graphicData>
            </a:graphic>
          </wp:anchor>
        </w:drawing>
      </w:r>
    </w:p>
    <w:p>
      <w:pPr>
        <w:spacing w:after="0" w:line="21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(in thousands)</w:t>
      </w:r>
    </w:p>
    <w:p>
      <w:pPr>
        <w:sectPr>
          <w:pgSz w:w="11900" w:h="16880" w:orient="portrait"/>
          <w:cols w:equalWidth="0" w:num="1">
            <w:col w:w="11400"/>
          </w:cols>
          <w:pgMar w:left="240" w:top="131" w:right="259" w:bottom="0" w:gutter="0" w:footer="0" w:header="0"/>
        </w:sectPr>
      </w:pPr>
    </w:p>
    <w:p>
      <w:pPr>
        <w:spacing w:after="0" w:line="235" w:lineRule="exact"/>
        <w:rPr>
          <w:sz w:val="20"/>
          <w:szCs w:val="20"/>
          <w:color w:val="auto"/>
        </w:rPr>
      </w:pPr>
    </w:p>
    <w:p>
      <w:pPr>
        <w:ind w:left="1900"/>
        <w:spacing w:after="0"/>
        <w:tabs>
          <w:tab w:leader="none" w:pos="8160" w:val="left"/>
          <w:tab w:leader="none" w:pos="9180" w:val="left"/>
        </w:tabs>
        <w:rPr>
          <w:sz w:val="20"/>
          <w:szCs w:val="20"/>
          <w:color w:val="auto"/>
        </w:rPr>
      </w:pPr>
      <w:r>
        <w:rPr>
          <w:rFonts w:ascii="Arial" w:cs="Arial" w:eastAsia="Arial" w:hAnsi="Arial"/>
          <w:sz w:val="18"/>
          <w:szCs w:val="18"/>
          <w:color w:val="auto"/>
        </w:rPr>
        <w:t>Accounts receivable,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-125730</wp:posOffset>
            </wp:positionV>
            <wp:extent cx="485394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sectPr>
          <w:pgSz w:w="11900" w:h="16880" w:orient="portrait"/>
          <w:cols w:equalWidth="0" w:num="1">
            <w:col w:w="11400"/>
          </w:cols>
          <w:pgMar w:left="240" w:top="131" w:right="259" w:bottom="0" w:gutter="0" w:footer="0" w:header="0"/>
          <w:type w:val="continuous"/>
        </w:sectPr>
      </w:pPr>
    </w:p>
    <w:bookmarkStart w:id="36" w:name="page37"/>
    <w:bookmarkEnd w:id="36"/>
    <w:tbl>
      <w:tblPr>
        <w:tblLayout w:type="fixed"/>
        <w:tblInd w:w="1900" w:type="dxa"/>
        <w:tblCellMar>
          <w:top w:w="0" w:type="dxa"/>
          <w:left w:w="0" w:type="dxa"/>
          <w:bottom w:w="0" w:type="dxa"/>
          <w:right w:w="0" w:type="dxa"/>
        </w:tblCellMar>
      </w:tblP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Inventories and other current assets</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Cemetery property</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Preneed cemetery and funeral trust funds and other assets</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23,061</w:t>
            </w:r>
          </w:p>
        </w:tc>
        <w:tc>
          <w:tcPr>
            <w:tcW w:w="8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Allowance for impairment</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(16,770)</w:t>
            </w: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net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05"/>
        </w:trPr>
        <w:tc>
          <w:tcPr>
            <w:tcW w:w="516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16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cemetery and funeral revenue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23,446</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 and capital leases</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-1678305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-1678305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-1231900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-1231900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-340360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-340360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Though the Company is continuing its efforts to sell certain businesses and assets, it no longer classifies those as assets held for sale in the balance sheet as a result of the adoption of SFAS No. 144 as described in Note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NON-CURRENT ASSETS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Deferred charges and other non-current assets, net of amounts included in assets held for sale for 2001, at December 31, 2001 and 2002 were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Agreements not to compete, net of accumulated amortization of $2,716 and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$3,107, respectively</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Non-current cemetery 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9"/>
              </w:rPr>
              <w:t>Deferred obtaining costs, net of accumulated amortization of $6,736 and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$8,009, respectively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-1549400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-1549400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-1549400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cost of agreements not to compete with former owners of businesses acquired is amortized over the term of the respective agreements, ranging from four to ten years. Deferred debt expense (included in "other" above) is being amortized over the term of the related debt. Non-current cemetery receivables result from the multi-year payment terms in the underlying contracts.</w:t>
      </w:r>
    </w:p>
    <w:p>
      <w:pPr>
        <w:spacing w:after="0" w:line="19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Deferred obtaining costs consist of sales commissions and other direct related costs of originating preneed sales contracts. These costs are deferred and amortized into funeral and cemetery costs and expenses over the expected timing of the performance of the services or delivery of the merchandise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covered by the preneed contracts. Effective October 1, 2001, we adopted an actuarial method that more closely matches the expected maturity of the preneed contracts. The effect of this change was to reduce expense in the fourth quarter of 2001 by approximately $0.5 million and for the year 2002 by approximately $1.8 million from that which would have been recorded using the prior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AND RELATED DERIVATIVES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long-term debt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2"/>
              </w:rPr>
              <w:t>Credit Facility, unsecured floating rate $100 million line at December 31, 2001 and $75 million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1"/>
              </w:rPr>
              <w:t>line at December 31, 2002, interest is due on a quarterly basis for prime borrowings and on the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0"/>
              </w:rPr>
              <w:t>maturity dates of the LIBOR borrowings at the LIBOR rate plus 1.0% to 2.0% (weighted average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including the effect of the interest rate swaps was 7.365% and 7.781% at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2001 and 2002, respectively), matures in June, 2004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101,993</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4,888</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-1652270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-1652270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-1652270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-1652270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37" w:name="page38"/>
    <w:bookmarkEnd w:id="37"/>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148,959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141,207</w:t>
            </w:r>
          </w:p>
        </w:tc>
        <w:tc>
          <w:tcPr>
            <w:tcW w:w="100" w:type="dxa"/>
            <w:vAlign w:val="bottom"/>
          </w:tcPr>
          <w:p>
            <w:pPr>
              <w:spacing w:after="0"/>
              <w:rPr>
                <w:sz w:val="19"/>
                <w:szCs w:val="19"/>
                <w:color w:val="auto"/>
              </w:rPr>
            </w:pPr>
          </w:p>
        </w:tc>
      </w:tr>
      <w:tr>
        <w:trPr>
          <w:trHeight w:val="218"/>
        </w:trPr>
        <w:tc>
          <w:tcPr>
            <w:tcW w:w="7420" w:type="dxa"/>
            <w:vAlign w:val="bottom"/>
            <w:gridSpan w:val="2"/>
            <w:shd w:val="clear" w:color="auto" w:fill="CCEEFF"/>
          </w:tcPr>
          <w:p>
            <w:pPr>
              <w:jc w:val="right"/>
              <w:ind w:right="3320"/>
              <w:spacing w:after="0"/>
              <w:rPr>
                <w:sz w:val="20"/>
                <w:szCs w:val="20"/>
                <w:color w:val="auto"/>
              </w:rPr>
            </w:pPr>
            <w:r>
              <w:rPr>
                <w:rFonts w:ascii="Arial" w:cs="Arial" w:eastAsia="Arial" w:hAnsi="Arial"/>
                <w:sz w:val="18"/>
                <w:szCs w:val="18"/>
                <w:color w:val="auto"/>
                <w:w w:val="86"/>
              </w:rPr>
              <w:t>Less: assets held for sale, non-current portion (see Note 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70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7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148,508</w:t>
            </w:r>
          </w:p>
        </w:tc>
        <w:tc>
          <w:tcPr>
            <w:tcW w:w="18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141,207</w:t>
            </w:r>
          </w:p>
        </w:tc>
        <w:tc>
          <w:tcPr>
            <w:tcW w:w="100" w:type="dxa"/>
            <w:vAlign w:val="bottom"/>
          </w:tcPr>
          <w:p>
            <w:pPr>
              <w:spacing w:after="0"/>
              <w:rPr>
                <w:sz w:val="24"/>
                <w:szCs w:val="24"/>
                <w:color w:val="auto"/>
              </w:rPr>
            </w:pPr>
          </w:p>
        </w:tc>
      </w:tr>
      <w:tr>
        <w:trPr>
          <w:trHeight w:val="107"/>
        </w:trPr>
        <w:tc>
          <w:tcPr>
            <w:tcW w:w="7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0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October 2002, modifications were made to the credit facility to reduce the borrowing capacity of the revolving credit facility from $100 million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 million. The size of the credit facility was reduced because management does not foresee a need for credit over $75 million and did not want to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a commitment fee for availability that was not needed. The credit facility contains customary restrictive covenants, including a restriction on the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on common stock and requires Carriage to maintain certain financial ratios. At December 31, 2002, $44.9 million was available under the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9" w:lineRule="exact"/>
        <w:rPr>
          <w:sz w:val="20"/>
          <w:szCs w:val="20"/>
          <w:color w:val="auto"/>
        </w:rPr>
      </w:pPr>
    </w:p>
    <w:p>
      <w:pPr>
        <w:ind w:right="220" w:firstLine="351"/>
        <w:spacing w:after="0" w:line="318" w:lineRule="auto"/>
        <w:rPr>
          <w:sz w:val="20"/>
          <w:szCs w:val="20"/>
          <w:color w:val="auto"/>
        </w:rPr>
      </w:pPr>
      <w:r>
        <w:rPr>
          <w:rFonts w:ascii="Arial" w:cs="Arial" w:eastAsia="Arial" w:hAnsi="Arial"/>
          <w:sz w:val="15"/>
          <w:szCs w:val="15"/>
          <w:color w:val="auto"/>
        </w:rPr>
        <w:t>During 1999, Carriage issued $110 million in senior debt notes ("the Senior Notes") and used the proceeds to reduce the amount outstanding under our revolving line of credit. The unsecured notes mature in traunches of $22.9 million in 2004, $54.1 million in 2006 and $22.3 million in 2008 and bear interest at the fixed rates of 7.73%, 7.96% and 8.06%, respectively. The Senior Notes contain restrictive covenants similar to the credit facility (described above) and additionally require that a significant portion of any proceeds from the sales of assets be offered to the note holders as prepayment of the amounts outstanding. During 2001 and 2002, prepayments were made in the amount of $8.0 million and $2.7 million, respectively, related to proceeds from the sale of assets.</w:t>
      </w:r>
    </w:p>
    <w:p>
      <w:pPr>
        <w:spacing w:after="0" w:line="15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was in compliance with the covenants contained in the credit facility and the Senior Notes as of and during the years ended December 31, 2001 and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Acquisition debt consists of deferred purchase prices payable to sellers. The deferred purchase price notes bear interest at 0%, discounted at imputed interest rates ranging from 6% to 8%, with maturities from three to 15 years.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aggregate maturities of long-term debt as of December 31, 2002 and for the next five years are approximately $2,309,000, $54,039,000, $2,152,000, $56,273,000 and $2,900,000, respectively and $25,843,000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Carriage entered into interest rate swap agreements during 1998 with financial institutions to manage interest costs on the floating rate credit facility. To manage the risk that interest rates will rise, the Company agreed to exchange the floating rate payments for fixed rate payments, at 90-day intervals, calculated by reference to agreed-upon notional principal amounts. The following presents information for the interest rate swaps, which are recorded as liabilities in the December 31, 2001 and 2002 balance sheets (in thousands):</w:t>
      </w:r>
    </w:p>
    <w:p>
      <w:pPr>
        <w:spacing w:after="0" w:line="18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152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3"/>
              </w:rPr>
              <w:t>2002</w:t>
            </w:r>
          </w:p>
        </w:tc>
      </w:tr>
      <w:tr>
        <w:trPr>
          <w:trHeight w:val="105"/>
        </w:trPr>
        <w:tc>
          <w:tcPr>
            <w:tcW w:w="5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105"/>
        </w:trPr>
        <w:tc>
          <w:tcPr>
            <w:tcW w:w="5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$30,000</w:t>
            </w:r>
          </w:p>
        </w:tc>
        <w:tc>
          <w:tcPr>
            <w:tcW w:w="152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$30,000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fixed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5.55%</w:t>
            </w:r>
          </w:p>
        </w:tc>
        <w:tc>
          <w:tcPr>
            <w:tcW w:w="152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5.5475%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Maturity</w:t>
            </w:r>
          </w:p>
        </w:tc>
        <w:tc>
          <w:tcPr>
            <w:tcW w:w="1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May, 2003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May, 2003</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Fair value (liability)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$(1,238)</w:t>
            </w:r>
          </w:p>
        </w:tc>
        <w:tc>
          <w:tcPr>
            <w:tcW w:w="1520" w:type="dxa"/>
            <w:vAlign w:val="bottom"/>
            <w:gridSpan w:val="2"/>
          </w:tcPr>
          <w:p>
            <w:pPr>
              <w:jc w:val="center"/>
              <w:ind w:left="137"/>
              <w:spacing w:after="0"/>
              <w:rPr>
                <w:sz w:val="20"/>
                <w:szCs w:val="20"/>
                <w:color w:val="auto"/>
              </w:rPr>
            </w:pPr>
            <w:r>
              <w:rPr>
                <w:rFonts w:ascii="Arial" w:cs="Arial" w:eastAsia="Arial" w:hAnsi="Arial"/>
                <w:sz w:val="18"/>
                <w:szCs w:val="18"/>
                <w:color w:val="auto"/>
                <w:w w:val="88"/>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-633730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-633730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-633730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right="780" w:firstLine="8"/>
        <w:spacing w:after="0" w:line="275" w:lineRule="auto"/>
        <w:tabs>
          <w:tab w:leader="none" w:pos="17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COMPANY OBLIGATED MANDATORILY REDEEMABLE CONVERTIBLE PREFERRED SECURITIES OF CARRIAGE SERVICES CAPITAL TRUST</w:t>
      </w:r>
    </w:p>
    <w:p>
      <w:pPr>
        <w:spacing w:after="0" w:line="18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June 1999, Carriage, through its wholly-owned subsidiary, Carriage Services Capital Trust, completed the sale of 1,875,000 units of 7% convertible preferred securities, resulting in approximately $90 million in net proceeds to the Company. The convertible preferred securities have a liquidation amount of $50 per unit, and are convertible into Carriage's Common Stock at the equivalent conversion price of $20.4375 per share of Common Stock. The securities mature in 2029 and are guaranteed on a subordinated basis by the Company. Distributions are payable quarterly, but may be deferred at our option for up to twenty consecutive quarters.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SPECIAL CHARGES AND OTHER</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Company's Fresh Start initiative in the second half of 2000, decisions were made to sell certain businesses and assets, to evaluate the carrying value of underperforming businesses, and to implement certain organizational changes to downsize or eliminate certain corporate functions, including the termination of 40 employees in corporate development, preneed sales and marketing, and administration. Long-term cash flow forecasts were prepared to determine whether the Company would recover its investment through operations for the underperforming businesses. In those instances in which the investment in a business exceeded the estimated undiscounted future cash flows, the investment was written down, through an impairment charge, to the present value of those future cash flows. Impairment charges totaled $51 million for the underperforming businesses that the Company will continue to operate. An estimate of the fair value less costs to sell was determined for those businesses targeted for sale to determine whether the investment in the business would be recovered through its sale. Where the investment exceeded the net realizable value, impairment charges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were recorded totaling approximately $29.3 million. Charges related to this initiative include impairments totaling approximately $61.6 million related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are included in the statement of operations in the caption titled "Special charges and other" and are as follows (in thousands):</w:t>
      </w:r>
    </w:p>
    <w:p>
      <w:pPr>
        <w:sectPr>
          <w:pgSz w:w="11900" w:h="16847" w:orient="portrait"/>
          <w:cols w:equalWidth="0" w:num="1">
            <w:col w:w="11400"/>
          </w:cols>
          <w:pgMar w:left="240" w:top="131" w:right="259" w:bottom="0" w:gutter="0" w:footer="0" w:header="0"/>
        </w:sectPr>
      </w:pPr>
    </w:p>
    <w:p>
      <w:pPr>
        <w:spacing w:after="0" w:line="202" w:lineRule="exact"/>
        <w:rPr>
          <w:sz w:val="20"/>
          <w:szCs w:val="20"/>
          <w:color w:val="auto"/>
        </w:rPr>
      </w:pPr>
    </w:p>
    <w:tbl>
      <w:tblPr>
        <w:tblLayout w:type="fixed"/>
        <w:tblInd w:w="5600" w:type="dxa"/>
        <w:tblCellMar>
          <w:top w:w="0" w:type="dxa"/>
          <w:left w:w="0" w:type="dxa"/>
          <w:bottom w:w="0" w:type="dxa"/>
          <w:right w:w="0" w:type="dxa"/>
        </w:tblCellMar>
      </w:tblPr>
      <w:tr>
        <w:trPr>
          <w:trHeight w:val="161"/>
        </w:trPr>
        <w:tc>
          <w:tcPr>
            <w:tcW w:w="2180" w:type="dxa"/>
            <w:vAlign w:val="bottom"/>
          </w:tcPr>
          <w:p>
            <w:pPr>
              <w:ind w:left="540"/>
              <w:spacing w:after="0"/>
              <w:rPr>
                <w:sz w:val="20"/>
                <w:szCs w:val="20"/>
                <w:color w:val="auto"/>
              </w:rPr>
            </w:pPr>
            <w:r>
              <w:rPr>
                <w:rFonts w:ascii="Arial" w:cs="Arial" w:eastAsia="Arial" w:hAnsi="Arial"/>
                <w:sz w:val="14"/>
                <w:szCs w:val="14"/>
                <w:b w:val="1"/>
                <w:bCs w:val="1"/>
                <w:color w:val="auto"/>
              </w:rPr>
              <w:t>For the year ended</w:t>
            </w:r>
          </w:p>
        </w:tc>
        <w:tc>
          <w:tcPr>
            <w:tcW w:w="260" w:type="dxa"/>
            <w:vAlign w:val="bottom"/>
          </w:tcPr>
          <w:p>
            <w:pPr>
              <w:spacing w:after="0"/>
              <w:rPr>
                <w:sz w:val="13"/>
                <w:szCs w:val="13"/>
                <w:color w:val="auto"/>
              </w:rPr>
            </w:pPr>
          </w:p>
        </w:tc>
        <w:tc>
          <w:tcPr>
            <w:tcW w:w="2180" w:type="dxa"/>
            <w:vAlign w:val="bottom"/>
          </w:tcPr>
          <w:p>
            <w:pPr>
              <w:ind w:left="540"/>
              <w:spacing w:after="0"/>
              <w:rPr>
                <w:sz w:val="20"/>
                <w:szCs w:val="20"/>
                <w:color w:val="auto"/>
              </w:rPr>
            </w:pPr>
            <w:r>
              <w:rPr>
                <w:rFonts w:ascii="Arial" w:cs="Arial" w:eastAsia="Arial" w:hAnsi="Arial"/>
                <w:sz w:val="14"/>
                <w:szCs w:val="14"/>
                <w:b w:val="1"/>
                <w:bCs w:val="1"/>
                <w:color w:val="auto"/>
              </w:rPr>
              <w:t>For the year ended</w:t>
            </w:r>
          </w:p>
        </w:tc>
      </w:tr>
      <w:tr>
        <w:trPr>
          <w:trHeight w:val="174"/>
        </w:trPr>
        <w:tc>
          <w:tcPr>
            <w:tcW w:w="2180" w:type="dxa"/>
            <w:vAlign w:val="bottom"/>
          </w:tcPr>
          <w:p>
            <w:pPr>
              <w:ind w:left="540"/>
              <w:spacing w:after="0"/>
              <w:rPr>
                <w:sz w:val="20"/>
                <w:szCs w:val="20"/>
                <w:color w:val="auto"/>
              </w:rPr>
            </w:pPr>
            <w:r>
              <w:rPr>
                <w:rFonts w:ascii="Arial" w:cs="Arial" w:eastAsia="Arial" w:hAnsi="Arial"/>
                <w:sz w:val="14"/>
                <w:szCs w:val="14"/>
                <w:b w:val="1"/>
                <w:bCs w:val="1"/>
                <w:color w:val="auto"/>
              </w:rPr>
              <w:t>December 31, 2000</w:t>
            </w:r>
          </w:p>
        </w:tc>
        <w:tc>
          <w:tcPr>
            <w:tcW w:w="260" w:type="dxa"/>
            <w:vAlign w:val="bottom"/>
          </w:tcPr>
          <w:p>
            <w:pPr>
              <w:spacing w:after="0"/>
              <w:rPr>
                <w:sz w:val="15"/>
                <w:szCs w:val="15"/>
                <w:color w:val="auto"/>
              </w:rPr>
            </w:pPr>
          </w:p>
        </w:tc>
        <w:tc>
          <w:tcPr>
            <w:tcW w:w="2180" w:type="dxa"/>
            <w:vAlign w:val="bottom"/>
          </w:tcPr>
          <w:p>
            <w:pPr>
              <w:ind w:left="540"/>
              <w:spacing w:after="0"/>
              <w:rPr>
                <w:sz w:val="20"/>
                <w:szCs w:val="20"/>
                <w:color w:val="auto"/>
              </w:rPr>
            </w:pPr>
            <w:r>
              <w:rPr>
                <w:rFonts w:ascii="Arial" w:cs="Arial" w:eastAsia="Arial" w:hAnsi="Arial"/>
                <w:sz w:val="14"/>
                <w:szCs w:val="14"/>
                <w:b w:val="1"/>
                <w:bCs w:val="1"/>
                <w:color w:val="auto"/>
              </w:rPr>
              <w:t>December 31, 2002</w:t>
            </w:r>
          </w:p>
        </w:tc>
      </w:tr>
      <w:tr>
        <w:trPr>
          <w:trHeight w:val="105"/>
        </w:trPr>
        <w:tc>
          <w:tcPr>
            <w:tcW w:w="21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-14605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00"/>
          </w:cols>
          <w:pgMar w:left="240" w:top="131" w:right="259" w:bottom="0" w:gutter="0" w:footer="0" w:header="0"/>
          <w:type w:val="continuous"/>
        </w:sectPr>
      </w:pPr>
    </w:p>
    <w:bookmarkStart w:id="38" w:name="page39"/>
    <w:bookmarkEnd w:id="38"/>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on businesses held for use</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88"/>
              </w:rPr>
              <w:t>Impairment charges on businesses and other assets held for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sale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29,277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0"/>
              </w:rPr>
              <w:t>(Gain) loss on sale of businesses and other assets held for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 and other asset impairments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Employee termination severance costs, office closings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other accruals as a result of Fresh Start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102,250</w:t>
            </w: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21"/>
                <w:szCs w:val="2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-340360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-340360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-340360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-340360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Carriage leases certain office facilities, vehicles and equipment under operating leases for terms ranging from one to 15 years. Certain of these leases provide for an annual adjustment and contain options for renewal. Rent expense was approximately $4,819,000, $4,547,000 and $4,587,000 for 2000, 2001 and 2002, respectively. Assets acquired under capital leases are included in property, plant and equipment in the accompanying consolidated balance sheets in the amount of $1,075,000 in 2000, $2,782,000 in 2001 and $2,341,000 in 2002, net of accumulated depreciation. Related obligations are included in current and long-term debt.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2002, future minimum lease payments under noncancellable lease agreements were as follows:</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Future Minimum Lease 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2003</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2,149</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1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1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2007</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60" w:type="dxa"/>
            <w:vAlign w:val="bottom"/>
            <w:gridSpan w:val="2"/>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10,824</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89"/>
              </w:rPr>
              <w:t>Less: current portion of obligations under capital leases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under capital leases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760" w:type="dxa"/>
            <w:vAlign w:val="bottom"/>
            <w:vMerge w:val="restart"/>
          </w:tcPr>
          <w:p>
            <w:pPr>
              <w:jc w:val="right"/>
              <w:ind w:right="1432"/>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-3192780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-3192780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-2849245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-2849245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-2849245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-2849245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-1400175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-1400175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-1400175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-1400175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-662940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-662940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and Employee Benefits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Carriage has entered into various agreements not to compete with former owners of businesses acquired. Payments for such agreements are generally not made in advance. These agreements are generally for one to 10 years and provide for future payments annually, quarterly or monthly. The aggregate payments due under these agreements for the next five years are approximately $1,655,000, $1,302,000, $894,000, $609,000 and $310,000, respectively and $279,000 thereafter.</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Carriage sponsors a defined contribution plan (401k) and an employee stock purchase plan for the benefit of its employees. The expense for these plans has not been significant for the periods presented. In addition, the Company does not offer any other post-retirement or post-employment benefits.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Company is, from time to time, subject to routine litigation arising in the normal course of business. The Company, with the advice of legal counsel, believes that there exists adequate insurance coverages, indemnities and reserves such that the results of any such routine litigation or other pending legal proceedings will not have a material effect on the consolidated financial position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(benefit) for income taxes for 2000, 2001 and 2002 consisted of:</w:t>
      </w:r>
    </w:p>
    <w:p>
      <w:pPr>
        <w:spacing w:after="0" w:line="221" w:lineRule="exact"/>
        <w:rPr>
          <w:sz w:val="20"/>
          <w:szCs w:val="20"/>
          <w:color w:val="auto"/>
        </w:rPr>
      </w:pPr>
    </w:p>
    <w:p>
      <w:pPr>
        <w:ind w:left="6920"/>
        <w:spacing w:after="0"/>
        <w:tabs>
          <w:tab w:leader="none" w:pos="8140" w:val="left"/>
          <w:tab w:leader="none" w:pos="9300" w:val="left"/>
        </w:tabs>
        <w:rPr>
          <w:sz w:val="20"/>
          <w:szCs w:val="20"/>
          <w:color w:val="auto"/>
        </w:rPr>
      </w:pPr>
      <w:r>
        <w:rPr>
          <w:rFonts w:ascii="Arial" w:cs="Arial" w:eastAsia="Arial" w:hAnsi="Arial"/>
          <w:sz w:val="14"/>
          <w:szCs w:val="14"/>
          <w:b w:val="1"/>
          <w:bCs w:val="1"/>
          <w:color w:val="auto"/>
        </w:rPr>
        <w:t>2000</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2"/>
          <w:szCs w:val="12"/>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66675</wp:posOffset>
            </wp:positionV>
            <wp:extent cx="2105025"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(in thousands)</w:t>
      </w:r>
    </w:p>
    <w:p>
      <w:pPr>
        <w:sectPr>
          <w:pgSz w:w="11900" w:h="16884" w:orient="portrait"/>
          <w:cols w:equalWidth="0" w:num="1">
            <w:col w:w="11400"/>
          </w:cols>
          <w:pgMar w:left="240" w:top="180" w:right="259" w:bottom="0" w:gutter="0" w:footer="0" w:header="0"/>
        </w:sectPr>
      </w:pPr>
    </w:p>
    <w:bookmarkStart w:id="39" w:name="page40"/>
    <w:bookmarkEnd w:id="39"/>
    <w:tbl>
      <w:tblPr>
        <w:tblLayout w:type="fixed"/>
        <w:tblInd w:w="1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U. S. Federal</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(2,009)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(2,212)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Total current provision (benefit)</w:t>
            </w:r>
          </w:p>
        </w:tc>
        <w:tc>
          <w:tcPr>
            <w:tcW w:w="3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(1,743)</w:t>
            </w:r>
          </w:p>
        </w:tc>
        <w:tc>
          <w:tcPr>
            <w:tcW w:w="3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(1,970)</w:t>
            </w:r>
          </w:p>
        </w:tc>
        <w:tc>
          <w:tcPr>
            <w:tcW w:w="2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U. S. Federal</w:t>
            </w: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(5,846)</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w:t>
            </w: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Total deferred provision (benefit)</w:t>
            </w:r>
          </w:p>
        </w:tc>
        <w:tc>
          <w:tcPr>
            <w:tcW w:w="3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(6,289)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income tax provision (benefit)</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(8,032)</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-1557655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-1557655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-1557655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-1557655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-1557655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-1557655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-1249045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-1249045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-1249045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-1249045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-1249045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-1249045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-648970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-648970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-648970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-648970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-648970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-648970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-340360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-340360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-340360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-340360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-340360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-340360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 reconciliation of taxes to the U.S. federal statutory rate to those reflected in the consolidated statements of operations for 2000, 2001 and 2002 is as follows: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1"/>
              </w:rPr>
              <w:t>Effect of state income taxes, net of federal benefit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non-deductible expenses and other, net</w:t>
            </w:r>
          </w:p>
        </w:tc>
        <w:tc>
          <w:tcPr>
            <w:tcW w:w="1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240" w:type="dxa"/>
            <w:vAlign w:val="bottom"/>
            <w:vMerge w:val="restart"/>
          </w:tcPr>
          <w:p>
            <w:pPr>
              <w:jc w:val="right"/>
              <w:ind w:right="835"/>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-1365885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-1365885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-1365885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-1365885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-1365885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-1365885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-662940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-662940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-662940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-662940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-662940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-662940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tax effects of temporary differences that give rise to significant deferred tax assets and liabilities at December 31, 2001 and 2002 were as follows: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105"/>
        </w:trPr>
        <w:tc>
          <w:tcPr>
            <w:tcW w:w="5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5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5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76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4,665</w:t>
            </w:r>
          </w:p>
        </w:tc>
        <w:tc>
          <w:tcPr>
            <w:tcW w:w="60" w:type="dxa"/>
            <w:vAlign w:val="bottom"/>
          </w:tcPr>
          <w:p>
            <w:pPr>
              <w:spacing w:after="0"/>
              <w:rPr>
                <w:sz w:val="19"/>
                <w:szCs w:val="19"/>
                <w:color w:val="auto"/>
              </w:rPr>
            </w:pPr>
          </w:p>
        </w:tc>
      </w:tr>
      <w:tr>
        <w:trPr>
          <w:trHeight w:val="21"/>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7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760" w:type="dxa"/>
            <w:vAlign w:val="bottom"/>
          </w:tcPr>
          <w:p>
            <w:pPr>
              <w:ind w:left="260"/>
              <w:spacing w:after="0"/>
              <w:rPr>
                <w:sz w:val="20"/>
                <w:szCs w:val="20"/>
                <w:color w:val="auto"/>
              </w:rPr>
            </w:pPr>
            <w:r>
              <w:rPr>
                <w:rFonts w:ascii="Arial" w:cs="Arial" w:eastAsia="Arial" w:hAnsi="Arial"/>
                <w:sz w:val="18"/>
                <w:szCs w:val="18"/>
                <w:color w:val="auto"/>
              </w:rPr>
              <w:t>Amortization of non-compete agreements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w:t>
            </w:r>
          </w:p>
        </w:tc>
        <w:tc>
          <w:tcPr>
            <w:tcW w:w="60" w:type="dxa"/>
            <w:vAlign w:val="bottom"/>
          </w:tcPr>
          <w:p>
            <w:pPr>
              <w:spacing w:after="0"/>
              <w:rPr>
                <w:sz w:val="19"/>
                <w:szCs w:val="19"/>
                <w:color w:val="auto"/>
              </w:rPr>
            </w:pPr>
          </w:p>
        </w:tc>
      </w:tr>
      <w:tr>
        <w:trPr>
          <w:trHeight w:val="21"/>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7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and depreciation</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(8,796)</w:t>
            </w:r>
          </w:p>
        </w:tc>
      </w:tr>
      <w:tr>
        <w:trPr>
          <w:trHeight w:val="222"/>
        </w:trPr>
        <w:tc>
          <w:tcPr>
            <w:tcW w:w="5760" w:type="dxa"/>
            <w:vAlign w:val="bottom"/>
          </w:tcPr>
          <w:p>
            <w:pPr>
              <w:ind w:left="260"/>
              <w:spacing w:after="0"/>
              <w:rPr>
                <w:sz w:val="20"/>
                <w:szCs w:val="20"/>
                <w:color w:val="auto"/>
              </w:rPr>
            </w:pPr>
            <w:r>
              <w:rPr>
                <w:rFonts w:ascii="Arial" w:cs="Arial" w:eastAsia="Arial" w:hAnsi="Arial"/>
                <w:sz w:val="18"/>
                <w:szCs w:val="18"/>
                <w:color w:val="auto"/>
              </w:rPr>
              <w:t>Preneed revenue and costs,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7,024</w:t>
            </w:r>
          </w:p>
        </w:tc>
        <w:tc>
          <w:tcPr>
            <w:tcW w:w="60" w:type="dxa"/>
            <w:vAlign w:val="bottom"/>
          </w:tcPr>
          <w:p>
            <w:pPr>
              <w:spacing w:after="0"/>
              <w:rPr>
                <w:sz w:val="19"/>
                <w:szCs w:val="19"/>
                <w:color w:val="auto"/>
              </w:rPr>
            </w:pPr>
          </w:p>
        </w:tc>
      </w:tr>
      <w:tr>
        <w:trPr>
          <w:trHeight w:val="139"/>
        </w:trPr>
        <w:tc>
          <w:tcPr>
            <w:tcW w:w="576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105"/>
        </w:trPr>
        <w:tc>
          <w:tcPr>
            <w:tcW w:w="5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7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60" w:type="dxa"/>
            <w:vAlign w:val="bottom"/>
            <w:shd w:val="clear" w:color="auto" w:fill="CCEEFF"/>
          </w:tcPr>
          <w:p>
            <w:pPr>
              <w:spacing w:after="0"/>
              <w:rPr>
                <w:sz w:val="18"/>
                <w:szCs w:val="18"/>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(14,153)</w:t>
            </w:r>
          </w:p>
        </w:tc>
        <w:tc>
          <w:tcPr>
            <w:tcW w:w="2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(1,353)</w:t>
            </w:r>
          </w:p>
        </w:tc>
      </w:tr>
      <w:tr>
        <w:trPr>
          <w:trHeight w:val="112"/>
        </w:trPr>
        <w:tc>
          <w:tcPr>
            <w:tcW w:w="5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60" w:type="dxa"/>
            <w:vAlign w:val="bottom"/>
            <w:shd w:val="clear" w:color="auto" w:fill="CCEEFF"/>
          </w:tcPr>
          <w:p>
            <w:pPr>
              <w:spacing w:after="0"/>
              <w:rPr>
                <w:sz w:val="18"/>
                <w:szCs w:val="18"/>
                <w:color w:val="auto"/>
              </w:rPr>
            </w:pPr>
          </w:p>
        </w:tc>
      </w:tr>
      <w:tr>
        <w:trPr>
          <w:trHeight w:val="105"/>
        </w:trPr>
        <w:tc>
          <w:tcPr>
            <w:tcW w:w="5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7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20"/>
        </w:trPr>
        <w:tc>
          <w:tcPr>
            <w:tcW w:w="5760" w:type="dxa"/>
            <w:vAlign w:val="bottom"/>
          </w:tcPr>
          <w:p>
            <w:pPr>
              <w:spacing w:after="0"/>
              <w:rPr>
                <w:sz w:val="20"/>
                <w:szCs w:val="20"/>
                <w:color w:val="auto"/>
              </w:rPr>
            </w:pPr>
            <w:r>
              <w:rPr>
                <w:rFonts w:ascii="Arial" w:cs="Arial" w:eastAsia="Arial" w:hAnsi="Arial"/>
                <w:sz w:val="18"/>
                <w:szCs w:val="18"/>
                <w:color w:val="auto"/>
              </w:rPr>
              <w:t>Current deferred tax asset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4"/>
                <w:szCs w:val="24"/>
                <w:color w:val="auto"/>
              </w:rPr>
            </w:pPr>
          </w:p>
        </w:tc>
      </w:tr>
      <w:tr>
        <w:trPr>
          <w:trHeight w:val="217"/>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60" w:type="dxa"/>
            <w:vAlign w:val="bottom"/>
            <w:shd w:val="clear" w:color="auto" w:fill="CCEEFF"/>
          </w:tcPr>
          <w:p>
            <w:pPr>
              <w:spacing w:after="0"/>
              <w:rPr>
                <w:sz w:val="18"/>
                <w:szCs w:val="18"/>
                <w:color w:val="auto"/>
              </w:rPr>
            </w:pPr>
          </w:p>
        </w:tc>
      </w:tr>
      <w:tr>
        <w:trPr>
          <w:trHeight w:val="118"/>
        </w:trPr>
        <w:tc>
          <w:tcPr>
            <w:tcW w:w="5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7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7,552</w:t>
            </w:r>
          </w:p>
        </w:tc>
        <w:tc>
          <w:tcPr>
            <w:tcW w:w="60" w:type="dxa"/>
            <w:vAlign w:val="bottom"/>
          </w:tcPr>
          <w:p>
            <w:pPr>
              <w:spacing w:after="0"/>
              <w:rPr>
                <w:sz w:val="24"/>
                <w:szCs w:val="24"/>
                <w:color w:val="auto"/>
              </w:rPr>
            </w:pPr>
          </w:p>
        </w:tc>
      </w:tr>
      <w:tr>
        <w:trPr>
          <w:trHeight w:val="107"/>
        </w:trPr>
        <w:tc>
          <w:tcPr>
            <w:tcW w:w="5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7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-2801620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-2801620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-2801620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-2801620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-1489075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-1489075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-1489075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-1489075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-1060450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-1060450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-1060450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-1060450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current deferred tax asset is included in Inventories and other current assets at December 31, 2001 and 2002. The non-current deferred tax asset is included in Deferred charges and other non-current assets at December 31, 2001 and 2002.</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Carriage records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 When the Company incurred the Fresh Start restructuring costs and write-downs in late 2000 and proceeded to dispose of low performing businesses, it could not be assured that it would generate enough future taxable income to utilize the tax benefits created by the tax losses on asset sales. To acknowledge this uncertainty, the Company recorded a valuation allowance to offset these tax benefits until such time that it could be determined it would be more likely than not the Company would be able to realize the tax benefits. During 2001, the Company reduced the valuation allowance and recognized an income tax benefit in the amount of $3.0 million for tax deductions taken in 2001 for which the expense was recorded in 2000 for accounting purposes. Based on the positive operating results subsequent to 2000 and management's forecast of future positive operating results, management determined in the first quarter of 2002 that it is more likely than not the Company will be able to utilize substantially all of these previously unrecognized tax benefits. Accordingly, in the first quarter of 2002 the Company recorded a tax benefit in the amount of $12.8 million, equal to $0.73 per diluted share, which eliminated substantially all of the valuation allowance.</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Federal income tax reporting purposes, Carriage has used net operating loss carryforwards totaling $11.6 million available at December 31, 2002 to offset future Federal taxable income, of which $9.6 million expires in 2021 and $2.0 million expires in 2022. Carriage also has approximately $40 million of state net operating loss carryforwards that will expire between the years 2003 and 2022, if not utilized.</w:t>
      </w:r>
    </w:p>
    <w:p>
      <w:pPr>
        <w:sectPr>
          <w:pgSz w:w="11900" w:h="16838" w:orient="portrait"/>
          <w:cols w:equalWidth="0" w:num="1">
            <w:col w:w="11380"/>
          </w:cols>
          <w:pgMar w:left="240" w:top="383" w:right="279" w:bottom="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Classes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had two classes of Common Stock (Class A and Class B) outstanding prior to December 31, 2001. The two classes had virtually the same rights and preferences, except that the holders of Class A Common Stock were entitled to one vote for each share held on all matters submitted to a vote of common stockholders, whereas the holders of Class B Common Stock were entitled to ten votes for each share. Effective December 31, 2001, all Class B Common Stock automatically converted into Class A Common Stock on a one-for-one basis. During 2002, the Company's charter was amended to rename the Class A Common Stock as "Common Stock" and increase the number of authorized shares from 50,000,000 to 80,000,000.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Carriage has four stock option plans currently in effect under which future grants may be issued: the 1995 Stock Incentive Plan (the "1995 Plan"), the 1996 Stock Option Plan (the "1996 Plan"), the 1996 Directors' Stock Option Plan (the "Directors' Plan") and the 1998 Stock Option Plan for Consultants (the "Consultants' Plan"). Substantially all of the options granted under the four stock option plans have ten-year terms. The options generally vest over periods that range from two to four years.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Options under each of the plans at December 31, 2002 are as follows:</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rPr>
              <w:t>Available to</w:t>
            </w:r>
          </w:p>
        </w:tc>
      </w:tr>
      <w:tr>
        <w:trPr>
          <w:trHeight w:val="174"/>
        </w:trPr>
        <w:tc>
          <w:tcPr>
            <w:tcW w:w="454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4"/>
                <w:szCs w:val="14"/>
                <w:b w:val="1"/>
                <w:bCs w:val="1"/>
                <w:color w:val="auto"/>
              </w:rPr>
              <w:t>Reserved</w:t>
            </w:r>
          </w:p>
        </w:tc>
        <w:tc>
          <w:tcPr>
            <w:tcW w:w="240" w:type="dxa"/>
            <w:vAlign w:val="bottom"/>
          </w:tcPr>
          <w:p>
            <w:pPr>
              <w:spacing w:after="0"/>
              <w:rPr>
                <w:sz w:val="15"/>
                <w:szCs w:val="15"/>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Issue</w:t>
            </w:r>
          </w:p>
        </w:tc>
      </w:tr>
      <w:tr>
        <w:trPr>
          <w:trHeight w:val="105"/>
        </w:trPr>
        <w:tc>
          <w:tcPr>
            <w:tcW w:w="45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266"/>
        </w:trPr>
        <w:tc>
          <w:tcPr>
            <w:tcW w:w="4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4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1995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1996 Plan</w:t>
            </w: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Directors'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Consultants' Plan</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112"/>
        </w:trPr>
        <w:tc>
          <w:tcPr>
            <w:tcW w:w="45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105"/>
        </w:trPr>
        <w:tc>
          <w:tcPr>
            <w:tcW w:w="4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3"/>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105"/>
        </w:trPr>
        <w:tc>
          <w:tcPr>
            <w:tcW w:w="4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454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-1292225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-1292225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-1292225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-1292225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-1292225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-1292225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-340360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-340360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-340360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-340360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-340360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-340360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Each of the plans is administered by the Compensation Committee appointed by the Board of Directors. The plans allow for options to be granted as non-qualified options, incentive stock options, reload options, alternative appreciation rights and stock bonus options. As of December 31, 2001, only non-qualified options and incentive stock options have been issued. The options are granted with an exercise price equal to or greater than the then fair market value of Carriage's Common Stock as determined by the Board of Directors based on trading prices on the date of the option grant.</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summary of the status of the plans at December 31, 2001 and 2002 and changes during the years ended is presented in the table and narrative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2001</w:t>
            </w: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2002</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Wtd. Avg.</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Ex Price</w:t>
            </w: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Canceled</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9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114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6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-2096135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-2096135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-1847215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-1847215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-1847215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-1847215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-1504315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-1504315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-1504315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-1504315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-1504315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-1504315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-1504315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-1504315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-801370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-801370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-801370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-801370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-509905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-509905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-509905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-509905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-217805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-217805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-217805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-217805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in 2001 and 2002, respectively: risk-free interest rates of 4.77% and 4.27%; expected dividend yield of 0% for each year; expected termination rate of 5%; expected lives of five years; expected volatility of 61% and 54%.</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further describes the Company's outstanding stock options at December 31, 2002 (shares in thousands):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3"/>
          </w:tcPr>
          <w:p>
            <w:pPr>
              <w:ind w:left="560"/>
              <w:spacing w:after="0"/>
              <w:rPr>
                <w:sz w:val="20"/>
                <w:szCs w:val="20"/>
                <w:color w:val="auto"/>
              </w:rPr>
            </w:pPr>
            <w:r>
              <w:rPr>
                <w:rFonts w:ascii="Arial" w:cs="Arial" w:eastAsia="Arial" w:hAnsi="Arial"/>
                <w:sz w:val="14"/>
                <w:szCs w:val="14"/>
                <w:b w:val="1"/>
                <w:bCs w:val="1"/>
                <w:color w:val="auto"/>
              </w:rPr>
              <w:t>Options Exercisable</w:t>
            </w:r>
          </w:p>
        </w:tc>
      </w:tr>
      <w:tr>
        <w:trPr>
          <w:trHeight w:val="105"/>
        </w:trPr>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41"/>
        </w:trPr>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Actual Range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 Prices 150%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Remaining Contractual Life</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31"/>
        </w:trPr>
        <w:tc>
          <w:tcPr>
            <w:tcW w:w="17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increment</w:t>
            </w:r>
          </w:p>
        </w:tc>
        <w:tc>
          <w:tcPr>
            <w:tcW w:w="11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12/31/02</w:t>
            </w:r>
          </w:p>
        </w:tc>
        <w:tc>
          <w:tcPr>
            <w:tcW w:w="280" w:type="dxa"/>
            <w:vAlign w:val="bottom"/>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400" w:type="dxa"/>
            <w:vAlign w:val="bottom"/>
            <w:gridSpan w:val="2"/>
          </w:tcPr>
          <w:p>
            <w:pPr>
              <w:jc w:val="center"/>
              <w:ind w:left="212"/>
              <w:spacing w:after="0" w:line="131" w:lineRule="exact"/>
              <w:rPr>
                <w:sz w:val="20"/>
                <w:szCs w:val="20"/>
                <w:color w:val="auto"/>
              </w:rPr>
            </w:pPr>
            <w:r>
              <w:rPr>
                <w:rFonts w:ascii="Arial" w:cs="Arial" w:eastAsia="Arial" w:hAnsi="Arial"/>
                <w:sz w:val="14"/>
                <w:szCs w:val="14"/>
                <w:b w:val="1"/>
                <w:bCs w:val="1"/>
                <w:color w:val="auto"/>
                <w:w w:val="88"/>
              </w:rPr>
              <w:t>12/31/02</w:t>
            </w:r>
          </w:p>
        </w:tc>
        <w:tc>
          <w:tcPr>
            <w:tcW w:w="26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5"/>
              </w:rPr>
              <w:t>Exercise Price</w:t>
            </w:r>
          </w:p>
        </w:tc>
      </w:tr>
      <w:tr>
        <w:trPr>
          <w:trHeight w:val="129"/>
        </w:trPr>
        <w:tc>
          <w:tcPr>
            <w:tcW w:w="14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-451485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-451485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-451485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-451485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-14605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-14605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-14605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-14605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-108585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-108585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-108585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-108585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-14605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240" w:top="131" w:right="399" w:bottom="0" w:gutter="0" w:footer="0" w:header="0"/>
        </w:sectPr>
      </w:pPr>
    </w:p>
    <w:bookmarkStart w:id="41" w:name="page42"/>
    <w:bookmarkEnd w:id="41"/>
    <w:tbl>
      <w:tblPr>
        <w:tblLayout w:type="fixed"/>
        <w:tblInd w:w="1260" w:type="dxa"/>
        <w:tblCellMar>
          <w:top w:w="0" w:type="dxa"/>
          <w:left w:w="0" w:type="dxa"/>
          <w:bottom w:w="0" w:type="dxa"/>
          <w:right w:w="0" w:type="dxa"/>
        </w:tblCellMar>
      </w:tblP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$1.19-1.56</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877,000</w:t>
            </w:r>
          </w:p>
        </w:tc>
        <w:tc>
          <w:tcPr>
            <w:tcW w:w="1700" w:type="dxa"/>
            <w:vAlign w:val="bottom"/>
          </w:tcPr>
          <w:p>
            <w:pPr>
              <w:jc w:val="right"/>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796,750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$2.06-3.00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340,247</w:t>
            </w:r>
          </w:p>
        </w:tc>
        <w:tc>
          <w:tcPr>
            <w:tcW w:w="170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306,387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$3.12-4.56</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94,500</w:t>
            </w:r>
          </w:p>
        </w:tc>
        <w:tc>
          <w:tcPr>
            <w:tcW w:w="1700" w:type="dxa"/>
            <w:vAlign w:val="bottom"/>
          </w:tcPr>
          <w:p>
            <w:pPr>
              <w:jc w:val="right"/>
              <w:spacing w:after="0"/>
              <w:rPr>
                <w:sz w:val="20"/>
                <w:szCs w:val="20"/>
                <w:color w:val="auto"/>
              </w:rPr>
            </w:pPr>
            <w:r>
              <w:rPr>
                <w:rFonts w:ascii="Arial" w:cs="Arial" w:eastAsia="Arial" w:hAnsi="Arial"/>
                <w:sz w:val="18"/>
                <w:szCs w:val="18"/>
                <w:color w:val="auto"/>
              </w:rPr>
              <w:t>9.2</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37,000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$4.77-6.19</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324,750</w:t>
            </w:r>
          </w:p>
        </w:tc>
        <w:tc>
          <w:tcPr>
            <w:tcW w:w="1700" w:type="dxa"/>
            <w:vAlign w:val="bottom"/>
          </w:tcPr>
          <w:p>
            <w:pPr>
              <w:jc w:val="right"/>
              <w:spacing w:after="0"/>
              <w:rPr>
                <w:sz w:val="20"/>
                <w:szCs w:val="20"/>
                <w:color w:val="auto"/>
              </w:rPr>
            </w:pPr>
            <w:r>
              <w:rPr>
                <w:rFonts w:ascii="Arial" w:cs="Arial" w:eastAsia="Arial" w:hAnsi="Arial"/>
                <w:sz w:val="18"/>
                <w:szCs w:val="18"/>
                <w:color w:val="auto"/>
              </w:rPr>
              <w:t>8.9</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82,250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$7.56-11.00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10,800</w:t>
            </w: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9.43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9,787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$13.25-19.88</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118,268</w:t>
            </w: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15.40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103,966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22"/>
        </w:trPr>
        <w:tc>
          <w:tcPr>
            <w:tcW w:w="1440" w:type="dxa"/>
            <w:vAlign w:val="bottom"/>
          </w:tcPr>
          <w:p>
            <w:pPr>
              <w:jc w:val="right"/>
              <w:spacing w:after="0"/>
              <w:rPr>
                <w:sz w:val="20"/>
                <w:szCs w:val="20"/>
                <w:color w:val="auto"/>
              </w:rPr>
            </w:pPr>
            <w:r>
              <w:rPr>
                <w:rFonts w:ascii="Arial" w:cs="Arial" w:eastAsia="Arial" w:hAnsi="Arial"/>
                <w:sz w:val="18"/>
                <w:szCs w:val="18"/>
                <w:color w:val="auto"/>
              </w:rPr>
              <w:t>$21.00-27.50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16,475</w:t>
            </w: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21.70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16,350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w:t>
            </w:r>
          </w:p>
        </w:tc>
      </w:tr>
      <w:tr>
        <w:trPr>
          <w:trHeight w:val="120"/>
        </w:trPr>
        <w:tc>
          <w:tcPr>
            <w:tcW w:w="14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r>
        <w:trPr>
          <w:trHeight w:val="319"/>
        </w:trPr>
        <w:tc>
          <w:tcPr>
            <w:tcW w:w="1440" w:type="dxa"/>
            <w:vAlign w:val="bottom"/>
          </w:tcPr>
          <w:p>
            <w:pPr>
              <w:jc w:val="right"/>
              <w:spacing w:after="0"/>
              <w:rPr>
                <w:sz w:val="20"/>
                <w:szCs w:val="20"/>
                <w:color w:val="auto"/>
              </w:rPr>
            </w:pPr>
            <w:r>
              <w:rPr>
                <w:rFonts w:ascii="Arial" w:cs="Arial" w:eastAsia="Arial" w:hAnsi="Arial"/>
                <w:sz w:val="18"/>
                <w:szCs w:val="18"/>
                <w:color w:val="auto"/>
              </w:rPr>
              <w:t>$1.19-27.50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1,782,040</w:t>
            </w:r>
          </w:p>
        </w:tc>
        <w:tc>
          <w:tcPr>
            <w:tcW w:w="1700" w:type="dxa"/>
            <w:vAlign w:val="bottom"/>
          </w:tcPr>
          <w:p>
            <w:pPr>
              <w:jc w:val="right"/>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1,352,490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-216535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-216535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-216535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-216535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-216535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-216535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-216535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-216535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-216535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-216535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-216535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-216535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Beginning in 1998, Carriage provided all employees the opportunity to purchase Common Stock through payroll deductions. Purchases are made quarterly; the price being 85% of the lower of the price on the grant date or the purchase date. During 2001, employees purchased a total of 260,634 shares at a weighted average price of $1.32 per share. In 2002, employees purchased a total of 107,870 shares at a weighted average price of $3.43 per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Disclosures for Stock-Based Compensation</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Company accounts for stock-based compensation under APB Opinion No. 25, under which no compensation cost has been recognized. Had compensation cost for these plans been determined consistent with SFAS No. 123, "Accounting for Stock-Based Compensation", net income and income per share would have been the following pro forma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8"/>
          </w:tcPr>
          <w:p>
            <w:pPr>
              <w:jc w:val="center"/>
              <w:ind w:left="439"/>
              <w:spacing w:after="0"/>
              <w:rPr>
                <w:sz w:val="20"/>
                <w:szCs w:val="20"/>
                <w:color w:val="auto"/>
              </w:rPr>
            </w:pPr>
            <w:r>
              <w:rPr>
                <w:rFonts w:ascii="Arial" w:cs="Arial" w:eastAsia="Arial" w:hAnsi="Arial"/>
                <w:sz w:val="14"/>
                <w:szCs w:val="14"/>
                <w:b w:val="1"/>
                <w:bCs w:val="1"/>
                <w:color w:val="auto"/>
                <w:w w:val="85"/>
              </w:rPr>
              <w:t>Year ended December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6"/>
          </w:tcPr>
          <w:p>
            <w:pPr>
              <w:jc w:val="center"/>
              <w:ind w:left="739"/>
              <w:spacing w:after="0"/>
              <w:rPr>
                <w:sz w:val="20"/>
                <w:szCs w:val="20"/>
                <w:color w:val="auto"/>
              </w:rPr>
            </w:pPr>
            <w:r>
              <w:rPr>
                <w:rFonts w:ascii="Arial" w:cs="Arial" w:eastAsia="Arial" w:hAnsi="Arial"/>
                <w:sz w:val="14"/>
                <w:szCs w:val="14"/>
                <w:b w:val="1"/>
                <w:bCs w:val="1"/>
                <w:color w:val="auto"/>
                <w:w w:val="84"/>
              </w:rPr>
              <w:t>(in thousands, except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per share data)</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(132,077)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 per share available to common stockholders: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-2134235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-2134235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-1885950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-1885950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-1885950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-1885950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-1885950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-1885950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Price Guarantees</w:t>
      </w:r>
    </w:p>
    <w:p>
      <w:pPr>
        <w:spacing w:after="0" w:line="225"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As part of the purchase price consideration in the acquisition of certain funeral homes and cemeteries, the Company issued shares of Common Stock and guaranteed the stock would trade at certain agreed-upon levels during defined future periods ranging from one to three years. Should the stock not trade at these levels, then the Company would makeup the difference by issuing additional shares or paying the seller additional cash during the years 2000 through 2002. The present value of these price guarantees has been recorded as part of the purchase price of these acquisitions. During the three-year period 2000, 2001 and 2002, the Company paid $3,297,000, $4,935,000 and $5,286,000, respectively, in satisfaction of the guarantee obligations that matured in those years. There are no remaining obligations outstanding under these arrangements at December 31,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STOCK</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Carriage had 20,000,000 authorized shares of Series D Preferred Stock with a par value of $.01 per share, of which 1,182,500 shares were issued and outstanding at December 31, 2000. During 2001, Carriage redeemed 1,000,000 shares at $1.00 per share in an exchange and divestiture of business assets with the holder of those shares. The holders of Series D Preferred Stock received preferential dividends at an annual rate ranging from $0.06 to $0.07 per share, payable quarterly, during the period that the stock was outstanding. Effective December 31, 2001, Carriage redeemed the remaining 182,250 shares then outstanding at a redemption price of $1.00 per share, together with all accrued and unpaid dividends.</w:t>
      </w:r>
    </w:p>
    <w:p>
      <w:pPr>
        <w:spacing w:after="0" w:line="17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During 2002, the Company's charter was amended to reduce the total number of authorized shares of preferred stock (all Series) from 70,000,000 to 40,000,000. No preferred stock was outstanding at December 31,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Two of the Company's directors are prior owners of previously unrelated businesses that Carriage acquired in 1997. As an incentive, the Company entered into arrangements with the directors to pay them 10% of the amount by which the annual field level cash flow exceeds predetermined targets on certain businesses in their respective geographic region through 2008, then a multiple of six times the average of the last three years payments. The business purpose of the arrangements was to incentivise the directors to provide Carriage with high quality acquisition targets and to participate in the management of those</w:t>
      </w:r>
    </w:p>
    <w:p>
      <w:pPr>
        <w:sectPr>
          <w:pgSz w:w="11900" w:h="16838" w:orient="portrait"/>
          <w:cols w:equalWidth="0" w:num="1">
            <w:col w:w="11420"/>
          </w:cols>
          <w:pgMar w:left="240" w:top="158" w:right="239" w:bottom="0" w:gutter="0" w:footer="0" w:header="0"/>
        </w:sectPr>
      </w:pPr>
    </w:p>
    <w:bookmarkStart w:id="42" w:name="page43"/>
    <w:bookmarkEnd w:id="42"/>
    <w:p>
      <w:pPr>
        <w:ind w:right="380"/>
        <w:spacing w:after="0" w:line="332" w:lineRule="auto"/>
        <w:rPr>
          <w:sz w:val="20"/>
          <w:szCs w:val="20"/>
          <w:color w:val="auto"/>
        </w:rPr>
      </w:pPr>
      <w:r>
        <w:rPr>
          <w:rFonts w:ascii="Arial" w:cs="Arial" w:eastAsia="Arial" w:hAnsi="Arial"/>
          <w:sz w:val="16"/>
          <w:szCs w:val="16"/>
          <w:color w:val="auto"/>
        </w:rPr>
        <w:t>businesses so that cash flows grow over time. The terms were determined by reference to similar arrangements within the death care industry. The incentives earned by the two directors totaled $117,000, $135,000 and $120,000 for the years 2000, 2001 and 2002, respectively.</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1997 acquisition of two funeral homes from a group of individuals, one of which is one of the directors referred to in the preceding paragraph, a portion of the purchase price of each of those funeral homes was to be payable based on a formula related to the annual field level cash flows subsequent to the year of acquisition. The business purpose was to determine the final purchase prices of the acquisitions since both were expected to show strong growth in cash flow. The terms were negotiated by the sellers, one of which later was appointed to director of Carriage. The contingent purchase price payments paid to the director totaled $524,107 and $47,673 during the years 2000 and 2001, respectively. The final contingent purchase price payments totaled $1,040,442, of which $572,243 was paid to the director in March 2002.</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rents office space, at an annual rate of $19,000 per year through 2005, from an entity in which one of the Company's directors has a financial interest. The terms were determined by reference to rentals of similar office space in the area.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the basic and diluted earnings per share for 2000, 2001 and 2002: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4"/>
              </w:rPr>
              <w:t>(in thousands, except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Net income (loss) before cumulative effect on prior years of the change in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accounting principle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(93,003)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9,002</w:t>
            </w:r>
          </w:p>
        </w:tc>
        <w:tc>
          <w:tcPr>
            <w:tcW w:w="1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effect on prior years of the change in accounting principle</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(131,996)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40" w:type="dxa"/>
            <w:vAlign w:val="bottom"/>
            <w:vMerge w:val="restart"/>
          </w:tcPr>
          <w:p>
            <w:pPr>
              <w:ind w:left="180"/>
              <w:spacing w:after="0"/>
              <w:rPr>
                <w:sz w:val="20"/>
                <w:szCs w:val="20"/>
                <w:color w:val="auto"/>
              </w:rPr>
            </w:pPr>
            <w:r>
              <w:rPr>
                <w:rFonts w:ascii="Arial" w:cs="Arial" w:eastAsia="Arial" w:hAnsi="Arial"/>
                <w:sz w:val="18"/>
                <w:szCs w:val="18"/>
                <w:color w:val="auto"/>
                <w:w w:val="98"/>
              </w:rPr>
              <w:t>Numerator for basic earnings (loss) per share — net income (loss) available to</w:t>
            </w: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(132,077)</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8,965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Preferred stock dividends</w:t>
            </w:r>
          </w:p>
        </w:tc>
        <w:tc>
          <w:tcPr>
            <w:tcW w:w="280" w:type="dxa"/>
            <w:vAlign w:val="bottom"/>
          </w:tcPr>
          <w:p>
            <w:pPr>
              <w:spacing w:after="0"/>
              <w:rPr>
                <w:sz w:val="20"/>
                <w:szCs w:val="20"/>
                <w:color w:val="auto"/>
              </w:rPr>
            </w:pP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Numerator for diluted earnings (loss) per share—net income (loss) available to</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after assumed conversions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(132,077)</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105"/>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60" w:type="dxa"/>
            <w:vAlign w:val="bottom"/>
            <w:gridSpan w:val="2"/>
            <w:vMerge w:val="continu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for basic earnings (loss) per share—weighted average shares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D convertible preferred stock</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0"/>
                <w:szCs w:val="20"/>
                <w:color w:val="auto"/>
              </w:rPr>
            </w:pP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Denominator for diluted earnings (loss) per share—adjusted weighted average shares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assumed conversions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0" w:type="dxa"/>
            <w:vAlign w:val="bottom"/>
          </w:tcPr>
          <w:p>
            <w:pPr>
              <w:spacing w:after="0"/>
              <w:rPr>
                <w:sz w:val="1"/>
                <w:szCs w:val="1"/>
                <w:color w:val="auto"/>
              </w:rPr>
            </w:pPr>
          </w:p>
        </w:tc>
      </w:tr>
      <w:tr>
        <w:trPr>
          <w:trHeight w:val="118"/>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before cumulative effect on prior years of the change in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Cumulative effect on prior years of the change in accounting principle</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5"/>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60" w:type="dxa"/>
            <w:vAlign w:val="bottom"/>
            <w:gridSpan w:val="2"/>
            <w:vMerge w:val="continu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before cumulative effect on prior years of the change in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Cumulative effect on prior years of the change in accounting principle</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-6154420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-6154420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-6154420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-6154420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-6154420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-6154420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-5091430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-5091430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-5091430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-5091430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-5091430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-5091430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-4627880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-4627880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-4627880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-4627880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-4627880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-4627880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-3890645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-3890645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-3890645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-3890645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-3890645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-3890645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-2535555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-2535555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-2535555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-2535555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-2535555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-2106930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-2106930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-2106930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-2106930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-2106930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-2106930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-1386205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-1386205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-1386205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-1386205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-1386205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-1386205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-340360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-340360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-340360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-340360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-340360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-340360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Common stock equivalents are excluded in the calculation of weighted average shares outstanding when a company reports a net loss for a period. The number of potentially antidilutive shares excluded from the calculation of fully diluted earnings per share was 0.8 million for the year ended December 31, 2000, because of the net loss for the year.</w:t>
      </w:r>
    </w:p>
    <w:p>
      <w:pPr>
        <w:sectPr>
          <w:pgSz w:w="11900" w:h="16838" w:orient="portrait"/>
          <w:cols w:equalWidth="0" w:num="1">
            <w:col w:w="11400"/>
          </w:cols>
          <w:pgMar w:left="240" w:top="131" w:right="259" w:bottom="117"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17" w:gutter="0" w:footer="0" w:header="0"/>
          <w:type w:val="continuous"/>
        </w:sectPr>
      </w:pPr>
    </w:p>
    <w:bookmarkStart w:id="43" w:name="page44"/>
    <w:bookmarkEnd w:id="43"/>
    <w:p>
      <w:pPr>
        <w:ind w:right="420" w:firstLine="351"/>
        <w:spacing w:after="0" w:line="332" w:lineRule="auto"/>
        <w:rPr>
          <w:sz w:val="20"/>
          <w:szCs w:val="20"/>
          <w:color w:val="auto"/>
        </w:rPr>
      </w:pPr>
      <w:r>
        <w:rPr>
          <w:rFonts w:ascii="Arial" w:cs="Arial" w:eastAsia="Arial" w:hAnsi="Arial"/>
          <w:sz w:val="16"/>
          <w:szCs w:val="16"/>
          <w:color w:val="auto"/>
        </w:rPr>
        <w:t>Options to purchase 0.2 million shares and 0.4 million shares were not included in the computation of diluted earnings per share for 2001 and 2002, respectively, because the exercise prices of the options were greater than the average market price of the common shares during those periods.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SEGMENTS OF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Carriage conducts funeral and cemetery operations only in the United States.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Funeral</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Cemetery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20" w:type="dxa"/>
            <w:vAlign w:val="bottom"/>
            <w:gridSpan w:val="10"/>
          </w:tcPr>
          <w:p>
            <w:pPr>
              <w:jc w:val="right"/>
              <w:ind w:right="80"/>
              <w:spacing w:after="0"/>
              <w:rPr>
                <w:sz w:val="20"/>
                <w:szCs w:val="20"/>
                <w:color w:val="auto"/>
              </w:rPr>
            </w:pPr>
            <w:r>
              <w:rPr>
                <w:rFonts w:ascii="Arial" w:cs="Arial" w:eastAsia="Arial" w:hAnsi="Arial"/>
                <w:sz w:val="14"/>
                <w:szCs w:val="14"/>
                <w:b w:val="1"/>
                <w:bCs w:val="1"/>
                <w:color w:val="auto"/>
                <w:w w:val="85"/>
              </w:rPr>
              <w:t>(in thousands, except number of operating locations)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revenues: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119,299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34,877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154,176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124,284</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162,493</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127,261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Profit (loss) before cumulative effect of the change in accounting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principle: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23,480</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(9,654)</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Less-special and other charges, net of tax(a)</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14,984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(17,152)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Less-special and other charges, net of tax(a)</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(93,003)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525,645</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163,750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14,359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703,754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533,494</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699,902</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550,044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6,960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709,051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6,043</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2,219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11,108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3,844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4,449</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operating locations at year end: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financing costs: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1,274</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18,233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20,344</w:t>
            </w:r>
          </w:p>
        </w:tc>
        <w:tc>
          <w:tcPr>
            <w:tcW w:w="0" w:type="dxa"/>
            <w:vAlign w:val="bottom"/>
          </w:tcPr>
          <w:p>
            <w:pPr>
              <w:spacing w:after="0"/>
              <w:rPr>
                <w:sz w:val="1"/>
                <w:szCs w:val="1"/>
                <w:color w:val="auto"/>
              </w:rPr>
            </w:pPr>
          </w:p>
        </w:tc>
      </w:tr>
      <w:tr>
        <w:trPr>
          <w:trHeight w:val="241"/>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18,934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34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9,284</w:t>
            </w:r>
          </w:p>
        </w:tc>
        <w:tc>
          <w:tcPr>
            <w:tcW w:w="4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(19,747)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Less-tax benefits on special charges (a)</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42"/>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Less-tax benefits on special charges (a)</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-7140575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-7140575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-7140575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-7140575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-7140575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-7140575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-7140575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-7140575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-5554345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-5554345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-4799330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-4799330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-1060450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-1060450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-306070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-306070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3640" w:hanging="5612"/>
        <w:spacing w:after="0" w:line="519" w:lineRule="auto"/>
        <w:tabs>
          <w:tab w:leader="none" w:pos="5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substantial portion of the special and other charges relates to the funeral segment of the business.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tables below set forth consolidated operating results by fiscal quarter for the years ended December 31, 2001 and 2002, in thousands, except earnings per share.</w:t>
      </w:r>
    </w:p>
    <w:p>
      <w:pPr>
        <w:sectPr>
          <w:pgSz w:w="11900" w:h="16838" w:orient="portrait"/>
          <w:cols w:equalWidth="0" w:num="1">
            <w:col w:w="11160"/>
          </w:cols>
          <w:pgMar w:left="240" w:top="590" w:right="499" w:bottom="0" w:gutter="0" w:footer="0" w:header="0"/>
        </w:sectPr>
      </w:pPr>
    </w:p>
    <w:bookmarkStart w:id="44" w:name="page45"/>
    <w:bookmarkEnd w:id="44"/>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Revenues, net</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43,880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12,116</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Preferred stock dividend requirements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Net income available to common stockholders</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Basic earnings per common share</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Second Quarter:</w:t>
            </w: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Revenues, net</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41,021</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9,762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stock dividend requirements</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w w:val="93"/>
              </w:rPr>
              <w:t>Net income available to common stockholders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w:t>
            </w:r>
          </w:p>
        </w:tc>
        <w:tc>
          <w:tcPr>
            <w:tcW w:w="2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Revenues, net</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37,669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8,240</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Preferred stock dividend requirements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Net income available to common stockholders</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Basic earnings per common share</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Revenues, net</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39,923</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10,177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stock dividend requirements</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w w:val="93"/>
              </w:rPr>
              <w:t>Net income available to common stockholders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60" w:type="dxa"/>
            <w:vAlign w:val="bottom"/>
          </w:tcPr>
          <w:p>
            <w:pPr>
              <w:jc w:val="right"/>
              <w:ind w:right="1592"/>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-5070475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-5070475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-5070475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-5070475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FINANCIAL STATEMENT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audited in accordance with auditing standards generally accepted in the United States of America, the consolidated financial statements of Carriage Services, Inc. and subsidiaries included in this Form 10-K, and have issued our report thereon dated February 20, 2003. Our audit for the year ended December 31, 2002, was made for the purpose of forming an opinion on the basic financial statements taken as a whole. The schedule listed in Part IV, Item 14 (a)(2) for Carriage Services, Inc. and subsidiaries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FINANCIAL STATEMENT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audited in accordance with generally accepted auditing standards, the consolidated financial statements of Carriage Services, Inc. and subsidiaries included in this Form 10-K, and have issued our report thereon dated March 10, 2002. Our audit was made for the purpose of forming an opinion on the basic financial statements taken as a whole. The schedule listed in Part IV, Item 14 (a)(2) for Carriage Services, Inc. and subsidiaries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LLP</w:t>
      </w:r>
    </w:p>
    <w:p>
      <w:pPr>
        <w:sectPr>
          <w:pgSz w:w="11900" w:h="16838" w:orient="portrait"/>
          <w:cols w:equalWidth="0" w:num="1">
            <w:col w:w="11420"/>
          </w:cols>
          <w:pgMar w:left="240" w:top="127" w:right="239" w:bottom="67"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2002</w:t>
      </w:r>
    </w:p>
    <w:p>
      <w:pPr>
        <w:spacing w:after="0" w:line="232"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report is a copy of previously issued report (see Page 65 of Carriage Services, Inc.'s Annual Report for December 31, 2001 on Form 10-K).</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predecessor auditor has not reissued this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Charged to</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6"/>
              </w:rPr>
              <w:t>Beginning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Costs and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w w:val="95"/>
              </w:rPr>
              <w:t>Balance End</w:t>
            </w:r>
          </w:p>
        </w:tc>
        <w:tc>
          <w:tcPr>
            <w:tcW w:w="0" w:type="dxa"/>
            <w:vAlign w:val="bottom"/>
          </w:tcPr>
          <w:p>
            <w:pPr>
              <w:spacing w:after="0"/>
              <w:rPr>
                <w:sz w:val="1"/>
                <w:szCs w:val="1"/>
                <w:color w:val="auto"/>
              </w:rPr>
            </w:pP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75"/>
              <w:spacing w:after="0"/>
              <w:rPr>
                <w:sz w:val="20"/>
                <w:szCs w:val="20"/>
                <w:color w:val="auto"/>
              </w:rPr>
            </w:pPr>
            <w:r>
              <w:rPr>
                <w:rFonts w:ascii="Arial" w:cs="Arial" w:eastAsia="Arial" w:hAnsi="Arial"/>
                <w:sz w:val="14"/>
                <w:szCs w:val="14"/>
                <w:b w:val="1"/>
                <w:bCs w:val="1"/>
                <w:color w:val="auto"/>
              </w:rPr>
              <w:t>of year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Reserves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Expenses</w:t>
            </w:r>
          </w:p>
        </w:tc>
        <w:tc>
          <w:tcPr>
            <w:tcW w:w="180" w:type="dxa"/>
            <w:vAlign w:val="bottom"/>
          </w:tcPr>
          <w:p>
            <w:pPr>
              <w:spacing w:after="0"/>
              <w:rPr>
                <w:sz w:val="15"/>
                <w:szCs w:val="15"/>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w w:val="94"/>
              </w:rPr>
              <w:t>Divestitures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Deduction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Allowance for bad debts and contract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cancellations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6,058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reserves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Environmental remediation reserves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severance accruals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89"/>
              </w:rPr>
              <w:t>Office closing and other Fresh Start accruals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Allowance for bad debts and contract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cancellations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reserves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Environmental remediation reserves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severance accruals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89"/>
              </w:rPr>
              <w:t>Office closing and other Fresh Start accruals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Allowance for bad debts and contract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cancellations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reserves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Environmental remediation reserves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severance accruals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89"/>
              </w:rPr>
              <w:t>Office closing and other Fresh Start accruals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2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-3907790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-3907790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-3907790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-3907790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-3907790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-3907790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-3907790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-3907790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-3907790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-3907790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-3907790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-3907790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-3907790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ind w:right="3940"/>
        <w:spacing w:after="0" w:line="281" w:lineRule="auto"/>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CARRIAGE SERVICES, INC. INDEX TO CONSOLIDATED FINANCIAL STATEMENTS</w:t>
        </w:r>
      </w:hyperlink>
      <w:r>
        <w:rPr>
          <w:rFonts w:ascii="Arial" w:cs="Arial" w:eastAsia="Arial" w:hAnsi="Arial"/>
          <w:sz w:val="16"/>
          <w:szCs w:val="16"/>
          <w:u w:val="single" w:color="auto"/>
          <w:color w:val="0000EE"/>
        </w:rPr>
        <w:t xml:space="preserve"> </w:t>
      </w:r>
      <w:hyperlink w:anchor="page27">
        <w:r>
          <w:rPr>
            <w:rFonts w:ascii="Arial" w:cs="Arial" w:eastAsia="Arial" w:hAnsi="Arial"/>
            <w:sz w:val="16"/>
            <w:szCs w:val="16"/>
            <w:u w:val="single" w:color="auto"/>
            <w:color w:val="0000EE"/>
          </w:rPr>
          <w:t>CARRIAGE SERVICES, INC. CONSOLIDATED BALANCE SHEETS (in thousands, except share data)</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CARRIAGE SERVICES, INC. CONSOLIDATED STATEMENTS OF OPERATIONS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CARRIAGE SERVICES, INC. CONSOLIDATED STATEMENTS OF COMPREHENSIVE INCOME (LOSS)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CARRIAGE SERVICES, INC. CONSOLIDATED STATEMENTS OF CHANGES IN STOCKHOLDERS' EQUITY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CARRIAGE SERVICES,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CARRIAGE SERVICES, INC. SCHEDULE II—VALUATION AND QUALIFYING ACCOUNTS (in thousands)</w:t>
        </w:r>
      </w:hyperlink>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and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1998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9,570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17,116</w:t>
            </w:r>
          </w:p>
        </w:tc>
        <w:tc>
          <w:tcPr>
            <w:tcW w:w="2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19,679</w:t>
            </w:r>
          </w:p>
        </w:tc>
        <w:tc>
          <w:tcPr>
            <w:tcW w:w="2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19,450</w:t>
            </w:r>
          </w:p>
        </w:tc>
        <w:tc>
          <w:tcPr>
            <w:tcW w:w="22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capitalized expenses related to debt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Rental expense factor</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fixed charges before capitalized interest and preferred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 plus preferred dividends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118"/>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Earnings (loss) available for fixed charges:</w:t>
            </w: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Earnings (loss) before income taxes and cumulative effect of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(101,035)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Add fixed charges before capitalized interest and preferred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color w:val="auto"/>
              </w:rPr>
              <w:t>stock dividends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(loss) available for fixed charges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80" w:type="dxa"/>
            <w:vAlign w:val="bottom"/>
            <w:gridSpan w:val="3"/>
          </w:tcPr>
          <w:p>
            <w:pPr>
              <w:spacing w:after="0"/>
              <w:rPr>
                <w:sz w:val="20"/>
                <w:szCs w:val="20"/>
                <w:color w:val="auto"/>
              </w:rPr>
            </w:pPr>
            <w:r>
              <w:rPr>
                <w:rFonts w:ascii="Arial" w:cs="Arial" w:eastAsia="Arial" w:hAnsi="Arial"/>
                <w:sz w:val="18"/>
                <w:szCs w:val="18"/>
                <w:color w:val="auto"/>
              </w:rPr>
              <w:t>Ratio of earnings (loss) to fixed charges (1)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(loss) to fixed charges plus dividends (1)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-4010660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-4010660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-4010660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-4010660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-4010660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-4010660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-4010660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-4010660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-4010660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-4010660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-3255645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-3255645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-3255645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-3255645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-3255645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-3255645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-3255645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-3255645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-3255645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-3255645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-2689860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-2689860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-2689860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-2689860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-2689860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-2689860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-2689860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-2689860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-2689860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-2689860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-2244090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-2244090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-2244090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-2244090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-2244090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-2244090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-2244090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-2244090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-2244090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-2244090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-1935480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-1935480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-1935480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-1935480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-1935480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-1935480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-1935480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-1935480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-1935480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-1935480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-1094740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-1094740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-1094740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-1094740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-1094740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-1094740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-1094740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-1094740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-1094740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-1094740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80" w:hanging="532"/>
        <w:spacing w:after="0" w:line="298"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purposes of computing the ratios of earnings to fixed charges and earnings to fixed charges plus dividends: (i) earnings consist of income before provision for income taxes plus fixed charges (excluding capitalized interest) and (ii) "fixed charges" consist of interest expensed and capitalized, amortization of debt discount and expense relating to indebtedness and the portion of rental expense representative of the interest factor attributable to leases for rental property. There were no dividends paid or accrued on the Company's Common Stock during the periods presented above.</w:t>
      </w:r>
    </w:p>
    <w:p>
      <w:pPr>
        <w:spacing w:after="0" w:line="194"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were inadequate to cover fixed charges. The coverage deficiency was $101,893 for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12</w:t>
        </w:r>
      </w:hyperlink>
    </w:p>
    <w:p>
      <w:pPr>
        <w:sectPr>
          <w:pgSz w:w="11900" w:h="16838" w:orient="portrait"/>
          <w:cols w:equalWidth="0" w:num="1">
            <w:col w:w="11380"/>
          </w:cols>
          <w:pgMar w:left="240" w:top="361" w:right="279" w:bottom="1440" w:gutter="0" w:footer="0" w:header="0"/>
        </w:sectPr>
      </w:pPr>
    </w:p>
    <w:bookmarkStart w:id="47" w:name="page48"/>
    <w:bookmarkEnd w:id="47"/>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DECEMBER 31,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Arial" w:cs="Arial" w:eastAsia="Arial" w:hAnsi="Arial"/>
                <w:sz w:val="14"/>
                <w:szCs w:val="14"/>
                <w:b w:val="1"/>
                <w:bCs w:val="1"/>
                <w:color w:val="auto"/>
              </w:rPr>
              <w:t>JURISDICTION OF</w:t>
            </w:r>
          </w:p>
        </w:tc>
        <w:tc>
          <w:tcPr>
            <w:tcW w:w="1880" w:type="dxa"/>
            <w:vAlign w:val="bottom"/>
          </w:tcPr>
          <w:p>
            <w:pPr>
              <w:spacing w:after="0"/>
              <w:rPr>
                <w:sz w:val="14"/>
                <w:szCs w:val="14"/>
                <w:color w:val="auto"/>
              </w:rPr>
            </w:pPr>
          </w:p>
        </w:tc>
      </w:tr>
      <w:tr>
        <w:trPr>
          <w:trHeight w:val="174"/>
        </w:trPr>
        <w:tc>
          <w:tcPr>
            <w:tcW w:w="19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INCORPORATION</w:t>
            </w:r>
          </w:p>
        </w:tc>
        <w:tc>
          <w:tcPr>
            <w:tcW w:w="1880" w:type="dxa"/>
            <w:vAlign w:val="bottom"/>
          </w:tcPr>
          <w:p>
            <w:pPr>
              <w:spacing w:after="0"/>
              <w:rPr>
                <w:sz w:val="15"/>
                <w:szCs w:val="15"/>
                <w:color w:val="auto"/>
              </w:rPr>
            </w:pPr>
          </w:p>
        </w:tc>
      </w:tr>
      <w:tr>
        <w:trPr>
          <w:trHeight w:val="105"/>
        </w:trPr>
        <w:tc>
          <w:tcPr>
            <w:tcW w:w="190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r>
      <w:tr>
        <w:trPr>
          <w:trHeight w:val="313"/>
        </w:trPr>
        <w:tc>
          <w:tcPr>
            <w:tcW w:w="19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Holdings,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24"/>
                <w:szCs w:val="24"/>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CFS Funeral Services,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Holding Company,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Michigan,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Michigan</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Kentucky,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Kentucky</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California,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Idaho,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Wilson &amp; Kratzer Mortuaries</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Rolling Hills Memorial Park</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Services of Connecticut,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Connecticut</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CSI Funeral Services of Massachusetts,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Massachusetts</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CHC Insurance Agency of Ohio,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Ohio</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Barnett, Demrow &amp; Ernst,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Kentucky</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Services of New Mexico,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New Mexico</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Forastiere Family Funeral Services,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Massachusetts</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Cemetery Services,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Texas</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Oklahoma,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Oklahoma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Funeral Services of Nevada,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Nevada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Hubbard Funeral Home,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Maryland</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Services Capital Trust</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Team California (Cemetery),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Team California (Funeral),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Team Florida (Cemetery),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Team Florida (Funeral),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Services of Ohio,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Team Kansas,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Municipal Cemetery Services of Nevada,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Nevada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Cemetery Services of California,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Insurance Agency of Massachusetts,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Massachusetts</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Internet Strategies,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Investments,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Management, L.P.</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Texas</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Cochrane's Chapel of the Roses,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Horizon Cremation Society,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Life Events,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Wallis-Wilbanks Funeral Home, LLC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Georgia</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Merger I,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Merger II,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Merger III,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8"/>
                <w:szCs w:val="18"/>
                <w:color w:val="auto"/>
              </w:rPr>
            </w:pPr>
          </w:p>
        </w:tc>
      </w:tr>
      <w:tr>
        <w:trPr>
          <w:trHeight w:val="222"/>
        </w:trPr>
        <w:tc>
          <w:tcPr>
            <w:tcW w:w="19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Carriage Merger IV, Inc.</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80" w:type="dxa"/>
            <w:vAlign w:val="bottom"/>
          </w:tcPr>
          <w:p>
            <w:pPr>
              <w:spacing w:after="0"/>
              <w:rPr>
                <w:sz w:val="19"/>
                <w:szCs w:val="19"/>
                <w:color w:val="auto"/>
              </w:rPr>
            </w:pPr>
          </w:p>
        </w:tc>
      </w:tr>
      <w:tr>
        <w:trPr>
          <w:trHeight w:val="120"/>
        </w:trPr>
        <w:tc>
          <w:tcPr>
            <w:tcW w:w="190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-5657215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-5657215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-5657215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-5657215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 21.1</w:t>
        </w:r>
      </w:hyperlink>
    </w:p>
    <w:p>
      <w:pPr>
        <w:sectPr>
          <w:pgSz w:w="11900" w:h="16838" w:orient="portrait"/>
          <w:cols w:equalWidth="0" w:num="1">
            <w:col w:w="11420"/>
          </w:cols>
          <w:pgMar w:left="240" w:top="361" w:right="239" w:bottom="1440" w:gutter="0" w:footer="0" w:header="0"/>
        </w:sectPr>
      </w:pPr>
    </w:p>
    <w:bookmarkStart w:id="48" w:name="page49"/>
    <w:bookmarkEnd w:id="48"/>
    <w:p>
      <w:pPr>
        <w:spacing w:after="0"/>
        <w:rPr>
          <w:rFonts w:ascii="Arial" w:cs="Arial" w:eastAsia="Arial" w:hAnsi="Arial"/>
          <w:sz w:val="22"/>
          <w:szCs w:val="22"/>
          <w:color w:val="0000EE"/>
        </w:rPr>
      </w:pPr>
      <w:hyperlink w:anchor="page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PUBLIC ACCOUNTANTS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21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consent to the incorporation by reference in the previously filed registration statements (No. 333-11435, 333-49053 and 333-62593) on Form S-8 and in the registration statement (No. 333-71902) on Form S-3 of Carriage Services, Inc. (the Company) of our reports dated February 20, 2003, with respect to the consolidated balance sheet of the Company as of December 31, 2002, and the related consolidated statements of operations, comprehensive income (loss), stockholders' equity, and cash flows, and the related financial statement schedule for the year ended December 31, 2002, which reports appear in the December 31, 2002, annual report on Form 10-K of the Company. Our report refers to a change in the method of accounting for goodwill and reporting assets held for sale in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23.1</w:t>
        </w:r>
      </w:hyperlink>
    </w:p>
    <w:p>
      <w:pPr>
        <w:sectPr>
          <w:pgSz w:w="11900" w:h="16838" w:orient="portrait"/>
          <w:cols w:equalWidth="0" w:num="1">
            <w:col w:w="11380"/>
          </w:cols>
          <w:pgMar w:left="240" w:top="361" w:right="279" w:bottom="1440" w:gutter="0" w:footer="0" w:header="0"/>
        </w:sectPr>
      </w:pPr>
    </w:p>
    <w:bookmarkStart w:id="49" w:name="page50"/>
    <w:bookmarkEnd w:id="49"/>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99.1</w:t>
      </w:r>
    </w:p>
    <w:p>
      <w:pPr>
        <w:spacing w:after="0" w:line="254" w:lineRule="exact"/>
        <w:rPr>
          <w:sz w:val="20"/>
          <w:szCs w:val="20"/>
          <w:color w:val="auto"/>
        </w:rPr>
      </w:pPr>
    </w:p>
    <w:p>
      <w:pPr>
        <w:ind w:right="160" w:firstLine="395"/>
        <w:spacing w:after="0" w:line="306" w:lineRule="auto"/>
        <w:rPr>
          <w:sz w:val="20"/>
          <w:szCs w:val="20"/>
          <w:color w:val="auto"/>
        </w:rPr>
      </w:pPr>
      <w:r>
        <w:rPr>
          <w:rFonts w:ascii="Arial" w:cs="Arial" w:eastAsia="Arial" w:hAnsi="Arial"/>
          <w:sz w:val="16"/>
          <w:szCs w:val="16"/>
          <w:color w:val="auto"/>
        </w:rPr>
        <w:t>I, Melvin C. Payne, certify, to the best of my knowledge, that: the attached Annual Report on Form 10-K of Carriage Services, Inc. for the year ended December 31, 2002 ("Form 10-K") fully complies with the requirements of Section 13(a) or 15(d) of the Securities Exchange Act of 1934, as amended; and the information contained in the Form 10-K fairly presents, in all material respects, the financial condition and results of operations of Carriage Services,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Chairman of the Board,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 99.1</w:t>
        </w:r>
      </w:hyperlink>
    </w:p>
    <w:p>
      <w:pPr>
        <w:sectPr>
          <w:pgSz w:w="11900" w:h="16838" w:orient="portrait"/>
          <w:cols w:equalWidth="0" w:num="1">
            <w:col w:w="11380"/>
          </w:cols>
          <w:pgMar w:left="240" w:top="361" w:right="279" w:bottom="1440" w:gutter="0" w:footer="0" w:header="0"/>
        </w:sectPr>
      </w:pPr>
    </w:p>
    <w:bookmarkStart w:id="50" w:name="page51"/>
    <w:bookmarkEnd w:id="50"/>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99.2</w:t>
      </w:r>
    </w:p>
    <w:p>
      <w:pPr>
        <w:spacing w:after="0" w:line="254" w:lineRule="exact"/>
        <w:rPr>
          <w:sz w:val="20"/>
          <w:szCs w:val="20"/>
          <w:color w:val="auto"/>
        </w:rPr>
      </w:pPr>
    </w:p>
    <w:p>
      <w:pPr>
        <w:ind w:right="160" w:firstLine="395"/>
        <w:spacing w:after="0" w:line="306" w:lineRule="auto"/>
        <w:rPr>
          <w:sz w:val="20"/>
          <w:szCs w:val="20"/>
          <w:color w:val="auto"/>
        </w:rPr>
      </w:pPr>
      <w:r>
        <w:rPr>
          <w:rFonts w:ascii="Arial" w:cs="Arial" w:eastAsia="Arial" w:hAnsi="Arial"/>
          <w:sz w:val="16"/>
          <w:szCs w:val="16"/>
          <w:color w:val="auto"/>
        </w:rPr>
        <w:t>I, Joseph Saporito, certify, to the best of my knowledge, that: the attached Annual Report on Form 10-K of Carriage Services, Inc. for the year ended December 31, 2002 ("Form 10-K") fully complies with the requirements of Section 13(a) or 15(d) of the Securities Exchange Act of 1934, as amended; and the information contained in the Form 10-K fairly presents, in all material respects, the financial condition and results of operations of Carriage Services,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JOSEPH SAPORITO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99.2</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2"/>
    </w:lvl>
  </w:abstractNum>
  <w:abstractNum w:abstractNumId="10">
    <w:nsid w:val="436C6125"/>
    <w:multiLevelType w:val="hybridMultilevel"/>
    <w:lvl w:ilvl="0">
      <w:lvlJc w:val="left"/>
      <w:lvlText w:val="(%1)"/>
      <w:numFmt w:val="lowerLetter"/>
      <w:start w:val="3"/>
    </w:lvl>
  </w:abstractNum>
  <w:abstractNum w:abstractNumId="11">
    <w:nsid w:val="628C895D"/>
    <w:multiLevelType w:val="hybridMultilevel"/>
    <w:lvl w:ilvl="0">
      <w:lvlJc w:val="left"/>
      <w:lvlText w:val="(%1)"/>
      <w:numFmt w:val="lowerLetter"/>
      <w:start w:val="4"/>
    </w:lvl>
  </w:abstractNum>
  <w:abstractNum w:abstractNumId="12">
    <w:nsid w:val="333AB105"/>
    <w:multiLevelType w:val="hybridMultilevel"/>
    <w:lvl w:ilvl="0">
      <w:lvlJc w:val="left"/>
      <w:lvlText w:val="(%1)"/>
      <w:numFmt w:val="lowerLetter"/>
      <w:start w:val="5"/>
    </w:lvl>
  </w:abstractNum>
  <w:abstractNum w:abstractNumId="13">
    <w:nsid w:val="721DA317"/>
    <w:multiLevelType w:val="hybridMultilevel"/>
    <w:lvl w:ilvl="0">
      <w:lvlJc w:val="left"/>
      <w:lvlText w:val="(%1)"/>
      <w:numFmt w:val="lowerLetter"/>
      <w:start w:val="6"/>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decimal"/>
      <w:start w:val="1"/>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1"/>
    </w:lvl>
  </w:abstractNum>
  <w:abstractNum w:abstractNumId="23">
    <w:nsid w:val="54E49EB4"/>
    <w:multiLevelType w:val="hybridMultilevel"/>
    <w:lvl w:ilvl="0">
      <w:lvlJc w:val="left"/>
      <w:lvlText w:val="%1."/>
      <w:numFmt w:val="decimal"/>
      <w:start w:val="5"/>
    </w:lvl>
    <w:lvl w:ilvl="1">
      <w:lvlJc w:val="left"/>
      <w:lvlText w:val="%2."/>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7"/>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2019-12-14T09:13:08Z</dcterms:created>
  <dcterms:modified xsi:type="dcterms:W3CDTF">2019-12-14T09:13:08Z</dcterms:modified>
</cp:coreProperties>
</file>