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213360</wp:posOffset>
            </wp:positionH>
            <wp:positionV relativeFrom="page">
              <wp:posOffset>638175</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662305</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1" w:lineRule="exact"/>
        <w:rPr>
          <w:sz w:val="24"/>
          <w:szCs w:val="24"/>
          <w:color w:val="auto"/>
        </w:rPr>
      </w:pPr>
    </w:p>
    <w:p>
      <w:pPr>
        <w:ind w:left="4560"/>
        <w:spacing w:after="0"/>
        <w:rPr>
          <w:sz w:val="20"/>
          <w:szCs w:val="20"/>
          <w:color w:val="auto"/>
        </w:rPr>
      </w:pPr>
      <w:r>
        <w:rPr>
          <w:rFonts w:ascii="Arial" w:cs="Arial" w:eastAsia="Arial" w:hAnsi="Arial"/>
          <w:sz w:val="21"/>
          <w:szCs w:val="21"/>
          <w:b w:val="1"/>
          <w:bCs w:val="1"/>
          <w:color w:val="auto"/>
        </w:rPr>
        <w:t>Washington, D.C. 20549</w:t>
      </w:r>
    </w:p>
    <w:p>
      <w:pPr>
        <w:spacing w:after="0" w:line="67" w:lineRule="exact"/>
        <w:rPr>
          <w:sz w:val="24"/>
          <w:szCs w:val="24"/>
          <w:color w:val="auto"/>
        </w:rPr>
      </w:pPr>
    </w:p>
    <w:p>
      <w:pPr>
        <w:ind w:left="5300"/>
        <w:spacing w:after="0"/>
        <w:rPr>
          <w:sz w:val="20"/>
          <w:szCs w:val="20"/>
          <w:color w:val="auto"/>
        </w:rPr>
      </w:pPr>
      <w:r>
        <w:rPr>
          <w:rFonts w:ascii="Arial" w:cs="Arial" w:eastAsia="Arial" w:hAnsi="Arial"/>
          <w:sz w:val="28"/>
          <w:szCs w:val="28"/>
          <w:b w:val="1"/>
          <w:bCs w:val="1"/>
          <w:color w:val="auto"/>
        </w:rPr>
        <w:t>FORM10-Q</w:t>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 w:lineRule="exact"/>
        <w:rPr>
          <w:sz w:val="24"/>
          <w:szCs w:val="24"/>
          <w:color w:val="auto"/>
        </w:rPr>
      </w:pPr>
    </w:p>
    <w:p>
      <w:pPr>
        <w:ind w:left="420" w:hanging="417"/>
        <w:spacing w:after="0"/>
        <w:tabs>
          <w:tab w:leader="none" w:pos="4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67" w:lineRule="exact"/>
        <w:rPr>
          <w:sz w:val="24"/>
          <w:szCs w:val="24"/>
          <w:color w:val="auto"/>
        </w:rPr>
      </w:pPr>
    </w:p>
    <w:p>
      <w:pPr>
        <w:ind w:left="420" w:hanging="417"/>
        <w:spacing w:after="0"/>
        <w:tabs>
          <w:tab w:leader="none" w:pos="4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51" w:lineRule="exact"/>
        <w:rPr>
          <w:sz w:val="24"/>
          <w:szCs w:val="24"/>
          <w:color w:val="auto"/>
        </w:rPr>
      </w:pPr>
    </w:p>
    <w:p>
      <w:pPr>
        <w:ind w:left="200"/>
        <w:spacing w:after="0"/>
        <w:rPr>
          <w:sz w:val="20"/>
          <w:szCs w:val="20"/>
          <w:color w:val="auto"/>
        </w:rPr>
      </w:pPr>
      <w:r>
        <w:rPr>
          <w:rFonts w:ascii="Arial" w:cs="Arial" w:eastAsia="Arial" w:hAnsi="Arial"/>
          <w:sz w:val="17"/>
          <w:szCs w:val="17"/>
          <w:b w:val="1"/>
          <w:bCs w:val="1"/>
          <w:color w:val="auto"/>
        </w:rPr>
        <w:t>For the transition period from ___________ to  ____________</w:t>
      </w:r>
    </w:p>
    <w:p>
      <w:pPr>
        <w:spacing w:after="0" w:line="201" w:lineRule="exact"/>
        <w:rPr>
          <w:sz w:val="24"/>
          <w:szCs w:val="24"/>
          <w:color w:val="auto"/>
        </w:rPr>
      </w:pPr>
    </w:p>
    <w:tbl>
      <w:tblPr>
        <w:tblLayout w:type="fixed"/>
        <w:tblInd w:w="2340" w:type="dxa"/>
        <w:tblCellMar>
          <w:top w:w="0" w:type="dxa"/>
          <w:left w:w="0" w:type="dxa"/>
          <w:bottom w:w="0" w:type="dxa"/>
          <w:right w:w="0" w:type="dxa"/>
        </w:tblCellMar>
      </w:tblPr>
      <w:tr>
        <w:trPr>
          <w:trHeight w:val="242"/>
        </w:trPr>
        <w:tc>
          <w:tcPr>
            <w:tcW w:w="4120" w:type="dxa"/>
            <w:vAlign w:val="bottom"/>
            <w:tcBorders>
              <w:bottom w:val="single" w:sz="8" w:color="auto"/>
            </w:tcBorders>
          </w:tcPr>
          <w:p>
            <w:pPr>
              <w:ind w:left="1720"/>
              <w:spacing w:after="0"/>
              <w:rPr>
                <w:sz w:val="20"/>
                <w:szCs w:val="20"/>
                <w:color w:val="auto"/>
              </w:rPr>
            </w:pPr>
            <w:r>
              <w:rPr>
                <w:rFonts w:ascii="Arial" w:cs="Arial" w:eastAsia="Arial" w:hAnsi="Arial"/>
                <w:sz w:val="19"/>
                <w:szCs w:val="19"/>
                <w:b w:val="1"/>
                <w:bCs w:val="1"/>
                <w:color w:val="auto"/>
              </w:rPr>
              <w:t>Commission File Number:</w:t>
            </w:r>
          </w:p>
        </w:tc>
        <w:tc>
          <w:tcPr>
            <w:tcW w:w="2440" w:type="dxa"/>
            <w:vAlign w:val="bottom"/>
            <w:tcBorders>
              <w:bottom w:val="single" w:sz="8" w:color="auto"/>
            </w:tcBorders>
          </w:tcPr>
          <w:p>
            <w:pPr>
              <w:jc w:val="right"/>
              <w:ind w:right="1445"/>
              <w:spacing w:after="0"/>
              <w:rPr>
                <w:sz w:val="20"/>
                <w:szCs w:val="20"/>
                <w:color w:val="auto"/>
              </w:rPr>
            </w:pPr>
            <w:r>
              <w:rPr>
                <w:rFonts w:ascii="Arial" w:cs="Arial" w:eastAsia="Arial" w:hAnsi="Arial"/>
                <w:sz w:val="19"/>
                <w:szCs w:val="19"/>
                <w:b w:val="1"/>
                <w:bCs w:val="1"/>
                <w:color w:val="auto"/>
              </w:rPr>
              <w:t>1-11961</w:t>
            </w:r>
          </w:p>
        </w:tc>
      </w:tr>
    </w:tbl>
    <w:p>
      <w:pPr>
        <w:spacing w:after="0" w:line="6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CARRIAGE SERVICES,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2181860</wp:posOffset>
            </wp:positionH>
            <wp:positionV relativeFrom="paragraph">
              <wp:posOffset>80010</wp:posOffset>
            </wp:positionV>
            <wp:extent cx="2778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spacing w:after="0" w:line="384"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840" w:type="dxa"/>
            <w:vAlign w:val="bottom"/>
            <w:gridSpan w:val="2"/>
          </w:tcPr>
          <w:p>
            <w:pPr>
              <w:jc w:val="center"/>
              <w:ind w:left="1708"/>
              <w:spacing w:after="0"/>
              <w:rPr>
                <w:sz w:val="20"/>
                <w:szCs w:val="20"/>
                <w:color w:val="auto"/>
              </w:rPr>
            </w:pPr>
            <w:r>
              <w:rPr>
                <w:rFonts w:ascii="Arial" w:cs="Arial" w:eastAsia="Arial" w:hAnsi="Arial"/>
                <w:sz w:val="17"/>
                <w:szCs w:val="17"/>
                <w:b w:val="1"/>
                <w:bCs w:val="1"/>
                <w:color w:val="auto"/>
                <w:w w:val="93"/>
              </w:rPr>
              <w:t>Delaware</w:t>
            </w:r>
          </w:p>
        </w:tc>
        <w:tc>
          <w:tcPr>
            <w:tcW w:w="2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80" w:type="dxa"/>
            <w:vAlign w:val="bottom"/>
            <w:gridSpan w:val="2"/>
          </w:tcPr>
          <w:p>
            <w:pPr>
              <w:jc w:val="center"/>
              <w:ind w:right="1631"/>
              <w:spacing w:after="0"/>
              <w:rPr>
                <w:sz w:val="20"/>
                <w:szCs w:val="20"/>
                <w:color w:val="auto"/>
              </w:rPr>
            </w:pPr>
            <w:r>
              <w:rPr>
                <w:rFonts w:ascii="Arial" w:cs="Arial" w:eastAsia="Arial" w:hAnsi="Arial"/>
                <w:sz w:val="17"/>
                <w:szCs w:val="17"/>
                <w:b w:val="1"/>
                <w:bCs w:val="1"/>
                <w:color w:val="auto"/>
                <w:w w:val="92"/>
              </w:rPr>
              <w:t>76-0423828</w:t>
            </w:r>
          </w:p>
        </w:tc>
      </w:tr>
      <w:tr>
        <w:trPr>
          <w:trHeight w:val="139"/>
        </w:trPr>
        <w:tc>
          <w:tcPr>
            <w:tcW w:w="3840" w:type="dxa"/>
            <w:vAlign w:val="bottom"/>
            <w:gridSpan w:val="2"/>
          </w:tcPr>
          <w:p>
            <w:pPr>
              <w:jc w:val="center"/>
              <w:ind w:left="1688"/>
              <w:spacing w:after="0" w:line="139" w:lineRule="exact"/>
              <w:rPr>
                <w:sz w:val="20"/>
                <w:szCs w:val="20"/>
                <w:color w:val="auto"/>
              </w:rPr>
            </w:pPr>
            <w:r>
              <w:rPr>
                <w:rFonts w:ascii="Arial" w:cs="Arial" w:eastAsia="Arial" w:hAnsi="Arial"/>
                <w:sz w:val="14"/>
                <w:szCs w:val="14"/>
                <w:b w:val="1"/>
                <w:bCs w:val="1"/>
                <w:color w:val="auto"/>
                <w:w w:val="89"/>
              </w:rPr>
              <w:t>(State or other jurisdiction of</w:t>
            </w:r>
          </w:p>
        </w:tc>
        <w:tc>
          <w:tcPr>
            <w:tcW w:w="2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jc w:val="center"/>
              <w:ind w:right="2191"/>
              <w:spacing w:after="0" w:line="139" w:lineRule="exact"/>
              <w:rPr>
                <w:sz w:val="20"/>
                <w:szCs w:val="20"/>
                <w:color w:val="auto"/>
              </w:rPr>
            </w:pPr>
            <w:r>
              <w:rPr>
                <w:rFonts w:ascii="Arial" w:cs="Arial" w:eastAsia="Arial" w:hAnsi="Arial"/>
                <w:sz w:val="14"/>
                <w:szCs w:val="14"/>
                <w:b w:val="1"/>
                <w:bCs w:val="1"/>
                <w:color w:val="auto"/>
                <w:w w:val="93"/>
              </w:rPr>
              <w:t>(I.R.S. Employer</w:t>
            </w:r>
          </w:p>
        </w:tc>
      </w:tr>
      <w:tr>
        <w:trPr>
          <w:trHeight w:val="179"/>
        </w:trPr>
        <w:tc>
          <w:tcPr>
            <w:tcW w:w="3840" w:type="dxa"/>
            <w:vAlign w:val="bottom"/>
            <w:gridSpan w:val="2"/>
          </w:tcPr>
          <w:p>
            <w:pPr>
              <w:jc w:val="center"/>
              <w:ind w:left="1688"/>
              <w:spacing w:after="0"/>
              <w:rPr>
                <w:sz w:val="20"/>
                <w:szCs w:val="20"/>
                <w:color w:val="auto"/>
              </w:rPr>
            </w:pPr>
            <w:r>
              <w:rPr>
                <w:rFonts w:ascii="Arial" w:cs="Arial" w:eastAsia="Arial" w:hAnsi="Arial"/>
                <w:sz w:val="14"/>
                <w:szCs w:val="14"/>
                <w:b w:val="1"/>
                <w:bCs w:val="1"/>
                <w:color w:val="auto"/>
                <w:w w:val="90"/>
              </w:rPr>
              <w:t>incorporation or organization)</w:t>
            </w:r>
          </w:p>
        </w:tc>
        <w:tc>
          <w:tcPr>
            <w:tcW w:w="2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20" w:type="dxa"/>
            <w:vAlign w:val="bottom"/>
          </w:tcPr>
          <w:p>
            <w:pPr>
              <w:jc w:val="center"/>
              <w:ind w:right="2191"/>
              <w:spacing w:after="0"/>
              <w:rPr>
                <w:sz w:val="20"/>
                <w:szCs w:val="20"/>
                <w:color w:val="auto"/>
              </w:rPr>
            </w:pPr>
            <w:r>
              <w:rPr>
                <w:rFonts w:ascii="Arial" w:cs="Arial" w:eastAsia="Arial" w:hAnsi="Arial"/>
                <w:sz w:val="14"/>
                <w:szCs w:val="14"/>
                <w:b w:val="1"/>
                <w:bCs w:val="1"/>
                <w:color w:val="auto"/>
                <w:w w:val="91"/>
              </w:rPr>
              <w:t>Identification No.)</w:t>
            </w:r>
          </w:p>
        </w:tc>
      </w:tr>
      <w:tr>
        <w:trPr>
          <w:trHeight w:val="371"/>
        </w:trPr>
        <w:tc>
          <w:tcPr>
            <w:tcW w:w="3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gridSpan w:val="2"/>
          </w:tcPr>
          <w:p>
            <w:pPr>
              <w:jc w:val="center"/>
              <w:ind w:left="84"/>
              <w:spacing w:after="0"/>
              <w:rPr>
                <w:sz w:val="20"/>
                <w:szCs w:val="20"/>
                <w:color w:val="auto"/>
              </w:rPr>
            </w:pPr>
            <w:r>
              <w:rPr>
                <w:rFonts w:ascii="Arial" w:cs="Arial" w:eastAsia="Arial" w:hAnsi="Arial"/>
                <w:sz w:val="17"/>
                <w:szCs w:val="17"/>
                <w:b w:val="1"/>
                <w:bCs w:val="1"/>
                <w:color w:val="auto"/>
                <w:w w:val="90"/>
              </w:rPr>
              <w:t>3040 Post Oak Boulevard, Suite 300</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2"/>
        </w:trPr>
        <w:tc>
          <w:tcPr>
            <w:tcW w:w="3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gridSpan w:val="2"/>
          </w:tcPr>
          <w:p>
            <w:pPr>
              <w:jc w:val="center"/>
              <w:ind w:left="64"/>
              <w:spacing w:after="0"/>
              <w:rPr>
                <w:sz w:val="20"/>
                <w:szCs w:val="20"/>
                <w:color w:val="auto"/>
              </w:rPr>
            </w:pPr>
            <w:r>
              <w:rPr>
                <w:rFonts w:ascii="Arial" w:cs="Arial" w:eastAsia="Arial" w:hAnsi="Arial"/>
                <w:sz w:val="17"/>
                <w:szCs w:val="17"/>
                <w:b w:val="1"/>
                <w:bCs w:val="1"/>
                <w:color w:val="auto"/>
                <w:w w:val="89"/>
              </w:rPr>
              <w:t>Houston, Texas, 77056</w:t>
            </w:r>
          </w:p>
        </w:tc>
        <w:tc>
          <w:tcPr>
            <w:tcW w:w="5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59"/>
        </w:trPr>
        <w:tc>
          <w:tcPr>
            <w:tcW w:w="3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20" w:type="dxa"/>
            <w:vAlign w:val="bottom"/>
            <w:gridSpan w:val="2"/>
          </w:tcPr>
          <w:p>
            <w:pPr>
              <w:jc w:val="center"/>
              <w:ind w:left="64"/>
              <w:spacing w:after="0" w:line="159" w:lineRule="exact"/>
              <w:rPr>
                <w:sz w:val="20"/>
                <w:szCs w:val="20"/>
                <w:color w:val="auto"/>
              </w:rPr>
            </w:pPr>
            <w:r>
              <w:rPr>
                <w:rFonts w:ascii="Arial" w:cs="Arial" w:eastAsia="Arial" w:hAnsi="Arial"/>
                <w:sz w:val="14"/>
                <w:szCs w:val="14"/>
                <w:b w:val="1"/>
                <w:bCs w:val="1"/>
                <w:color w:val="auto"/>
                <w:w w:val="87"/>
              </w:rPr>
              <w:t>(Address of principal executive offices)</w:t>
            </w:r>
          </w:p>
        </w:tc>
        <w:tc>
          <w:tcPr>
            <w:tcW w:w="56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202"/>
        </w:trPr>
        <w:tc>
          <w:tcPr>
            <w:tcW w:w="3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gridSpan w:val="2"/>
          </w:tcPr>
          <w:p>
            <w:pPr>
              <w:jc w:val="center"/>
              <w:ind w:left="64"/>
              <w:spacing w:after="0"/>
              <w:rPr>
                <w:sz w:val="20"/>
                <w:szCs w:val="20"/>
                <w:color w:val="auto"/>
              </w:rPr>
            </w:pPr>
            <w:r>
              <w:rPr>
                <w:rFonts w:ascii="Arial" w:cs="Arial" w:eastAsia="Arial" w:hAnsi="Arial"/>
                <w:sz w:val="17"/>
                <w:szCs w:val="17"/>
                <w:b w:val="1"/>
                <w:bCs w:val="1"/>
                <w:color w:val="auto"/>
                <w:w w:val="92"/>
              </w:rPr>
              <w:t>(713) 332-8400</w:t>
            </w:r>
          </w:p>
        </w:tc>
        <w:tc>
          <w:tcPr>
            <w:tcW w:w="5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79"/>
        </w:trPr>
        <w:tc>
          <w:tcPr>
            <w:tcW w:w="3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gridSpan w:val="2"/>
          </w:tcPr>
          <w:p>
            <w:pPr>
              <w:jc w:val="center"/>
              <w:ind w:left="84"/>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56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102"/>
        </w:trPr>
        <w:tc>
          <w:tcPr>
            <w:tcW w:w="3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r>
      <w:tr>
        <w:trPr>
          <w:trHeight w:val="343"/>
        </w:trPr>
        <w:tc>
          <w:tcPr>
            <w:tcW w:w="38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70"/>
        </w:trPr>
        <w:tc>
          <w:tcPr>
            <w:tcW w:w="3840" w:type="dxa"/>
            <w:vAlign w:val="bottom"/>
            <w:tcBorders>
              <w:bottom w:val="single" w:sz="8" w:color="auto"/>
            </w:tcBorders>
            <w:gridSpan w:val="2"/>
          </w:tcPr>
          <w:p>
            <w:pPr>
              <w:spacing w:after="0"/>
              <w:rPr>
                <w:sz w:val="23"/>
                <w:szCs w:val="23"/>
                <w:color w:val="auto"/>
              </w:rPr>
            </w:pPr>
          </w:p>
        </w:tc>
        <w:tc>
          <w:tcPr>
            <w:tcW w:w="2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3980" w:type="dxa"/>
            <w:vAlign w:val="bottom"/>
            <w:tcBorders>
              <w:bottom w:val="single" w:sz="8" w:color="auto"/>
            </w:tcBorders>
            <w:gridSpan w:val="2"/>
          </w:tcPr>
          <w:p>
            <w:pPr>
              <w:spacing w:after="0"/>
              <w:rPr>
                <w:sz w:val="23"/>
                <w:szCs w:val="23"/>
                <w:color w:val="auto"/>
              </w:rPr>
            </w:pPr>
          </w:p>
        </w:tc>
      </w:tr>
      <w:tr>
        <w:trPr>
          <w:trHeight w:val="171"/>
        </w:trPr>
        <w:tc>
          <w:tcPr>
            <w:tcW w:w="384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87"/>
              </w:rPr>
              <w:t>Title of each class</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Trading Symbol</w:t>
            </w:r>
          </w:p>
        </w:tc>
        <w:tc>
          <w:tcPr>
            <w:tcW w:w="1320" w:type="dxa"/>
            <w:vAlign w:val="bottom"/>
            <w:tcBorders>
              <w:bottom w:val="single" w:sz="8" w:color="auto"/>
            </w:tcBorders>
          </w:tcPr>
          <w:p>
            <w:pPr>
              <w:spacing w:after="0"/>
              <w:rPr>
                <w:sz w:val="14"/>
                <w:szCs w:val="14"/>
                <w:color w:val="auto"/>
              </w:rPr>
            </w:pPr>
          </w:p>
        </w:tc>
        <w:tc>
          <w:tcPr>
            <w:tcW w:w="3980" w:type="dxa"/>
            <w:vAlign w:val="bottom"/>
            <w:tcBorders>
              <w:bottom w:val="single" w:sz="8" w:color="auto"/>
              <w:right w:val="single" w:sz="8" w:color="auto"/>
            </w:tcBorders>
            <w:gridSpan w:val="2"/>
          </w:tcPr>
          <w:p>
            <w:pPr>
              <w:jc w:val="center"/>
              <w:ind w:right="1271"/>
              <w:spacing w:after="0"/>
              <w:rPr>
                <w:sz w:val="20"/>
                <w:szCs w:val="20"/>
                <w:color w:val="auto"/>
              </w:rPr>
            </w:pPr>
            <w:r>
              <w:rPr>
                <w:rFonts w:ascii="Arial" w:cs="Arial" w:eastAsia="Arial" w:hAnsi="Arial"/>
                <w:sz w:val="14"/>
                <w:szCs w:val="14"/>
                <w:color w:val="auto"/>
                <w:w w:val="88"/>
              </w:rPr>
              <w:t>Name of each exchange on which registered</w:t>
            </w:r>
          </w:p>
        </w:tc>
      </w:tr>
      <w:tr>
        <w:trPr>
          <w:trHeight w:val="174"/>
        </w:trPr>
        <w:tc>
          <w:tcPr>
            <w:tcW w:w="38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87"/>
              </w:rPr>
              <w:t>Common Stock, par value $.01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CSV</w:t>
            </w:r>
          </w:p>
        </w:tc>
        <w:tc>
          <w:tcPr>
            <w:tcW w:w="1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420" w:type="dxa"/>
            <w:vAlign w:val="bottom"/>
            <w:tcBorders>
              <w:bottom w:val="single" w:sz="8" w:color="auto"/>
              <w:right w:val="single" w:sz="8" w:color="auto"/>
            </w:tcBorders>
          </w:tcPr>
          <w:p>
            <w:pPr>
              <w:jc w:val="center"/>
              <w:ind w:right="1851"/>
              <w:spacing w:after="0"/>
              <w:rPr>
                <w:sz w:val="20"/>
                <w:szCs w:val="20"/>
                <w:color w:val="auto"/>
              </w:rPr>
            </w:pPr>
            <w:r>
              <w:rPr>
                <w:rFonts w:ascii="Arial" w:cs="Arial" w:eastAsia="Arial" w:hAnsi="Arial"/>
                <w:sz w:val="14"/>
                <w:szCs w:val="14"/>
                <w:color w:val="auto"/>
                <w:w w:val="90"/>
              </w:rPr>
              <w:t>New York Stock Exchange</w:t>
            </w:r>
          </w:p>
        </w:tc>
      </w:tr>
    </w:tbl>
    <w:p>
      <w:pPr>
        <w:spacing w:after="0" w:line="111"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jc w:val="both"/>
        <w:spacing w:after="0" w:line="192" w:lineRule="exact"/>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w:t>
      </w:r>
      <w:r>
        <w:rPr>
          <w:rFonts w:ascii="Arial" w:cs="Arial" w:eastAsia="Arial" w:hAnsi="Arial"/>
          <w:sz w:val="16"/>
          <w:szCs w:val="16"/>
          <w:color w:val="211D1E"/>
        </w:rPr>
        <w:t>§</w:t>
      </w:r>
      <w:r>
        <w:rPr>
          <w:rFonts w:ascii="Arial" w:cs="Arial" w:eastAsia="Arial" w:hAnsi="Arial"/>
          <w:sz w:val="13"/>
          <w:szCs w:val="13"/>
          <w:color w:val="auto"/>
        </w:rPr>
        <w:t xml:space="preserve">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3" w:lineRule="exact"/>
        <w:rPr>
          <w:sz w:val="24"/>
          <w:szCs w:val="24"/>
          <w:color w:val="auto"/>
        </w:rPr>
      </w:pPr>
    </w:p>
    <w:p>
      <w:pPr>
        <w:jc w:val="both"/>
        <w:spacing w:after="0" w:line="28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1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3960" w:type="dxa"/>
            <w:vAlign w:val="bottom"/>
          </w:tcPr>
          <w:p>
            <w:pPr>
              <w:ind w:left="214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4"/>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5140" w:type="dxa"/>
            <w:vAlign w:val="bottom"/>
          </w:tcPr>
          <w:p>
            <w:pPr>
              <w:ind w:left="2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960" w:type="dxa"/>
            <w:vAlign w:val="bottom"/>
          </w:tcPr>
          <w:p>
            <w:pPr>
              <w:ind w:left="214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4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960" w:type="dxa"/>
            <w:vAlign w:val="bottom"/>
          </w:tcPr>
          <w:p>
            <w:pPr>
              <w:ind w:left="214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7" w:lineRule="exact"/>
        <w:rPr>
          <w:sz w:val="24"/>
          <w:szCs w:val="24"/>
          <w:color w:val="auto"/>
        </w:rPr>
      </w:pPr>
    </w:p>
    <w:p>
      <w:pPr>
        <w:ind w:right="3960"/>
        <w:spacing w:after="0" w:line="203"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The number of shares of the registrant’s Common Stock, $.01 par value per share, outstanding as of July 30, 2021 was 17,825,724.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814705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22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7122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CARRIAGE SERVICES,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tcBorders>
              <w:bottom w:val="single" w:sz="8" w:color="0000FF"/>
            </w:tcBorders>
            <w:gridSpan w:val="14"/>
          </w:tcPr>
          <w:p>
            <w:pPr>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PART I – FINANCIAL INFORMATION</w:t>
              </w:r>
            </w:hyperlink>
          </w:p>
        </w:tc>
        <w:tc>
          <w:tcPr>
            <w:tcW w:w="7640" w:type="dxa"/>
            <w:vAlign w:val="bottom"/>
            <w:gridSpan w:val="10"/>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gridSpan w:val="8"/>
          </w:tcPr>
          <w:p>
            <w:pPr>
              <w:spacing w:after="0"/>
              <w:rPr>
                <w:rFonts w:ascii="Arial" w:cs="Arial" w:eastAsia="Arial" w:hAnsi="Arial"/>
                <w:sz w:val="17"/>
                <w:szCs w:val="17"/>
                <w:b w:val="1"/>
                <w:bCs w:val="1"/>
                <w:color w:val="0000FF"/>
                <w:w w:val="91"/>
              </w:rPr>
            </w:pPr>
            <w:hyperlink w:anchor="page3">
              <w:r>
                <w:rPr>
                  <w:rFonts w:ascii="Arial" w:cs="Arial" w:eastAsia="Arial" w:hAnsi="Arial"/>
                  <w:sz w:val="17"/>
                  <w:szCs w:val="17"/>
                  <w:b w:val="1"/>
                  <w:bCs w:val="1"/>
                  <w:color w:val="0000FF"/>
                  <w:w w:val="91"/>
                </w:rPr>
                <w:t>Item 1. Financial Statements</w:t>
              </w:r>
            </w:hyperlink>
          </w:p>
        </w:tc>
        <w:tc>
          <w:tcPr>
            <w:tcW w:w="8200" w:type="dxa"/>
            <w:vAlign w:val="bottom"/>
            <w:gridSpan w:val="14"/>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20" w:type="dxa"/>
            <w:vAlign w:val="bottom"/>
            <w:gridSpan w:val="17"/>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Consolidated Balance Sheet as of December 31, 2020 and June 30, 2021</w:t>
              </w:r>
            </w:hyperlink>
          </w:p>
        </w:tc>
        <w:tc>
          <w:tcPr>
            <w:tcW w:w="3820" w:type="dxa"/>
            <w:vAlign w:val="bottom"/>
            <w:gridSpan w:val="4"/>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380" w:type="dxa"/>
            <w:vAlign w:val="bottom"/>
            <w:gridSpan w:val="20"/>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Consolidated Statements of Operations for the Three and Six Months ended June 30, 2020 and 2021</w:t>
              </w:r>
            </w:hyperlink>
          </w:p>
        </w:tc>
        <w:tc>
          <w:tcPr>
            <w:tcW w:w="1660" w:type="dxa"/>
            <w:vAlign w:val="bottom"/>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3">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20" w:type="dxa"/>
            <w:vAlign w:val="bottom"/>
            <w:gridSpan w:val="17"/>
          </w:tcPr>
          <w:p>
            <w:pPr>
              <w:spacing w:after="0"/>
              <w:rPr>
                <w:rFonts w:ascii="Arial" w:cs="Arial" w:eastAsia="Arial" w:hAnsi="Arial"/>
                <w:sz w:val="17"/>
                <w:szCs w:val="17"/>
                <w:color w:val="0000FF"/>
                <w:w w:val="90"/>
              </w:rPr>
            </w:pPr>
            <w:hyperlink w:anchor="page4">
              <w:r>
                <w:rPr>
                  <w:rFonts w:ascii="Arial" w:cs="Arial" w:eastAsia="Arial" w:hAnsi="Arial"/>
                  <w:sz w:val="17"/>
                  <w:szCs w:val="17"/>
                  <w:color w:val="0000FF"/>
                  <w:w w:val="90"/>
                </w:rPr>
                <w:t>Consolidated Statements of Cash Flows for the Six Months ended June 30, 2020 and 2021</w:t>
              </w:r>
            </w:hyperlink>
          </w:p>
        </w:tc>
        <w:tc>
          <w:tcPr>
            <w:tcW w:w="2160" w:type="dxa"/>
            <w:vAlign w:val="bottom"/>
            <w:gridSpan w:val="3"/>
          </w:tcPr>
          <w:p>
            <w:pPr>
              <w:spacing w:after="0"/>
              <w:rPr>
                <w:sz w:val="21"/>
                <w:szCs w:val="21"/>
                <w:color w:val="auto"/>
              </w:rPr>
            </w:pPr>
          </w:p>
        </w:tc>
        <w:tc>
          <w:tcPr>
            <w:tcW w:w="1660" w:type="dxa"/>
            <w:vAlign w:val="bottom"/>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40" w:type="dxa"/>
            <w:vAlign w:val="bottom"/>
            <w:gridSpan w:val="21"/>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Consolidated Statements of Changes in Stockholders' Equity for the Three and Six Months ended June 30, 2020 and 2021</w:t>
              </w:r>
            </w:hyperlink>
          </w:p>
        </w:tc>
        <w:tc>
          <w:tcPr>
            <w:tcW w:w="560" w:type="dxa"/>
            <w:vAlign w:val="bottom"/>
            <w:gridSpan w:val="5"/>
          </w:tcPr>
          <w:p>
            <w:pPr>
              <w:jc w:val="right"/>
              <w:ind w:right="40"/>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0" w:type="dxa"/>
            <w:vAlign w:val="bottom"/>
            <w:gridSpan w:val="13"/>
          </w:tcPr>
          <w:p>
            <w:pPr>
              <w:spacing w:after="0"/>
              <w:rPr>
                <w:rFonts w:ascii="Arial" w:cs="Arial" w:eastAsia="Arial" w:hAnsi="Arial"/>
                <w:sz w:val="17"/>
                <w:szCs w:val="17"/>
                <w:color w:val="0000FF"/>
                <w:w w:val="89"/>
              </w:rPr>
            </w:pPr>
            <w:hyperlink w:anchor="page7">
              <w:r>
                <w:rPr>
                  <w:rFonts w:ascii="Arial" w:cs="Arial" w:eastAsia="Arial" w:hAnsi="Arial"/>
                  <w:sz w:val="17"/>
                  <w:szCs w:val="17"/>
                  <w:color w:val="0000FF"/>
                  <w:w w:val="89"/>
                </w:rPr>
                <w:t>Condensed Notes to Consolidated Financial Statements</w:t>
              </w:r>
            </w:hyperlink>
          </w:p>
        </w:tc>
        <w:tc>
          <w:tcPr>
            <w:tcW w:w="4580" w:type="dxa"/>
            <w:vAlign w:val="bottom"/>
            <w:gridSpan w:val="7"/>
          </w:tcPr>
          <w:p>
            <w:pPr>
              <w:spacing w:after="0"/>
              <w:rPr>
                <w:sz w:val="21"/>
                <w:szCs w:val="21"/>
                <w:color w:val="auto"/>
              </w:rPr>
            </w:pPr>
          </w:p>
        </w:tc>
        <w:tc>
          <w:tcPr>
            <w:tcW w:w="1660" w:type="dxa"/>
            <w:vAlign w:val="bottom"/>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0" w:type="dxa"/>
            <w:vAlign w:val="bottom"/>
            <w:gridSpan w:val="13"/>
          </w:tcPr>
          <w:p>
            <w:pPr>
              <w:spacing w:after="0"/>
              <w:rPr>
                <w:rFonts w:ascii="Arial" w:cs="Arial" w:eastAsia="Arial" w:hAnsi="Arial"/>
                <w:sz w:val="17"/>
                <w:szCs w:val="17"/>
                <w:color w:val="0000FF"/>
                <w:w w:val="90"/>
              </w:rPr>
            </w:pPr>
            <w:hyperlink w:anchor="page36">
              <w:r>
                <w:rPr>
                  <w:rFonts w:ascii="Arial" w:cs="Arial" w:eastAsia="Arial" w:hAnsi="Arial"/>
                  <w:sz w:val="17"/>
                  <w:szCs w:val="17"/>
                  <w:color w:val="0000FF"/>
                  <w:w w:val="90"/>
                </w:rPr>
                <w:t>Cautionary Statement on Forward–Looking Statements</w:t>
              </w:r>
            </w:hyperlink>
          </w:p>
        </w:tc>
        <w:tc>
          <w:tcPr>
            <w:tcW w:w="6240" w:type="dxa"/>
            <w:vAlign w:val="bottom"/>
            <w:gridSpan w:val="8"/>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36">
              <w:r>
                <w:rPr>
                  <w:rFonts w:ascii="Arial" w:cs="Arial" w:eastAsia="Arial" w:hAnsi="Arial"/>
                  <w:sz w:val="17"/>
                  <w:szCs w:val="17"/>
                  <w:color w:val="0000FF"/>
                </w:rPr>
                <w:t>40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340" w:type="dxa"/>
            <w:vAlign w:val="bottom"/>
            <w:gridSpan w:val="23"/>
          </w:tcPr>
          <w:p>
            <w:pPr>
              <w:spacing w:after="0"/>
              <w:rPr>
                <w:rFonts w:ascii="Arial" w:cs="Arial" w:eastAsia="Arial" w:hAnsi="Arial"/>
                <w:sz w:val="17"/>
                <w:szCs w:val="17"/>
                <w:b w:val="1"/>
                <w:bCs w:val="1"/>
                <w:color w:val="0000FF"/>
              </w:rPr>
            </w:pPr>
            <w:hyperlink w:anchor="page38">
              <w:r>
                <w:rPr>
                  <w:rFonts w:ascii="Arial" w:cs="Arial" w:eastAsia="Arial" w:hAnsi="Arial"/>
                  <w:sz w:val="17"/>
                  <w:szCs w:val="17"/>
                  <w:b w:val="1"/>
                  <w:bCs w:val="1"/>
                  <w:color w:val="0000FF"/>
                </w:rPr>
                <w:t>Item 2. Management’s Discussion and Analysis of Financial Condition and Results of Operations</w:t>
              </w:r>
            </w:hyperlink>
          </w:p>
        </w:tc>
        <w:tc>
          <w:tcPr>
            <w:tcW w:w="560" w:type="dxa"/>
            <w:vAlign w:val="bottom"/>
            <w:gridSpan w:val="5"/>
          </w:tcPr>
          <w:p>
            <w:pPr>
              <w:jc w:val="right"/>
              <w:ind w:right="40"/>
              <w:spacing w:after="0"/>
              <w:rPr>
                <w:rFonts w:ascii="Arial" w:cs="Arial" w:eastAsia="Arial" w:hAnsi="Arial"/>
                <w:sz w:val="17"/>
                <w:szCs w:val="17"/>
                <w:color w:val="0000FF"/>
              </w:rPr>
            </w:pPr>
            <w:hyperlink w:anchor="page38">
              <w:r>
                <w:rPr>
                  <w:rFonts w:ascii="Arial" w:cs="Arial" w:eastAsia="Arial" w:hAnsi="Arial"/>
                  <w:sz w:val="17"/>
                  <w:szCs w:val="17"/>
                  <w:color w:val="0000FF"/>
                </w:rPr>
                <w:t>42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80" w:type="dxa"/>
            <w:vAlign w:val="bottom"/>
            <w:gridSpan w:val="20"/>
          </w:tcPr>
          <w:p>
            <w:pPr>
              <w:spacing w:after="0"/>
              <w:rPr>
                <w:rFonts w:ascii="Arial" w:cs="Arial" w:eastAsia="Arial" w:hAnsi="Arial"/>
                <w:sz w:val="17"/>
                <w:szCs w:val="17"/>
                <w:b w:val="1"/>
                <w:bCs w:val="1"/>
                <w:color w:val="0000FF"/>
              </w:rPr>
            </w:pPr>
            <w:hyperlink w:anchor="page59">
              <w:r>
                <w:rPr>
                  <w:rFonts w:ascii="Arial" w:cs="Arial" w:eastAsia="Arial" w:hAnsi="Arial"/>
                  <w:sz w:val="17"/>
                  <w:szCs w:val="17"/>
                  <w:b w:val="1"/>
                  <w:bCs w:val="1"/>
                  <w:color w:val="0000FF"/>
                </w:rPr>
                <w:t>Item 3. Quantitative and Qualitative Disclosures About Market Risk</w:t>
              </w:r>
            </w:hyperlink>
          </w:p>
        </w:tc>
        <w:tc>
          <w:tcPr>
            <w:tcW w:w="3260" w:type="dxa"/>
            <w:vAlign w:val="bottom"/>
            <w:gridSpan w:val="3"/>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59">
              <w:r>
                <w:rPr>
                  <w:rFonts w:ascii="Arial" w:cs="Arial" w:eastAsia="Arial" w:hAnsi="Arial"/>
                  <w:sz w:val="17"/>
                  <w:szCs w:val="17"/>
                  <w:color w:val="0000FF"/>
                  <w:w w:val="84"/>
                </w:rPr>
                <w:t>63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80" w:type="dxa"/>
            <w:vAlign w:val="bottom"/>
            <w:tcBorders>
              <w:top w:val="single" w:sz="8" w:color="0000FF"/>
            </w:tcBorders>
            <w:gridSpan w:val="11"/>
            <w:vMerge w:val="restart"/>
          </w:tcPr>
          <w:p>
            <w:pPr>
              <w:spacing w:after="0"/>
              <w:rPr>
                <w:rFonts w:ascii="Arial" w:cs="Arial" w:eastAsia="Arial" w:hAnsi="Arial"/>
                <w:sz w:val="17"/>
                <w:szCs w:val="17"/>
                <w:b w:val="1"/>
                <w:bCs w:val="1"/>
                <w:color w:val="0000FF"/>
                <w:w w:val="90"/>
              </w:rPr>
            </w:pPr>
            <w:hyperlink w:anchor="page60">
              <w:r>
                <w:rPr>
                  <w:rFonts w:ascii="Arial" w:cs="Arial" w:eastAsia="Arial" w:hAnsi="Arial"/>
                  <w:sz w:val="17"/>
                  <w:szCs w:val="17"/>
                  <w:b w:val="1"/>
                  <w:bCs w:val="1"/>
                  <w:color w:val="0000FF"/>
                  <w:w w:val="90"/>
                </w:rPr>
                <w:t>Item 4. Controls and Procedures</w:t>
              </w:r>
            </w:hyperlink>
          </w:p>
        </w:tc>
        <w:tc>
          <w:tcPr>
            <w:tcW w:w="2620" w:type="dxa"/>
            <w:vAlign w:val="bottom"/>
            <w:tcBorders>
              <w:top w:val="single" w:sz="8" w:color="0000FF"/>
            </w:tcBorders>
            <w:gridSpan w:val="6"/>
            <w:vMerge w:val="restart"/>
          </w:tcPr>
          <w:p>
            <w:pPr>
              <w:spacing w:after="0" w:line="20" w:lineRule="exact"/>
              <w:rPr>
                <w:sz w:val="1"/>
                <w:szCs w:val="1"/>
                <w:color w:val="auto"/>
              </w:rPr>
            </w:pPr>
          </w:p>
        </w:tc>
        <w:tc>
          <w:tcPr>
            <w:tcW w:w="5340" w:type="dxa"/>
            <w:vAlign w:val="bottom"/>
            <w:gridSpan w:val="6"/>
            <w:vMerge w:val="restart"/>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Borders>
              <w:top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11"/>
            <w:vMerge w:val="continue"/>
          </w:tcPr>
          <w:p>
            <w:pPr>
              <w:spacing w:after="0"/>
              <w:rPr>
                <w:sz w:val="20"/>
                <w:szCs w:val="20"/>
                <w:color w:val="auto"/>
              </w:rPr>
            </w:pPr>
          </w:p>
        </w:tc>
        <w:tc>
          <w:tcPr>
            <w:tcW w:w="2620" w:type="dxa"/>
            <w:vAlign w:val="bottom"/>
            <w:gridSpan w:val="6"/>
            <w:vMerge w:val="continue"/>
          </w:tcPr>
          <w:p>
            <w:pPr>
              <w:spacing w:after="0"/>
              <w:rPr>
                <w:sz w:val="20"/>
                <w:szCs w:val="20"/>
                <w:color w:val="auto"/>
              </w:rPr>
            </w:pPr>
          </w:p>
        </w:tc>
        <w:tc>
          <w:tcPr>
            <w:tcW w:w="5340" w:type="dxa"/>
            <w:vAlign w:val="bottom"/>
            <w:gridSpan w:val="6"/>
            <w:vMerge w:val="continue"/>
          </w:tcPr>
          <w:p>
            <w:pPr>
              <w:spacing w:after="0"/>
              <w:rPr>
                <w:sz w:val="20"/>
                <w:szCs w:val="20"/>
                <w:color w:val="auto"/>
              </w:rPr>
            </w:pPr>
          </w:p>
        </w:tc>
        <w:tc>
          <w:tcPr>
            <w:tcW w:w="340" w:type="dxa"/>
            <w:vAlign w:val="bottom"/>
            <w:gridSpan w:val="2"/>
          </w:tcPr>
          <w:p>
            <w:pPr>
              <w:spacing w:after="0"/>
              <w:rPr>
                <w:sz w:val="20"/>
                <w:szCs w:val="20"/>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0">
              <w:r>
                <w:rPr>
                  <w:rFonts w:ascii="Arial" w:cs="Arial" w:eastAsia="Arial" w:hAnsi="Arial"/>
                  <w:sz w:val="17"/>
                  <w:szCs w:val="17"/>
                  <w:color w:val="0000FF"/>
                  <w:w w:val="84"/>
                </w:rPr>
                <w:t>64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740" w:type="dxa"/>
            <w:vAlign w:val="bottom"/>
            <w:tcBorders>
              <w:bottom w:val="single" w:sz="8" w:color="0000FF"/>
            </w:tcBorders>
            <w:gridSpan w:val="13"/>
          </w:tcPr>
          <w:p>
            <w:pPr>
              <w:spacing w:after="0"/>
              <w:rPr>
                <w:rFonts w:ascii="Arial" w:cs="Arial" w:eastAsia="Arial" w:hAnsi="Arial"/>
                <w:sz w:val="17"/>
                <w:szCs w:val="17"/>
                <w:b w:val="1"/>
                <w:bCs w:val="1"/>
                <w:color w:val="0000FF"/>
              </w:rPr>
            </w:pPr>
            <w:hyperlink w:anchor="page61">
              <w:r>
                <w:rPr>
                  <w:rFonts w:ascii="Arial" w:cs="Arial" w:eastAsia="Arial" w:hAnsi="Arial"/>
                  <w:sz w:val="17"/>
                  <w:szCs w:val="17"/>
                  <w:b w:val="1"/>
                  <w:bCs w:val="1"/>
                  <w:color w:val="0000FF"/>
                </w:rPr>
                <w:t>PART II – OTHER INFORMATION</w:t>
              </w:r>
            </w:hyperlink>
          </w:p>
        </w:tc>
        <w:tc>
          <w:tcPr>
            <w:tcW w:w="7920" w:type="dxa"/>
            <w:vAlign w:val="bottom"/>
            <w:gridSpan w:val="11"/>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340" w:type="dxa"/>
            <w:vAlign w:val="bottom"/>
            <w:gridSpan w:val="23"/>
          </w:tcPr>
          <w:p>
            <w:pPr>
              <w:spacing w:after="0"/>
              <w:rPr>
                <w:rFonts w:ascii="Arial" w:cs="Arial" w:eastAsia="Arial" w:hAnsi="Arial"/>
                <w:sz w:val="17"/>
                <w:szCs w:val="17"/>
                <w:b w:val="1"/>
                <w:bCs w:val="1"/>
                <w:color w:val="0000FF"/>
              </w:rPr>
            </w:pPr>
            <w:hyperlink w:anchor="page62">
              <w:r>
                <w:rPr>
                  <w:rFonts w:ascii="Arial" w:cs="Arial" w:eastAsia="Arial" w:hAnsi="Arial"/>
                  <w:sz w:val="17"/>
                  <w:szCs w:val="17"/>
                  <w:b w:val="1"/>
                  <w:bCs w:val="1"/>
                  <w:color w:val="0000FF"/>
                </w:rPr>
                <w:t>Item 1. Legal Proceedings</w:t>
              </w:r>
            </w:hyperlink>
          </w:p>
        </w:tc>
        <w:tc>
          <w:tcPr>
            <w:tcW w:w="560" w:type="dxa"/>
            <w:vAlign w:val="bottom"/>
            <w:gridSpan w:val="5"/>
          </w:tcPr>
          <w:p>
            <w:pPr>
              <w:jc w:val="right"/>
              <w:ind w:right="40"/>
              <w:spacing w:after="0"/>
              <w:rPr>
                <w:rFonts w:ascii="Arial" w:cs="Arial" w:eastAsia="Arial" w:hAnsi="Arial"/>
                <w:sz w:val="17"/>
                <w:szCs w:val="17"/>
                <w:color w:val="0000FF"/>
              </w:rPr>
            </w:pPr>
            <w:hyperlink w:anchor="page62">
              <w:r>
                <w:rPr>
                  <w:rFonts w:ascii="Arial" w:cs="Arial" w:eastAsia="Arial" w:hAnsi="Arial"/>
                  <w:sz w:val="17"/>
                  <w:szCs w:val="17"/>
                  <w:color w:val="0000FF"/>
                </w:rPr>
                <w:t>65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Borders>
              <w:top w:val="single" w:sz="8" w:color="0000FF"/>
            </w:tcBorders>
            <w:gridSpan w:val="7"/>
            <w:vMerge w:val="restart"/>
          </w:tcPr>
          <w:p>
            <w:pPr>
              <w:spacing w:after="0"/>
              <w:rPr>
                <w:rFonts w:ascii="Arial" w:cs="Arial" w:eastAsia="Arial" w:hAnsi="Arial"/>
                <w:sz w:val="17"/>
                <w:szCs w:val="17"/>
                <w:b w:val="1"/>
                <w:bCs w:val="1"/>
                <w:color w:val="0000FF"/>
              </w:rPr>
            </w:pPr>
            <w:hyperlink w:anchor="page62">
              <w:r>
                <w:rPr>
                  <w:rFonts w:ascii="Arial" w:cs="Arial" w:eastAsia="Arial" w:hAnsi="Arial"/>
                  <w:sz w:val="17"/>
                  <w:szCs w:val="17"/>
                  <w:b w:val="1"/>
                  <w:bCs w:val="1"/>
                  <w:color w:val="0000FF"/>
                </w:rPr>
                <w:t>Item 1A. Risk Factors</w:t>
              </w:r>
            </w:hyperlink>
          </w:p>
        </w:tc>
        <w:tc>
          <w:tcPr>
            <w:tcW w:w="8460" w:type="dxa"/>
            <w:vAlign w:val="bottom"/>
            <w:gridSpan w:val="16"/>
            <w:vMerge w:val="restart"/>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Borders>
              <w:top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7"/>
            <w:vMerge w:val="continue"/>
          </w:tcPr>
          <w:p>
            <w:pPr>
              <w:spacing w:after="0"/>
              <w:rPr>
                <w:sz w:val="20"/>
                <w:szCs w:val="20"/>
                <w:color w:val="auto"/>
              </w:rPr>
            </w:pPr>
          </w:p>
        </w:tc>
        <w:tc>
          <w:tcPr>
            <w:tcW w:w="8460" w:type="dxa"/>
            <w:vAlign w:val="bottom"/>
            <w:gridSpan w:val="16"/>
            <w:vMerge w:val="continue"/>
          </w:tcPr>
          <w:p>
            <w:pPr>
              <w:spacing w:after="0"/>
              <w:rPr>
                <w:sz w:val="20"/>
                <w:szCs w:val="20"/>
                <w:color w:val="auto"/>
              </w:rPr>
            </w:pPr>
          </w:p>
        </w:tc>
        <w:tc>
          <w:tcPr>
            <w:tcW w:w="340" w:type="dxa"/>
            <w:vAlign w:val="bottom"/>
            <w:gridSpan w:val="2"/>
          </w:tcPr>
          <w:p>
            <w:pPr>
              <w:spacing w:after="0"/>
              <w:rPr>
                <w:sz w:val="20"/>
                <w:szCs w:val="20"/>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2">
              <w:r>
                <w:rPr>
                  <w:rFonts w:ascii="Arial" w:cs="Arial" w:eastAsia="Arial" w:hAnsi="Arial"/>
                  <w:sz w:val="17"/>
                  <w:szCs w:val="17"/>
                  <w:color w:val="0000FF"/>
                  <w:w w:val="84"/>
                </w:rPr>
                <w:t>65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gridSpan w:val="16"/>
          </w:tcPr>
          <w:p>
            <w:pPr>
              <w:spacing w:after="0"/>
              <w:rPr>
                <w:sz w:val="20"/>
                <w:szCs w:val="20"/>
                <w:color w:val="auto"/>
              </w:rPr>
            </w:pPr>
            <w:r>
              <w:rPr>
                <w:rFonts w:ascii="Arial" w:cs="Arial" w:eastAsia="Arial" w:hAnsi="Arial"/>
                <w:sz w:val="17"/>
                <w:szCs w:val="17"/>
                <w:b w:val="1"/>
                <w:bCs w:val="1"/>
                <w:color w:val="0000FF"/>
                <w:w w:val="89"/>
              </w:rPr>
              <w:t>Item 2. Unregistered Sales of Equity Securities and Use of Proceeds</w:t>
            </w:r>
          </w:p>
        </w:tc>
        <w:tc>
          <w:tcPr>
            <w:tcW w:w="5420" w:type="dxa"/>
            <w:vAlign w:val="bottom"/>
            <w:gridSpan w:val="7"/>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2">
              <w:r>
                <w:rPr>
                  <w:rFonts w:ascii="Arial" w:cs="Arial" w:eastAsia="Arial" w:hAnsi="Arial"/>
                  <w:sz w:val="17"/>
                  <w:szCs w:val="17"/>
                  <w:color w:val="0000FF"/>
                  <w:w w:val="84"/>
                </w:rPr>
                <w:t>65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gridSpan w:val="16"/>
          </w:tcPr>
          <w:p>
            <w:pPr>
              <w:spacing w:after="0"/>
              <w:rPr>
                <w:sz w:val="20"/>
                <w:szCs w:val="20"/>
                <w:color w:val="auto"/>
              </w:rPr>
            </w:pPr>
            <w:r>
              <w:rPr>
                <w:rFonts w:ascii="Arial" w:cs="Arial" w:eastAsia="Arial" w:hAnsi="Arial"/>
                <w:sz w:val="17"/>
                <w:szCs w:val="17"/>
                <w:b w:val="1"/>
                <w:bCs w:val="1"/>
                <w:color w:val="0000FF"/>
              </w:rPr>
              <w:t>Item 3. Defaults Upon Senior Securities</w:t>
            </w:r>
          </w:p>
        </w:tc>
        <w:tc>
          <w:tcPr>
            <w:tcW w:w="5420" w:type="dxa"/>
            <w:vAlign w:val="bottom"/>
            <w:gridSpan w:val="7"/>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2">
              <w:r>
                <w:rPr>
                  <w:rFonts w:ascii="Arial" w:cs="Arial" w:eastAsia="Arial" w:hAnsi="Arial"/>
                  <w:sz w:val="17"/>
                  <w:szCs w:val="17"/>
                  <w:color w:val="0000FF"/>
                  <w:w w:val="84"/>
                </w:rPr>
                <w:t>66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80" w:type="dxa"/>
            <w:vAlign w:val="bottom"/>
            <w:gridSpan w:val="14"/>
          </w:tcPr>
          <w:p>
            <w:pPr>
              <w:spacing w:after="0"/>
              <w:rPr>
                <w:sz w:val="20"/>
                <w:szCs w:val="20"/>
                <w:color w:val="auto"/>
              </w:rPr>
            </w:pPr>
            <w:r>
              <w:rPr>
                <w:rFonts w:ascii="Arial" w:cs="Arial" w:eastAsia="Arial" w:hAnsi="Arial"/>
                <w:sz w:val="17"/>
                <w:szCs w:val="17"/>
                <w:b w:val="1"/>
                <w:bCs w:val="1"/>
                <w:color w:val="0000FF"/>
              </w:rPr>
              <w:t>Item 4. Mine Safety Disclosures</w:t>
            </w:r>
          </w:p>
        </w:tc>
        <w:tc>
          <w:tcPr>
            <w:tcW w:w="7460" w:type="dxa"/>
            <w:vAlign w:val="bottom"/>
            <w:gridSpan w:val="9"/>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3">
              <w:r>
                <w:rPr>
                  <w:rFonts w:ascii="Arial" w:cs="Arial" w:eastAsia="Arial" w:hAnsi="Arial"/>
                  <w:sz w:val="17"/>
                  <w:szCs w:val="17"/>
                  <w:color w:val="0000FF"/>
                  <w:w w:val="84"/>
                </w:rPr>
                <w:t>66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40" w:type="dxa"/>
            <w:vAlign w:val="bottom"/>
            <w:gridSpan w:val="1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gridSpan w:val="10"/>
          </w:tcPr>
          <w:p>
            <w:pPr>
              <w:spacing w:after="0"/>
              <w:rPr>
                <w:sz w:val="20"/>
                <w:szCs w:val="20"/>
                <w:color w:val="auto"/>
              </w:rPr>
            </w:pPr>
            <w:r>
              <w:rPr>
                <w:rFonts w:ascii="Arial" w:cs="Arial" w:eastAsia="Arial" w:hAnsi="Arial"/>
                <w:sz w:val="17"/>
                <w:szCs w:val="17"/>
                <w:b w:val="1"/>
                <w:bCs w:val="1"/>
                <w:color w:val="0000FF"/>
              </w:rPr>
              <w:t>Item 5. Other Information</w:t>
            </w:r>
          </w:p>
        </w:tc>
        <w:tc>
          <w:tcPr>
            <w:tcW w:w="8040" w:type="dxa"/>
            <w:vAlign w:val="bottom"/>
            <w:gridSpan w:val="13"/>
          </w:tcPr>
          <w:p>
            <w:pPr>
              <w:spacing w:after="0"/>
              <w:rPr>
                <w:sz w:val="24"/>
                <w:szCs w:val="24"/>
                <w:color w:val="auto"/>
              </w:rPr>
            </w:pPr>
          </w:p>
        </w:tc>
        <w:tc>
          <w:tcPr>
            <w:tcW w:w="340" w:type="dxa"/>
            <w:vAlign w:val="bottom"/>
            <w:gridSpan w:val="2"/>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3">
              <w:r>
                <w:rPr>
                  <w:rFonts w:ascii="Arial" w:cs="Arial" w:eastAsia="Arial" w:hAnsi="Arial"/>
                  <w:sz w:val="17"/>
                  <w:szCs w:val="17"/>
                  <w:color w:val="0000FF"/>
                  <w:w w:val="84"/>
                </w:rPr>
                <w:t>66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8"/>
          </w:tcPr>
          <w:p>
            <w:pPr>
              <w:spacing w:after="0"/>
              <w:rPr>
                <w:rFonts w:ascii="Arial" w:cs="Arial" w:eastAsia="Arial" w:hAnsi="Arial"/>
                <w:sz w:val="17"/>
                <w:szCs w:val="17"/>
                <w:b w:val="1"/>
                <w:bCs w:val="1"/>
                <w:color w:val="0000FF"/>
              </w:rPr>
            </w:pPr>
            <w:hyperlink w:anchor="page63">
              <w:r>
                <w:rPr>
                  <w:rFonts w:ascii="Arial" w:cs="Arial" w:eastAsia="Arial" w:hAnsi="Arial"/>
                  <w:sz w:val="17"/>
                  <w:szCs w:val="17"/>
                  <w:b w:val="1"/>
                  <w:bCs w:val="1"/>
                  <w:color w:val="0000FF"/>
                </w:rPr>
                <w:t>Item 6. Exhibits</w:t>
              </w:r>
            </w:hyperlink>
          </w:p>
        </w:tc>
        <w:tc>
          <w:tcPr>
            <w:tcW w:w="8420" w:type="dxa"/>
            <w:vAlign w:val="bottom"/>
            <w:gridSpan w:val="15"/>
          </w:tcPr>
          <w:p>
            <w:pPr>
              <w:spacing w:after="0"/>
              <w:rPr>
                <w:sz w:val="24"/>
                <w:szCs w:val="24"/>
                <w:color w:val="auto"/>
              </w:rPr>
            </w:pPr>
          </w:p>
        </w:tc>
        <w:tc>
          <w:tcPr>
            <w:tcW w:w="340" w:type="dxa"/>
            <w:vAlign w:val="bottom"/>
            <w:gridSpan w:val="2"/>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3">
              <w:r>
                <w:rPr>
                  <w:rFonts w:ascii="Arial" w:cs="Arial" w:eastAsia="Arial" w:hAnsi="Arial"/>
                  <w:sz w:val="17"/>
                  <w:szCs w:val="17"/>
                  <w:color w:val="0000FF"/>
                  <w:w w:val="84"/>
                </w:rPr>
                <w:t>66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940" w:type="dxa"/>
            <w:vAlign w:val="bottom"/>
            <w:gridSpan w:val="1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020" w:type="dxa"/>
            <w:vAlign w:val="bottom"/>
            <w:gridSpan w:val="4"/>
          </w:tcPr>
          <w:p>
            <w:pPr>
              <w:spacing w:after="0"/>
              <w:rPr>
                <w:rFonts w:ascii="Arial" w:cs="Arial" w:eastAsia="Arial" w:hAnsi="Arial"/>
                <w:sz w:val="17"/>
                <w:szCs w:val="17"/>
                <w:b w:val="1"/>
                <w:bCs w:val="1"/>
                <w:color w:val="0000FF"/>
                <w:w w:val="99"/>
              </w:rPr>
            </w:pPr>
            <w:hyperlink w:anchor="page63">
              <w:r>
                <w:rPr>
                  <w:rFonts w:ascii="Arial" w:cs="Arial" w:eastAsia="Arial" w:hAnsi="Arial"/>
                  <w:sz w:val="17"/>
                  <w:szCs w:val="17"/>
                  <w:b w:val="1"/>
                  <w:bCs w:val="1"/>
                  <w:color w:val="0000FF"/>
                  <w:w w:val="99"/>
                </w:rPr>
                <w:t>SIGNATURE</w:t>
              </w:r>
            </w:hyperlink>
          </w:p>
        </w:tc>
        <w:tc>
          <w:tcPr>
            <w:tcW w:w="9640" w:type="dxa"/>
            <w:vAlign w:val="bottom"/>
            <w:gridSpan w:val="20"/>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3">
              <w:r>
                <w:rPr>
                  <w:rFonts w:ascii="Arial" w:cs="Arial" w:eastAsia="Arial" w:hAnsi="Arial"/>
                  <w:sz w:val="17"/>
                  <w:szCs w:val="17"/>
                  <w:color w:val="0000FF"/>
                  <w:w w:val="84"/>
                </w:rPr>
                <w:t>67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940" w:type="dxa"/>
            <w:vAlign w:val="bottom"/>
            <w:gridSpan w:val="1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720" w:type="dxa"/>
            <w:vAlign w:val="bottom"/>
            <w:gridSpan w:val="6"/>
          </w:tcPr>
          <w:p>
            <w:pPr>
              <w:spacing w:after="0"/>
              <w:rPr>
                <w:rFonts w:ascii="Arial" w:cs="Arial" w:eastAsia="Arial" w:hAnsi="Arial"/>
                <w:sz w:val="17"/>
                <w:szCs w:val="17"/>
                <w:b w:val="1"/>
                <w:bCs w:val="1"/>
                <w:color w:val="0000FF"/>
              </w:rPr>
            </w:pPr>
            <w:hyperlink w:anchor="page63">
              <w:r>
                <w:rPr>
                  <w:rFonts w:ascii="Arial" w:cs="Arial" w:eastAsia="Arial" w:hAnsi="Arial"/>
                  <w:sz w:val="17"/>
                  <w:szCs w:val="17"/>
                  <w:b w:val="1"/>
                  <w:bCs w:val="1"/>
                  <w:color w:val="0000FF"/>
                </w:rPr>
                <w:t>INDEX OF EXHIBITS</w:t>
              </w:r>
            </w:hyperlink>
          </w:p>
        </w:tc>
        <w:tc>
          <w:tcPr>
            <w:tcW w:w="8940" w:type="dxa"/>
            <w:vAlign w:val="bottom"/>
            <w:gridSpan w:val="18"/>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4">
              <w:r>
                <w:rPr>
                  <w:rFonts w:ascii="Arial" w:cs="Arial" w:eastAsia="Arial" w:hAnsi="Arial"/>
                  <w:sz w:val="17"/>
                  <w:szCs w:val="17"/>
                  <w:color w:val="0000FF"/>
                  <w:w w:val="84"/>
                </w:rPr>
                <w:t>68</w:t>
              </w:r>
            </w:hyperlink>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1720" w:type="dxa"/>
            <w:vAlign w:val="bottom"/>
            <w:tcBorders>
              <w:top w:val="single" w:sz="8" w:color="0000FF"/>
            </w:tcBorders>
            <w:gridSpan w:val="6"/>
          </w:tcPr>
          <w:p>
            <w:pPr>
              <w:spacing w:after="0"/>
              <w:rPr>
                <w:sz w:val="24"/>
                <w:szCs w:val="24"/>
                <w:color w:val="auto"/>
              </w:rPr>
            </w:pPr>
          </w:p>
        </w:tc>
        <w:tc>
          <w:tcPr>
            <w:tcW w:w="5120" w:type="dxa"/>
            <w:vAlign w:val="bottom"/>
            <w:gridSpan w:val="14"/>
          </w:tcPr>
          <w:p>
            <w:pPr>
              <w:jc w:val="right"/>
              <w:ind w:right="1100"/>
              <w:spacing w:after="0"/>
              <w:rPr>
                <w:sz w:val="20"/>
                <w:szCs w:val="20"/>
                <w:color w:val="auto"/>
              </w:rPr>
            </w:pPr>
            <w:r>
              <w:rPr>
                <w:rFonts w:ascii="Arial" w:cs="Arial" w:eastAsia="Arial" w:hAnsi="Arial"/>
                <w:sz w:val="17"/>
                <w:szCs w:val="17"/>
                <w:color w:val="auto"/>
              </w:rPr>
              <w:t>- 2 -</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60" w:type="dxa"/>
            <w:vAlign w:val="bottom"/>
          </w:tcPr>
          <w:p>
            <w:pPr>
              <w:jc w:val="center"/>
              <w:ind w:left="3354"/>
              <w:spacing w:after="0"/>
              <w:rPr>
                <w:sz w:val="20"/>
                <w:szCs w:val="20"/>
                <w:color w:val="auto"/>
              </w:rPr>
            </w:pPr>
            <w:r>
              <w:rPr>
                <w:rFonts w:ascii="Arial" w:cs="Arial" w:eastAsia="Arial" w:hAnsi="Arial"/>
                <w:sz w:val="17"/>
                <w:szCs w:val="17"/>
                <w:b w:val="1"/>
                <w:bCs w:val="1"/>
                <w:color w:val="auto"/>
              </w:rPr>
              <w:t>PART I – FINANCIAL INFORMATION</w:t>
            </w: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 w:type="dxa"/>
            <w:vAlign w:val="bottom"/>
            <w:gridSpan w:val="2"/>
          </w:tcPr>
          <w:p>
            <w:pPr>
              <w:spacing w:after="0"/>
              <w:rPr>
                <w:sz w:val="20"/>
                <w:szCs w:val="20"/>
                <w:color w:val="auto"/>
              </w:rPr>
            </w:pPr>
            <w:r>
              <w:rPr>
                <w:rFonts w:ascii="Arial" w:cs="Arial" w:eastAsia="Arial" w:hAnsi="Arial"/>
                <w:sz w:val="17"/>
                <w:szCs w:val="17"/>
                <w:b w:val="1"/>
                <w:bCs w:val="1"/>
                <w:color w:val="auto"/>
              </w:rPr>
              <w:t>Item 1.</w:t>
            </w:r>
          </w:p>
        </w:tc>
        <w:tc>
          <w:tcPr>
            <w:tcW w:w="6660" w:type="dxa"/>
            <w:vAlign w:val="bottom"/>
          </w:tcPr>
          <w:p>
            <w:pPr>
              <w:ind w:left="360"/>
              <w:spacing w:after="0"/>
              <w:rPr>
                <w:sz w:val="20"/>
                <w:szCs w:val="20"/>
                <w:color w:val="auto"/>
              </w:rPr>
            </w:pPr>
            <w:r>
              <w:rPr>
                <w:rFonts w:ascii="Arial" w:cs="Arial" w:eastAsia="Arial" w:hAnsi="Arial"/>
                <w:sz w:val="17"/>
                <w:szCs w:val="17"/>
                <w:b w:val="1"/>
                <w:bCs w:val="1"/>
                <w:color w:val="auto"/>
              </w:rPr>
              <w:t>Financial Statements.</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60" w:type="dxa"/>
            <w:vAlign w:val="bottom"/>
          </w:tcPr>
          <w:p>
            <w:pPr>
              <w:jc w:val="center"/>
              <w:ind w:left="3334"/>
              <w:spacing w:after="0"/>
              <w:rPr>
                <w:sz w:val="20"/>
                <w:szCs w:val="20"/>
                <w:color w:val="auto"/>
              </w:rPr>
            </w:pPr>
            <w:r>
              <w:rPr>
                <w:rFonts w:ascii="Arial" w:cs="Arial" w:eastAsia="Arial" w:hAnsi="Arial"/>
                <w:sz w:val="17"/>
                <w:szCs w:val="17"/>
                <w:b w:val="1"/>
                <w:bCs w:val="1"/>
                <w:color w:val="auto"/>
              </w:rPr>
              <w:t>CARRIAGE SERVICES, INC.</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60" w:type="dxa"/>
            <w:vAlign w:val="bottom"/>
          </w:tcPr>
          <w:p>
            <w:pPr>
              <w:jc w:val="center"/>
              <w:ind w:left="3334"/>
              <w:spacing w:after="0"/>
              <w:rPr>
                <w:sz w:val="20"/>
                <w:szCs w:val="20"/>
                <w:color w:val="auto"/>
              </w:rPr>
            </w:pPr>
            <w:r>
              <w:rPr>
                <w:rFonts w:ascii="Arial" w:cs="Arial" w:eastAsia="Arial" w:hAnsi="Arial"/>
                <w:sz w:val="17"/>
                <w:szCs w:val="17"/>
                <w:b w:val="1"/>
                <w:bCs w:val="1"/>
                <w:color w:val="auto"/>
              </w:rPr>
              <w:t>CONSOLIDATED BALANCE SHEET</w:t>
            </w: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60" w:type="dxa"/>
            <w:vAlign w:val="bottom"/>
          </w:tcPr>
          <w:p>
            <w:pPr>
              <w:jc w:val="center"/>
              <w:ind w:left="3334"/>
              <w:spacing w:after="0"/>
              <w:rPr>
                <w:sz w:val="20"/>
                <w:szCs w:val="20"/>
                <w:color w:val="auto"/>
              </w:rPr>
            </w:pPr>
            <w:r>
              <w:rPr>
                <w:rFonts w:ascii="Arial" w:cs="Arial" w:eastAsia="Arial" w:hAnsi="Arial"/>
                <w:sz w:val="16"/>
                <w:szCs w:val="16"/>
                <w:b w:val="1"/>
                <w:bCs w:val="1"/>
                <w:color w:val="auto"/>
                <w:w w:val="89"/>
              </w:rPr>
              <w:t>(in thousands, except share data)</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(unaudited)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66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December 31, 2020</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60" w:type="dxa"/>
            <w:vAlign w:val="bottom"/>
            <w:shd w:val="clear" w:color="auto" w:fill="CCEEFF"/>
          </w:tcPr>
          <w:p>
            <w:pPr>
              <w:ind w:left="2720"/>
              <w:spacing w:after="0"/>
              <w:rPr>
                <w:sz w:val="20"/>
                <w:szCs w:val="20"/>
                <w:color w:val="auto"/>
              </w:rPr>
            </w:pPr>
            <w:r>
              <w:rPr>
                <w:rFonts w:ascii="Arial" w:cs="Arial" w:eastAsia="Arial" w:hAnsi="Arial"/>
                <w:sz w:val="17"/>
                <w:szCs w:val="17"/>
                <w:b w:val="1"/>
                <w:bCs w:val="1"/>
                <w:color w:val="auto"/>
              </w:rPr>
              <w:t>ASSETS</w:t>
            </w:r>
          </w:p>
        </w:tc>
        <w:tc>
          <w:tcPr>
            <w:tcW w:w="3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Cash and cash equivalents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0"/>
              <w:spacing w:after="0"/>
              <w:rPr>
                <w:sz w:val="20"/>
                <w:szCs w:val="20"/>
                <w:color w:val="auto"/>
              </w:rPr>
            </w:pPr>
            <w:r>
              <w:rPr>
                <w:rFonts w:ascii="Arial" w:cs="Arial" w:eastAsia="Arial" w:hAnsi="Arial"/>
                <w:sz w:val="17"/>
                <w:szCs w:val="17"/>
                <w:color w:val="auto"/>
              </w:rPr>
              <w:t>Accounts receivable, net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25,103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23,835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Inventories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Prepaid and other current assets</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 current assets</w:t>
            </w: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35,327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Preneed cemetery trust investments</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86,604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98,539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Preneed funeral trust investments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101,235</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Preneed cemetery receivables, net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21,081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22,427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Receivables from preneed funeral trusts, net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16,844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17,758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net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269,051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267,431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Cemetery property, net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101,134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392,978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391,972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Intangible and other non-current assets, net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Operating lease right-of-use assets</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21,201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20,256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Cemetery perpetual care trust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70,828</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1,145,825</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60" w:type="dxa"/>
            <w:vAlign w:val="bottom"/>
            <w:shd w:val="clear" w:color="auto" w:fill="CCEEFF"/>
          </w:tcPr>
          <w:p>
            <w:pPr>
              <w:ind w:left="1180"/>
              <w:spacing w:after="0" w:line="186" w:lineRule="exact"/>
              <w:rPr>
                <w:sz w:val="20"/>
                <w:szCs w:val="20"/>
                <w:color w:val="auto"/>
              </w:rPr>
            </w:pPr>
            <w:r>
              <w:rPr>
                <w:rFonts w:ascii="Arial" w:cs="Arial" w:eastAsia="Arial" w:hAnsi="Arial"/>
                <w:sz w:val="17"/>
                <w:szCs w:val="17"/>
                <w:b w:val="1"/>
                <w:bCs w:val="1"/>
                <w:color w:val="auto"/>
              </w:rPr>
              <w:t>LIABILITIES AND STOCKHOLDERS’ EQUITY</w:t>
            </w:r>
          </w:p>
        </w:tc>
        <w:tc>
          <w:tcPr>
            <w:tcW w:w="3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Current liabilities:</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Current portion of debt and lease obligations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11,259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11,650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Accrued and other liabilities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31,138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33,671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Convertible subordinated notes due 2021</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2,538</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 current liabilities</w:t>
            </w: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48,367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Acquisition debt, net of current portion</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4,482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4,401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Credit facility</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46,064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Senior notes</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395,968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394,303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Obligations under finance leases, net of current portion</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Obligations under operating leases, net of current portion</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20,302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19,420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preneed cemetery revenue</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Deferred preneed funeral revenue</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27,992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29,143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liability</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46,477</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4,748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3,162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preneed cemetery receipts held in trust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86,604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Deferred preneed funeral receipts held in trust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101,235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109,791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Care trusts’ corpus</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69,707</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Total liabilities</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905,323</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936,132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3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Stockholders’ equity:</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2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7"/>
                <w:szCs w:val="17"/>
                <w:color w:val="auto"/>
                <w:w w:val="97"/>
              </w:rPr>
              <w:t>Common stock, $0.01 par value; 80,000,000 shares authorized and 26,020,494 and 26,175,767</w:t>
            </w:r>
          </w:p>
        </w:tc>
        <w:tc>
          <w:tcPr>
            <w:tcW w:w="3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shares issued, respectively and 17,995,155 and 17,825,724 shares outstanding, respectively</w:t>
            </w:r>
          </w:p>
        </w:tc>
        <w:tc>
          <w:tcPr>
            <w:tcW w:w="3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0"/>
              <w:spacing w:after="0"/>
              <w:rPr>
                <w:sz w:val="20"/>
                <w:szCs w:val="20"/>
                <w:color w:val="auto"/>
              </w:rPr>
            </w:pPr>
            <w:r>
              <w:rPr>
                <w:rFonts w:ascii="Arial" w:cs="Arial" w:eastAsia="Arial" w:hAnsi="Arial"/>
                <w:sz w:val="17"/>
                <w:szCs w:val="17"/>
                <w:color w:val="auto"/>
              </w:rPr>
              <w:t>Additional paid-in capital</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239,989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237,891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Retained earnings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102,303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Treasury stock, at cost; 8,025,339 and 8,350,043 at December 31, 2020 and June 30, 2021</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(102,050)</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240,502</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232,871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Arial" w:cs="Arial" w:eastAsia="Arial" w:hAnsi="Arial"/>
                <w:sz w:val="17"/>
                <w:szCs w:val="17"/>
                <w:color w:val="auto"/>
              </w:rPr>
              <w:t>Total liabilities and stockholders’ equity</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1,145,825</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condensed notes are an integral part of these Consolidated Financial Statements.</w:t>
      </w:r>
    </w:p>
    <w:p>
      <w:pPr>
        <w:sectPr>
          <w:pgSz w:w="11900" w:h="16838" w:orient="portrait"/>
          <w:cols w:equalWidth="0" w:num="1">
            <w:col w:w="11240"/>
          </w:cols>
          <w:pgMar w:left="320" w:top="85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CARRIAGE SERVICES,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5"/>
          </w:tcPr>
          <w:p>
            <w:pPr>
              <w:ind w:left="140"/>
              <w:spacing w:after="0"/>
              <w:rPr>
                <w:sz w:val="20"/>
                <w:szCs w:val="20"/>
                <w:color w:val="auto"/>
              </w:rPr>
            </w:pPr>
            <w:r>
              <w:rPr>
                <w:rFonts w:ascii="Arial" w:cs="Arial" w:eastAsia="Arial" w:hAnsi="Arial"/>
                <w:sz w:val="15"/>
                <w:szCs w:val="15"/>
                <w:b w:val="1"/>
                <w:bCs w:val="1"/>
                <w:color w:val="auto"/>
              </w:rPr>
              <w:t>Three months ended June 30,</w:t>
            </w:r>
          </w:p>
        </w:tc>
        <w:tc>
          <w:tcPr>
            <w:tcW w:w="380" w:type="dxa"/>
            <w:vAlign w:val="bottom"/>
          </w:tcPr>
          <w:p>
            <w:pPr>
              <w:spacing w:after="0"/>
              <w:rPr>
                <w:sz w:val="17"/>
                <w:szCs w:val="17"/>
                <w:color w:val="auto"/>
              </w:rPr>
            </w:pPr>
          </w:p>
        </w:tc>
        <w:tc>
          <w:tcPr>
            <w:tcW w:w="206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340"/>
              <w:spacing w:after="0"/>
              <w:rPr>
                <w:sz w:val="20"/>
                <w:szCs w:val="20"/>
                <w:color w:val="auto"/>
              </w:rPr>
            </w:pPr>
            <w:r>
              <w:rPr>
                <w:rFonts w:ascii="Arial" w:cs="Arial" w:eastAsia="Arial" w:hAnsi="Arial"/>
                <w:sz w:val="17"/>
                <w:szCs w:val="17"/>
                <w:color w:val="auto"/>
              </w:rPr>
              <w:t>Service revenue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38,880</w:t>
            </w:r>
          </w:p>
        </w:tc>
        <w:tc>
          <w:tcPr>
            <w:tcW w:w="16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40,119</w:t>
            </w:r>
          </w:p>
        </w:tc>
        <w:tc>
          <w:tcPr>
            <w:tcW w:w="16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79,612</w:t>
            </w:r>
          </w:p>
        </w:tc>
        <w:tc>
          <w:tcPr>
            <w:tcW w:w="160" w:type="dxa"/>
            <w:vAlign w:val="bottom"/>
          </w:tcPr>
          <w:p>
            <w:pPr>
              <w:spacing w:after="0"/>
              <w:rPr>
                <w:sz w:val="19"/>
                <w:szCs w:val="19"/>
                <w:color w:val="auto"/>
              </w:rPr>
            </w:pPr>
          </w:p>
        </w:tc>
        <w:tc>
          <w:tcPr>
            <w:tcW w:w="820" w:type="dxa"/>
            <w:vAlign w:val="bottom"/>
          </w:tcPr>
          <w:p>
            <w:pPr>
              <w:jc w:val="right"/>
              <w:ind w:right="63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87,876</w:t>
            </w: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Property and merchandise revenue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32,642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41,606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63,913</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83,502</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revenue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5,955</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11,442</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13,536</w:t>
            </w: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77,477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88,277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154,967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184,914</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Field costs and expenses: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service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19,583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39,679</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40,550</w:t>
            </w:r>
          </w:p>
        </w:tc>
        <w:tc>
          <w:tcPr>
            <w:tcW w:w="0" w:type="dxa"/>
            <w:vAlign w:val="bottom"/>
          </w:tcPr>
          <w:p>
            <w:pPr>
              <w:spacing w:after="0"/>
              <w:rPr>
                <w:sz w:val="1"/>
                <w:szCs w:val="1"/>
                <w:color w:val="auto"/>
              </w:rPr>
            </w:pPr>
          </w:p>
        </w:tc>
      </w:tr>
      <w:tr>
        <w:trPr>
          <w:trHeight w:val="219"/>
        </w:trPr>
        <w:tc>
          <w:tcPr>
            <w:tcW w:w="5300" w:type="dxa"/>
            <w:vAlign w:val="bottom"/>
          </w:tcPr>
          <w:p>
            <w:pPr>
              <w:ind w:left="340"/>
              <w:spacing w:after="0"/>
              <w:rPr>
                <w:sz w:val="20"/>
                <w:szCs w:val="20"/>
                <w:color w:val="auto"/>
              </w:rPr>
            </w:pPr>
            <w:r>
              <w:rPr>
                <w:rFonts w:ascii="Arial" w:cs="Arial" w:eastAsia="Arial" w:hAnsi="Arial"/>
                <w:sz w:val="17"/>
                <w:szCs w:val="17"/>
                <w:color w:val="auto"/>
              </w:rPr>
              <w:t>Cost of merchandise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24,612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27,520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49,675</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56,040</w:t>
            </w: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Cemetery property amortization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3,692</w:t>
            </w:r>
          </w:p>
        </w:tc>
        <w:tc>
          <w:tcPr>
            <w:tcW w:w="0" w:type="dxa"/>
            <w:vAlign w:val="bottom"/>
          </w:tcPr>
          <w:p>
            <w:pPr>
              <w:spacing w:after="0"/>
              <w:rPr>
                <w:sz w:val="1"/>
                <w:szCs w:val="1"/>
                <w:color w:val="auto"/>
              </w:rPr>
            </w:pPr>
          </w:p>
        </w:tc>
      </w:tr>
      <w:tr>
        <w:trPr>
          <w:trHeight w:val="219"/>
        </w:trPr>
        <w:tc>
          <w:tcPr>
            <w:tcW w:w="5300" w:type="dxa"/>
            <w:vAlign w:val="bottom"/>
          </w:tcPr>
          <w:p>
            <w:pPr>
              <w:ind w:left="340"/>
              <w:spacing w:after="0"/>
              <w:rPr>
                <w:sz w:val="20"/>
                <w:szCs w:val="20"/>
                <w:color w:val="auto"/>
              </w:rPr>
            </w:pPr>
            <w:r>
              <w:rPr>
                <w:rFonts w:ascii="Arial" w:cs="Arial" w:eastAsia="Arial" w:hAnsi="Arial"/>
                <w:sz w:val="17"/>
                <w:szCs w:val="17"/>
                <w:color w:val="auto"/>
              </w:rPr>
              <w:t>Field depreciation expense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3,247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3,142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6,537</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6,278</w:t>
            </w: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Regional and unallocated funeral and cemetery costs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6,473</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11,843</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2,523</w:t>
            </w: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52,317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59,350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106,636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120,926</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25,160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28,927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48,331</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63,988</w:t>
            </w: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costs and expenses: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340"/>
              <w:spacing w:after="0"/>
              <w:rPr>
                <w:sz w:val="20"/>
                <w:szCs w:val="20"/>
                <w:color w:val="auto"/>
              </w:rPr>
            </w:pPr>
            <w:r>
              <w:rPr>
                <w:rFonts w:ascii="Arial" w:cs="Arial" w:eastAsia="Arial" w:hAnsi="Arial"/>
                <w:sz w:val="17"/>
                <w:szCs w:val="17"/>
                <w:color w:val="auto"/>
              </w:rPr>
              <w:t>General, administrative and other</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6,540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6,899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12,486</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15,733</w:t>
            </w: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Home office depreciation and amortization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Net loss on divestitures, disposals and impairments charges</w:t>
            </w: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14,693</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519</w:t>
            </w:r>
          </w:p>
        </w:tc>
        <w:tc>
          <w:tcPr>
            <w:tcW w:w="0" w:type="dxa"/>
            <w:vAlign w:val="bottom"/>
          </w:tcPr>
          <w:p>
            <w:pPr>
              <w:spacing w:after="0"/>
              <w:rPr>
                <w:sz w:val="1"/>
                <w:szCs w:val="1"/>
                <w:color w:val="auto"/>
              </w:rPr>
            </w:pPr>
          </w:p>
        </w:tc>
      </w:tr>
      <w:tr>
        <w:trPr>
          <w:trHeight w:val="21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18,266</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20,924</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20,416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47,170</w:t>
            </w:r>
          </w:p>
        </w:tc>
        <w:tc>
          <w:tcPr>
            <w:tcW w:w="0" w:type="dxa"/>
            <w:vAlign w:val="bottom"/>
          </w:tcPr>
          <w:p>
            <w:pPr>
              <w:spacing w:after="0"/>
              <w:rPr>
                <w:sz w:val="1"/>
                <w:szCs w:val="1"/>
                <w:color w:val="auto"/>
              </w:rPr>
            </w:pPr>
          </w:p>
        </w:tc>
      </w:tr>
      <w:tr>
        <w:trPr>
          <w:trHeight w:val="207"/>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(16,780)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(15,062)</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Accretion of discount on convertible subordinated notes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(23,807)</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net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8,215</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Benefit (expense) for income taxes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(3,299)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3,417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(1,163)</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(2,341)</w:t>
            </w: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adjustment related to discrete items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892</w:t>
            </w:r>
          </w:p>
        </w:tc>
        <w:tc>
          <w:tcPr>
            <w:tcW w:w="0" w:type="dxa"/>
            <w:vAlign w:val="bottom"/>
          </w:tcPr>
          <w:p>
            <w:pPr>
              <w:spacing w:after="0"/>
              <w:rPr>
                <w:sz w:val="1"/>
                <w:szCs w:val="1"/>
                <w:color w:val="auto"/>
              </w:rPr>
            </w:pPr>
          </w:p>
        </w:tc>
      </w:tr>
      <w:tr>
        <w:trPr>
          <w:trHeight w:val="212"/>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benefit (expense) for income taxes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(3,449)</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4,192</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(1,299)</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(1,449)</w:t>
            </w:r>
          </w:p>
        </w:tc>
        <w:tc>
          <w:tcPr>
            <w:tcW w:w="0" w:type="dxa"/>
            <w:vAlign w:val="bottom"/>
          </w:tcPr>
          <w:p>
            <w:pPr>
              <w:spacing w:after="0"/>
              <w:rPr>
                <w:sz w:val="1"/>
                <w:szCs w:val="1"/>
                <w:color w:val="auto"/>
              </w:rPr>
            </w:pPr>
          </w:p>
        </w:tc>
      </w:tr>
      <w:tr>
        <w:trPr>
          <w:trHeight w:val="23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6,397</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(6,167)</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earnings (loss) per common share: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00" w:type="dxa"/>
            <w:vAlign w:val="bottom"/>
          </w:tcPr>
          <w:p>
            <w:pPr>
              <w:ind w:left="20"/>
              <w:spacing w:after="0" w:line="191" w:lineRule="exact"/>
              <w:rPr>
                <w:sz w:val="20"/>
                <w:szCs w:val="20"/>
                <w:color w:val="auto"/>
              </w:rPr>
            </w:pPr>
            <w:r>
              <w:rPr>
                <w:rFonts w:ascii="Arial" w:cs="Arial" w:eastAsia="Arial" w:hAnsi="Arial"/>
                <w:sz w:val="17"/>
                <w:szCs w:val="17"/>
                <w:color w:val="auto"/>
              </w:rPr>
              <w:t>Diluted earnings (loss) per common share:</w:t>
            </w:r>
          </w:p>
        </w:tc>
        <w:tc>
          <w:tcPr>
            <w:tcW w:w="240" w:type="dxa"/>
            <w:vAlign w:val="bottom"/>
            <w:tcBorders>
              <w:bottom w:val="single" w:sz="8" w:color="auto"/>
            </w:tcBorders>
          </w:tcPr>
          <w:p>
            <w:pPr>
              <w:jc w:val="right"/>
              <w:ind w:right="54"/>
              <w:spacing w:after="0" w:line="191"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0.36</w:t>
            </w:r>
          </w:p>
        </w:tc>
        <w:tc>
          <w:tcPr>
            <w:tcW w:w="160" w:type="dxa"/>
            <w:vAlign w:val="bottom"/>
          </w:tcPr>
          <w:p>
            <w:pPr>
              <w:spacing w:after="0"/>
              <w:rPr>
                <w:sz w:val="16"/>
                <w:szCs w:val="16"/>
                <w:color w:val="auto"/>
              </w:rPr>
            </w:pPr>
          </w:p>
        </w:tc>
        <w:tc>
          <w:tcPr>
            <w:tcW w:w="380" w:type="dxa"/>
            <w:vAlign w:val="bottom"/>
            <w:tcBorders>
              <w:bottom w:val="single" w:sz="8" w:color="auto"/>
            </w:tcBorders>
          </w:tcPr>
          <w:p>
            <w:pPr>
              <w:jc w:val="right"/>
              <w:ind w:right="174"/>
              <w:spacing w:after="0" w:line="191"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(0.33)</w:t>
            </w:r>
          </w:p>
        </w:tc>
        <w:tc>
          <w:tcPr>
            <w:tcW w:w="16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0.12</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ind w:right="634"/>
              <w:spacing w:after="0" w:line="191" w:lineRule="exact"/>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Dividends declared per common share: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0.075</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0.100</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0.150</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0.200</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tcPr>
          <w:p>
            <w:pPr>
              <w:ind w:left="20"/>
              <w:spacing w:after="0" w:line="168" w:lineRule="exact"/>
              <w:rPr>
                <w:sz w:val="20"/>
                <w:szCs w:val="20"/>
                <w:color w:val="auto"/>
              </w:rPr>
            </w:pPr>
            <w:r>
              <w:rPr>
                <w:rFonts w:ascii="Arial" w:cs="Arial" w:eastAsia="Arial" w:hAnsi="Arial"/>
                <w:sz w:val="17"/>
                <w:szCs w:val="17"/>
                <w:color w:val="auto"/>
                <w:w w:val="99"/>
              </w:rPr>
              <w:t>Weighted average number of common and common equivalent shares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300" w:type="dxa"/>
            <w:vAlign w:val="bottom"/>
          </w:tcPr>
          <w:p>
            <w:pPr>
              <w:ind w:left="20"/>
              <w:spacing w:after="0"/>
              <w:rPr>
                <w:sz w:val="20"/>
                <w:szCs w:val="20"/>
                <w:color w:val="auto"/>
              </w:rPr>
            </w:pPr>
            <w:r>
              <w:rPr>
                <w:rFonts w:ascii="Arial" w:cs="Arial" w:eastAsia="Arial" w:hAnsi="Arial"/>
                <w:sz w:val="17"/>
                <w:szCs w:val="17"/>
                <w:color w:val="auto"/>
              </w:rPr>
              <w:t>outstanding:</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17,860</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17,967</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17,833</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17,966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7"/>
                <w:szCs w:val="17"/>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17,889</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18,511</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17,862</w:t>
            </w:r>
          </w:p>
        </w:tc>
        <w:tc>
          <w:tcPr>
            <w:tcW w:w="1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18,364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condensed notes are an integral part of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t>CARRIAGE SERVICES,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and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r>
      <w:tr>
        <w:trPr>
          <w:trHeight w:val="200"/>
        </w:trPr>
        <w:tc>
          <w:tcPr>
            <w:tcW w:w="80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2,200</w:t>
            </w:r>
          </w:p>
        </w:tc>
        <w:tc>
          <w:tcPr>
            <w:tcW w:w="220" w:type="dxa"/>
            <w:vAlign w:val="bottom"/>
          </w:tcPr>
          <w:p>
            <w:pPr>
              <w:spacing w:after="0"/>
              <w:rPr>
                <w:sz w:val="17"/>
                <w:szCs w:val="17"/>
                <w:color w:val="auto"/>
              </w:rPr>
            </w:pP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6,766</w:t>
            </w:r>
          </w:p>
        </w:tc>
      </w:tr>
      <w:tr>
        <w:trPr>
          <w:trHeight w:val="209"/>
        </w:trPr>
        <w:tc>
          <w:tcPr>
            <w:tcW w:w="8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9,247</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10,536</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Provision for credit losses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1,507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849</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Stock-based compensation expense</w:t>
            </w:r>
          </w:p>
        </w:tc>
        <w:tc>
          <w:tcPr>
            <w:tcW w:w="3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1,546</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2,537</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income tax expense (benefit)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4,867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(4,461)</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Amortization of intangibles</w:t>
            </w:r>
          </w:p>
        </w:tc>
        <w:tc>
          <w:tcPr>
            <w:tcW w:w="3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638</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645</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Amortization of debt issuance costs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345</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Amortization and accretion of debt</w:t>
            </w:r>
          </w:p>
        </w:tc>
        <w:tc>
          <w:tcPr>
            <w:tcW w:w="3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282</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201</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Loss on extinguishment of debt</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23,807</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Net loss on divestitures, disposals and impairment charges</w:t>
            </w:r>
          </w:p>
        </w:tc>
        <w:tc>
          <w:tcPr>
            <w:tcW w:w="3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14,789</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700</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Other</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90"/>
        </w:trPr>
        <w:tc>
          <w:tcPr>
            <w:tcW w:w="8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07"/>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Changes in operating assets and liabilities that provided (required) cash:</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Accounts and preneed receivables</w:t>
            </w:r>
          </w:p>
        </w:tc>
        <w:tc>
          <w:tcPr>
            <w:tcW w:w="3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2,231</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(702)</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Inventories, prepaid and other current assets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(894)</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Intangible and other non-current assets</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(503)</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(592)</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Preneed funeral and cemetery trust investments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(18,473)</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Accounts payable</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(516)</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(471)</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Accrued and other liabilities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1,382</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Deferred preneed funeral and cemetery revenue</w:t>
            </w:r>
          </w:p>
        </w:tc>
        <w:tc>
          <w:tcPr>
            <w:tcW w:w="3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1,054</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1,977</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preneed funeral and cemetery receipts held in trust</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54</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17,289</w:t>
            </w:r>
          </w:p>
        </w:tc>
      </w:tr>
      <w:tr>
        <w:trPr>
          <w:trHeight w:val="197"/>
        </w:trPr>
        <w:tc>
          <w:tcPr>
            <w:tcW w:w="8080" w:type="dxa"/>
            <w:vAlign w:val="bottom"/>
          </w:tcPr>
          <w:p>
            <w:pPr>
              <w:ind w:left="760"/>
              <w:spacing w:after="0"/>
              <w:rPr>
                <w:sz w:val="20"/>
                <w:szCs w:val="20"/>
                <w:color w:val="auto"/>
              </w:rPr>
            </w:pPr>
            <w:r>
              <w:rPr>
                <w:rFonts w:ascii="Arial" w:cs="Arial" w:eastAsia="Arial" w:hAnsi="Arial"/>
                <w:sz w:val="15"/>
                <w:szCs w:val="15"/>
                <w:color w:val="auto"/>
              </w:rPr>
              <w:t>Net cash provided by operating activities</w:t>
            </w:r>
          </w:p>
        </w:tc>
        <w:tc>
          <w:tcPr>
            <w:tcW w:w="3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31,001</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41,441</w:t>
            </w:r>
          </w:p>
        </w:tc>
      </w:tr>
      <w:tr>
        <w:trPr>
          <w:trHeight w:val="93"/>
        </w:trPr>
        <w:tc>
          <w:tcPr>
            <w:tcW w:w="80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5"/>
                <w:szCs w:val="15"/>
                <w:color w:val="auto"/>
              </w:rPr>
              <w:t>Cash flows from investing activities:</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Acquisition of businesses and real estate</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(28,011)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(2,935)</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Proceeds from divestitures and sale of other assets</w:t>
            </w:r>
          </w:p>
        </w:tc>
        <w:tc>
          <w:tcPr>
            <w:tcW w:w="3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78</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3,622</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Proceeds from insurance reimbursements</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120</w:t>
            </w:r>
          </w:p>
        </w:tc>
      </w:tr>
      <w:tr>
        <w:trPr>
          <w:trHeight w:val="204"/>
        </w:trPr>
        <w:tc>
          <w:tcPr>
            <w:tcW w:w="808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Capital expenditures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(5,786)</w:t>
            </w:r>
          </w:p>
        </w:tc>
        <w:tc>
          <w:tcPr>
            <w:tcW w:w="2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(8,751)</w:t>
            </w:r>
          </w:p>
        </w:tc>
      </w:tr>
      <w:tr>
        <w:trPr>
          <w:trHeight w:val="202"/>
        </w:trPr>
        <w:tc>
          <w:tcPr>
            <w:tcW w:w="8080" w:type="dxa"/>
            <w:vAlign w:val="bottom"/>
            <w:shd w:val="clear" w:color="auto" w:fill="CCEEFF"/>
          </w:tcPr>
          <w:p>
            <w:pPr>
              <w:ind w:left="760"/>
              <w:spacing w:after="0"/>
              <w:rPr>
                <w:sz w:val="20"/>
                <w:szCs w:val="20"/>
                <w:color w:val="auto"/>
              </w:rPr>
            </w:pPr>
            <w:r>
              <w:rPr>
                <w:rFonts w:ascii="Arial" w:cs="Arial" w:eastAsia="Arial" w:hAnsi="Arial"/>
                <w:sz w:val="15"/>
                <w:szCs w:val="15"/>
                <w:color w:val="auto"/>
              </w:rPr>
              <w:t>Net cash used in investing activities</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(33,719)</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(7,944)</w:t>
            </w:r>
          </w:p>
        </w:tc>
      </w:tr>
      <w:tr>
        <w:trPr>
          <w:trHeight w:val="90"/>
        </w:trPr>
        <w:tc>
          <w:tcPr>
            <w:tcW w:w="8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07"/>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financing activities:</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Borrowings from the credit facility</w:t>
            </w:r>
          </w:p>
        </w:tc>
        <w:tc>
          <w:tcPr>
            <w:tcW w:w="3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75,900</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w w:val="99"/>
              </w:rPr>
              <w:t>100,868</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Payments against the credit facility</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(87,568)</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Payment of call premium for the redemption of the senior notes due 2026</w:t>
            </w:r>
          </w:p>
        </w:tc>
        <w:tc>
          <w:tcPr>
            <w:tcW w:w="38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(19,876)</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Payments of debt issuance and transaction costs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(6,430)</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Conversions and maturity of the convertible subordinated notes due 2021</w:t>
            </w:r>
          </w:p>
        </w:tc>
        <w:tc>
          <w:tcPr>
            <w:tcW w:w="38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(3,980)</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Payments on acquisition debt and obligations under finance leases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Payments on contingent consideration recorded at acquisition date</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(169)</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(461)</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Proceeds from the exercise of stock options and employee stock purchase plan</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624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1,495</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Taxes paid on restricted stock vestings and exercise of stock options</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(234)</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(1,323)</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Dividends paid on common stock</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(3,607)</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Purchase of treasury stock</w:t>
            </w:r>
          </w:p>
        </w:tc>
        <w:tc>
          <w:tcPr>
            <w:tcW w:w="38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(11,559)</w:t>
            </w:r>
          </w:p>
        </w:tc>
      </w:tr>
      <w:tr>
        <w:trPr>
          <w:trHeight w:val="202"/>
        </w:trPr>
        <w:tc>
          <w:tcPr>
            <w:tcW w:w="808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Net cash provided by (used in) financing activities</w:t>
            </w: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2,694</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(32,893)</w:t>
            </w:r>
          </w:p>
        </w:tc>
      </w:tr>
      <w:tr>
        <w:trPr>
          <w:trHeight w:val="90"/>
        </w:trPr>
        <w:tc>
          <w:tcPr>
            <w:tcW w:w="8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07"/>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604</w:t>
            </w:r>
          </w:p>
        </w:tc>
      </w:tr>
      <w:tr>
        <w:trPr>
          <w:trHeight w:val="204"/>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and cash equivalents at beginning of period</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716</w:t>
            </w:r>
          </w:p>
        </w:tc>
        <w:tc>
          <w:tcPr>
            <w:tcW w:w="2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889</w:t>
            </w:r>
          </w:p>
        </w:tc>
      </w:tr>
      <w:tr>
        <w:trPr>
          <w:trHeight w:val="22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692</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1,493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condensed notes are an integral part of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85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CARRIAGE SERVICES,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9"/>
          </w:tcPr>
          <w:p>
            <w:pPr>
              <w:jc w:val="right"/>
              <w:ind w:right="94"/>
              <w:spacing w:after="0"/>
              <w:rPr>
                <w:sz w:val="20"/>
                <w:szCs w:val="20"/>
                <w:color w:val="auto"/>
              </w:rPr>
            </w:pPr>
            <w:r>
              <w:rPr>
                <w:rFonts w:ascii="Arial" w:cs="Arial" w:eastAsia="Arial" w:hAnsi="Arial"/>
                <w:sz w:val="17"/>
                <w:szCs w:val="17"/>
                <w:b w:val="1"/>
                <w:bCs w:val="1"/>
                <w:color w:val="auto"/>
                <w:w w:val="90"/>
              </w:rPr>
              <w:t>Three months ended June 30, 2020</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4120" w:type="dxa"/>
            <w:vAlign w:val="bottom"/>
          </w:tcPr>
          <w:p>
            <w:pPr>
              <w:spacing w:after="0"/>
              <w:rPr>
                <w:sz w:val="10"/>
                <w:szCs w:val="10"/>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0"/>
                <w:szCs w:val="10"/>
                <w:color w:val="auto"/>
              </w:rPr>
            </w:pPr>
          </w:p>
        </w:tc>
        <w:tc>
          <w:tcPr>
            <w:tcW w:w="840" w:type="dxa"/>
            <w:vAlign w:val="bottom"/>
            <w:vMerge w:val="restart"/>
          </w:tcPr>
          <w:p>
            <w:pPr>
              <w:jc w:val="right"/>
              <w:ind w:right="158"/>
              <w:spacing w:after="0"/>
              <w:rPr>
                <w:sz w:val="20"/>
                <w:szCs w:val="20"/>
                <w:color w:val="auto"/>
              </w:rPr>
            </w:pPr>
            <w:r>
              <w:rPr>
                <w:rFonts w:ascii="Arial" w:cs="Arial" w:eastAsia="Arial" w:hAnsi="Arial"/>
                <w:sz w:val="14"/>
                <w:szCs w:val="14"/>
                <w:color w:val="auto"/>
              </w:rPr>
              <w:t>Common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7"/>
              </w:rPr>
              <w:t>Additional</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Treasury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1"/>
              </w:rPr>
              <w:t>Paid-in</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36"/>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8"/>
        </w:trPr>
        <w:tc>
          <w:tcPr>
            <w:tcW w:w="4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color w:val="auto"/>
              </w:rPr>
              <w:t>Stock</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color w:val="auto"/>
                <w:w w:val="91"/>
              </w:rPr>
              <w:t>Capital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Stock</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 March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242,234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(102,050)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222,459</w:t>
            </w: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6,397</w:t>
            </w: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ind w:left="200"/>
              <w:spacing w:after="0" w:line="169" w:lineRule="exact"/>
              <w:rPr>
                <w:sz w:val="20"/>
                <w:szCs w:val="20"/>
                <w:color w:val="auto"/>
              </w:rPr>
            </w:pPr>
            <w:r>
              <w:rPr>
                <w:rFonts w:ascii="Arial" w:cs="Arial" w:eastAsia="Arial" w:hAnsi="Arial"/>
                <w:sz w:val="17"/>
                <w:szCs w:val="17"/>
                <w:color w:val="auto"/>
              </w:rPr>
              <w:t>Issuance of common stock from employee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purchase plan</w:t>
            </w: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rPr>
              <w:t>Issuance of common stock to directors</w:t>
            </w:r>
          </w:p>
        </w:tc>
        <w:tc>
          <w:tcPr>
            <w:tcW w:w="11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Dividends on common stock</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232"/>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 June 30, 2020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241,868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(102,050)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228,491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9"/>
          </w:tcPr>
          <w:p>
            <w:pPr>
              <w:jc w:val="right"/>
              <w:ind w:right="94"/>
              <w:spacing w:after="0"/>
              <w:rPr>
                <w:sz w:val="20"/>
                <w:szCs w:val="20"/>
                <w:color w:val="auto"/>
              </w:rPr>
            </w:pPr>
            <w:r>
              <w:rPr>
                <w:rFonts w:ascii="Arial" w:cs="Arial" w:eastAsia="Arial" w:hAnsi="Arial"/>
                <w:sz w:val="17"/>
                <w:szCs w:val="17"/>
                <w:b w:val="1"/>
                <w:bCs w:val="1"/>
                <w:color w:val="auto"/>
                <w:w w:val="89"/>
              </w:rPr>
              <w:t>Three months ended June 30, 2021</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4120" w:type="dxa"/>
            <w:vAlign w:val="bottom"/>
          </w:tcPr>
          <w:p>
            <w:pPr>
              <w:spacing w:after="0"/>
              <w:rPr>
                <w:sz w:val="10"/>
                <w:szCs w:val="10"/>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0"/>
                <w:szCs w:val="10"/>
                <w:color w:val="auto"/>
              </w:rPr>
            </w:pPr>
          </w:p>
        </w:tc>
        <w:tc>
          <w:tcPr>
            <w:tcW w:w="860" w:type="dxa"/>
            <w:vAlign w:val="bottom"/>
            <w:vMerge w:val="restart"/>
          </w:tcPr>
          <w:p>
            <w:pPr>
              <w:jc w:val="right"/>
              <w:ind w:right="177"/>
              <w:spacing w:after="0"/>
              <w:rPr>
                <w:sz w:val="20"/>
                <w:szCs w:val="20"/>
                <w:color w:val="auto"/>
              </w:rPr>
            </w:pPr>
            <w:r>
              <w:rPr>
                <w:rFonts w:ascii="Arial" w:cs="Arial" w:eastAsia="Arial" w:hAnsi="Arial"/>
                <w:sz w:val="14"/>
                <w:szCs w:val="14"/>
                <w:color w:val="auto"/>
              </w:rPr>
              <w:t>Common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4"/>
              </w:rPr>
              <w:t>Additional</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Treasury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7"/>
              </w:rPr>
              <w:t>Paid-in</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16"/>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8"/>
        </w:trPr>
        <w:tc>
          <w:tcPr>
            <w:tcW w:w="4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Stock</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color w:val="auto"/>
                <w:w w:val="87"/>
              </w:rPr>
              <w:t>Capital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Stock</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 March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251,503</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Net loss</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(6,167)</w:t>
            </w: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Issuance of common stock from employee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plan</w:t>
            </w: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Issuance of common stock to directors</w:t>
            </w:r>
          </w:p>
        </w:tc>
        <w:tc>
          <w:tcPr>
            <w:tcW w:w="11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w w:val="94"/>
              </w:rPr>
              <w:t>Cancellation and surrender of restricted common stock</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Dividends on common stock</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(1,808)</w:t>
            </w: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Treasury stock acquired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(12,301)</w:t>
            </w: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 June 30, 2021</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232,871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condensed notes are an integral part of these Consolidated Financial Statements.</w:t>
      </w:r>
    </w:p>
    <w:p>
      <w:pPr>
        <w:sectPr>
          <w:pgSz w:w="11900" w:h="16838" w:orient="portrait"/>
          <w:cols w:equalWidth="0" w:num="1">
            <w:col w:w="11240"/>
          </w:cols>
          <w:pgMar w:left="320" w:top="8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CARRIAGE SERVICES,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7"/>
          </w:tcPr>
          <w:p>
            <w:pPr>
              <w:ind w:left="80"/>
              <w:spacing w:after="0"/>
              <w:rPr>
                <w:sz w:val="20"/>
                <w:szCs w:val="20"/>
                <w:color w:val="auto"/>
              </w:rPr>
            </w:pPr>
            <w:r>
              <w:rPr>
                <w:rFonts w:ascii="Arial" w:cs="Arial" w:eastAsia="Arial" w:hAnsi="Arial"/>
                <w:sz w:val="17"/>
                <w:szCs w:val="17"/>
                <w:b w:val="1"/>
                <w:bCs w:val="1"/>
                <w:color w:val="auto"/>
                <w:w w:val="91"/>
              </w:rPr>
              <w:t>Six months ended June 30, 2020</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4120" w:type="dxa"/>
            <w:vAlign w:val="bottom"/>
          </w:tcPr>
          <w:p>
            <w:pPr>
              <w:spacing w:after="0"/>
              <w:rPr>
                <w:sz w:val="10"/>
                <w:szCs w:val="10"/>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0"/>
                <w:szCs w:val="10"/>
                <w:color w:val="auto"/>
              </w:rPr>
            </w:pPr>
          </w:p>
        </w:tc>
        <w:tc>
          <w:tcPr>
            <w:tcW w:w="900" w:type="dxa"/>
            <w:vAlign w:val="bottom"/>
            <w:vMerge w:val="restart"/>
          </w:tcPr>
          <w:p>
            <w:pPr>
              <w:jc w:val="right"/>
              <w:ind w:right="217"/>
              <w:spacing w:after="0"/>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7"/>
              </w:rPr>
              <w:t>Additional</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Treasury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1"/>
              </w:rPr>
              <w:t>Paid-in</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36"/>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8"/>
        </w:trPr>
        <w:tc>
          <w:tcPr>
            <w:tcW w:w="4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Stock</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color w:val="auto"/>
                <w:w w:val="91"/>
              </w:rPr>
              <w:t>Capital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Stock</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 December 31, 2019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(102,050)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226,569</w:t>
            </w: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2,200</w:t>
            </w: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ind w:left="200"/>
              <w:spacing w:after="0" w:line="169" w:lineRule="exact"/>
              <w:rPr>
                <w:sz w:val="20"/>
                <w:szCs w:val="20"/>
                <w:color w:val="auto"/>
              </w:rPr>
            </w:pPr>
            <w:r>
              <w:rPr>
                <w:rFonts w:ascii="Arial" w:cs="Arial" w:eastAsia="Arial" w:hAnsi="Arial"/>
                <w:sz w:val="17"/>
                <w:szCs w:val="17"/>
                <w:color w:val="auto"/>
              </w:rPr>
              <w:t>Issuance of common stock from employee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purchase plan</w:t>
            </w: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rPr>
              <w:t>Issuance of common stock to directors</w:t>
            </w:r>
          </w:p>
        </w:tc>
        <w:tc>
          <w:tcPr>
            <w:tcW w:w="11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Issuance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w w:val="94"/>
              </w:rPr>
              <w:t>Cancellation and surrender of restricted common stock</w:t>
            </w: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rPr>
              <w:t>Dividends on common stock</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(2,682)</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Balance – June 30, 2020</w:t>
            </w:r>
          </w:p>
        </w:tc>
        <w:tc>
          <w:tcPr>
            <w:tcW w:w="1100" w:type="dxa"/>
            <w:vAlign w:val="bottom"/>
          </w:tcPr>
          <w:p>
            <w:pPr>
              <w:jc w:val="right"/>
              <w:spacing w:after="0"/>
              <w:rPr>
                <w:sz w:val="20"/>
                <w:szCs w:val="20"/>
                <w:color w:val="auto"/>
              </w:rPr>
            </w:pPr>
            <w:r>
              <w:rPr>
                <w:rFonts w:ascii="Arial" w:cs="Arial" w:eastAsia="Arial" w:hAnsi="Arial"/>
                <w:sz w:val="17"/>
                <w:szCs w:val="17"/>
                <w:color w:val="auto"/>
              </w:rPr>
              <w:t>17,934</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260</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241,868</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88,413</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Pr>
          <w:p>
            <w:pPr>
              <w:ind w:left="200"/>
              <w:spacing w:after="0"/>
              <w:rPr>
                <w:sz w:val="20"/>
                <w:szCs w:val="20"/>
                <w:color w:val="auto"/>
              </w:rPr>
            </w:pPr>
            <w:r>
              <w:rPr>
                <w:rFonts w:ascii="Arial" w:cs="Arial" w:eastAsia="Arial" w:hAnsi="Arial"/>
                <w:sz w:val="17"/>
                <w:szCs w:val="17"/>
                <w:color w:val="auto"/>
                <w:w w:val="93"/>
              </w:rPr>
              <w:t>(102,050)</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228,491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7"/>
          </w:tcPr>
          <w:p>
            <w:pPr>
              <w:ind w:left="80"/>
              <w:spacing w:after="0"/>
              <w:rPr>
                <w:sz w:val="20"/>
                <w:szCs w:val="20"/>
                <w:color w:val="auto"/>
              </w:rPr>
            </w:pPr>
            <w:r>
              <w:rPr>
                <w:rFonts w:ascii="Arial" w:cs="Arial" w:eastAsia="Arial" w:hAnsi="Arial"/>
                <w:sz w:val="17"/>
                <w:szCs w:val="17"/>
                <w:b w:val="1"/>
                <w:bCs w:val="1"/>
                <w:color w:val="auto"/>
                <w:w w:val="91"/>
              </w:rPr>
              <w:t>Six months ended June 30, 2021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4120" w:type="dxa"/>
            <w:vAlign w:val="bottom"/>
          </w:tcPr>
          <w:p>
            <w:pPr>
              <w:spacing w:after="0"/>
              <w:rPr>
                <w:sz w:val="10"/>
                <w:szCs w:val="10"/>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0"/>
                <w:szCs w:val="10"/>
                <w:color w:val="auto"/>
              </w:rPr>
            </w:pPr>
          </w:p>
        </w:tc>
        <w:tc>
          <w:tcPr>
            <w:tcW w:w="900" w:type="dxa"/>
            <w:vAlign w:val="bottom"/>
            <w:vMerge w:val="restart"/>
          </w:tcPr>
          <w:p>
            <w:pPr>
              <w:jc w:val="right"/>
              <w:ind w:right="216"/>
              <w:spacing w:after="0"/>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4"/>
              </w:rPr>
              <w:t>Additional</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Treasury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7"/>
              </w:rPr>
              <w:t>Paid-in</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1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8"/>
        </w:trPr>
        <w:tc>
          <w:tcPr>
            <w:tcW w:w="4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Stock</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87"/>
              </w:rPr>
              <w:t>Capital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Stock</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 December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239,989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240,502</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6,766</w:t>
            </w: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Issuance of common stock from employee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plan</w:t>
            </w: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Issuance of common stock to directors</w:t>
            </w: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Issuance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4"/>
              </w:rPr>
              <w:t>Cancellation and surrender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2,200</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on common stock</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(3,607)</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Convertible notes conversions</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(1,424)</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acquired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(12,301)</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Balance – June 30, 2021</w:t>
            </w:r>
          </w:p>
        </w:tc>
        <w:tc>
          <w:tcPr>
            <w:tcW w:w="1100" w:type="dxa"/>
            <w:vAlign w:val="bottom"/>
          </w:tcPr>
          <w:p>
            <w:pPr>
              <w:jc w:val="right"/>
              <w:spacing w:after="0"/>
              <w:rPr>
                <w:sz w:val="20"/>
                <w:szCs w:val="20"/>
                <w:color w:val="auto"/>
              </w:rPr>
            </w:pPr>
            <w:r>
              <w:rPr>
                <w:rFonts w:ascii="Arial" w:cs="Arial" w:eastAsia="Arial" w:hAnsi="Arial"/>
                <w:sz w:val="17"/>
                <w:szCs w:val="17"/>
                <w:color w:val="auto"/>
              </w:rPr>
              <w:t>17,826</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262</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237,891</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109,069</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(114,351)</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232,871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240"/>
          </w:cols>
          <w:pgMar w:left="320" w:top="9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type w:val="continuous"/>
        </w:sectPr>
      </w:pPr>
    </w:p>
    <w:bookmarkStart w:id="7" w:name="page8"/>
    <w:bookmarkEnd w:id="7"/>
    <w:p>
      <w:pPr>
        <w:ind w:left="4480"/>
        <w:spacing w:after="0"/>
        <w:rPr>
          <w:sz w:val="20"/>
          <w:szCs w:val="20"/>
          <w:color w:val="auto"/>
        </w:rPr>
      </w:pPr>
      <w:r>
        <w:rPr>
          <w:rFonts w:ascii="Arial" w:cs="Arial" w:eastAsia="Arial" w:hAnsi="Arial"/>
          <w:sz w:val="17"/>
          <w:szCs w:val="17"/>
          <w:b w:val="1"/>
          <w:bCs w:val="1"/>
          <w:color w:val="auto"/>
        </w:rPr>
        <w:t>CARRIAGE SERVICES, INC.</w:t>
      </w:r>
    </w:p>
    <w:p>
      <w:pPr>
        <w:spacing w:after="0" w:line="166"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CONDENSED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52" w:lineRule="exact"/>
        <w:rPr>
          <w:sz w:val="20"/>
          <w:szCs w:val="20"/>
          <w:color w:val="auto"/>
        </w:rPr>
      </w:pPr>
    </w:p>
    <w:p>
      <w:pPr>
        <w:ind w:left="620" w:hanging="617"/>
        <w:spacing w:after="0"/>
        <w:tabs>
          <w:tab w:leader="none" w:pos="6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Company</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Carriage Services, Inc. (“Carriage,” the “Company,” “we,” “us,” or “our”) is a leading provider of funeral and cemetery services and merchandise in the United States. As of June 30, 2021, we operated 171 funeral homes in 26 states and 32 cemeteries in 12 states. Our operations are reported in two business segments: Funeral Home Operations, which currently account for approximately 70% of our revenue and Cemetery Operations, which currently account for approximately 30% of our revenue.</w:t>
      </w:r>
    </w:p>
    <w:p>
      <w:pPr>
        <w:spacing w:after="0" w:line="76"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memorial services and transportation services. We provide funeral services and products on both an “atneed” (time of death) and “preneed” (planned prior to death) basis.</w:t>
      </w:r>
    </w:p>
    <w:p>
      <w:pPr>
        <w:spacing w:after="0" w:line="76"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Principles of Consolidation and Interim Condensed Disclosures</w:t>
      </w:r>
    </w:p>
    <w:p>
      <w:pPr>
        <w:spacing w:after="0" w:line="11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Our unaudited consolidated financial statements have been prepared in a manner consistent with the accounting principles described in our Annual Report on Form 10-K for the year ended December 31, 2020 unless otherwise disclosed herein, and should be read in conjunction therewith.</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w:t>
      </w:r>
    </w:p>
    <w:p>
      <w:pPr>
        <w:spacing w:after="0" w:line="114"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Certain reclassifications have been made to prior period amounts on our Consolidated Statements of Cash Flows related to the amortization of non-compete agreements and on our Statement of Changes in Stockholders Equity related to the issuance of common stock to conform to the current period financial statement presentation with no effect on our previously reported Consolidated Statements of Operations and Consolidated Balance Sheet.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114" w:lineRule="exact"/>
        <w:rPr>
          <w:sz w:val="20"/>
          <w:szCs w:val="20"/>
          <w:color w:val="auto"/>
        </w:rPr>
      </w:pPr>
    </w:p>
    <w:p>
      <w:pPr>
        <w:jc w:val="both"/>
        <w:ind w:firstLine="387"/>
        <w:spacing w:after="0" w:line="297" w:lineRule="auto"/>
        <w:rPr>
          <w:sz w:val="20"/>
          <w:szCs w:val="20"/>
          <w:color w:val="auto"/>
        </w:rPr>
      </w:pPr>
      <w:r>
        <w:rPr>
          <w:rFonts w:ascii="Arial" w:cs="Arial" w:eastAsia="Arial" w:hAnsi="Arial"/>
          <w:sz w:val="15"/>
          <w:szCs w:val="15"/>
          <w:color w:val="auto"/>
        </w:rPr>
        <w:t>The preparation of our Consolidated Financial Statements requires us to make estimates and judgments that affect the reported amounts of assets, liabilities, revenue and expenses. On an ongoing basis, we evaluate our estimates and judgments, which include those related to the realization of our accounts receivable, valuation of goodwill, intangible assets, deferred tax assets and liabilities and depreciation of property and equipment.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that our results of operations will be consistent from year to year.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consider all highly liquid investments purchased with an original maturity of three months or less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Funeral and Cemetery Receivables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Our funeral receivables are recorded in </w:t>
      </w:r>
      <w:r>
        <w:rPr>
          <w:rFonts w:ascii="Arial" w:cs="Arial" w:eastAsia="Arial" w:hAnsi="Arial"/>
          <w:sz w:val="17"/>
          <w:szCs w:val="17"/>
          <w:i w:val="1"/>
          <w:iCs w:val="1"/>
          <w:color w:val="auto"/>
        </w:rPr>
        <w:t>Accounts receivable, net</w:t>
      </w:r>
      <w:r>
        <w:rPr>
          <w:rFonts w:ascii="Arial" w:cs="Arial" w:eastAsia="Arial" w:hAnsi="Arial"/>
          <w:sz w:val="17"/>
          <w:szCs w:val="17"/>
          <w:color w:val="auto"/>
        </w:rPr>
        <w:t xml:space="preserve"> and primarily consist of amounts due for funeral services already performed.</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 xml:space="preserve">Atneed cemetery receivables and preneed cemetery receivables with payments expected to be received within one year from the balance sheet date are recorded in </w:t>
      </w:r>
      <w:r>
        <w:rPr>
          <w:rFonts w:ascii="Arial" w:cs="Arial" w:eastAsia="Arial" w:hAnsi="Arial"/>
          <w:sz w:val="17"/>
          <w:szCs w:val="17"/>
          <w:i w:val="1"/>
          <w:iCs w:val="1"/>
          <w:color w:val="auto"/>
        </w:rPr>
        <w:t>Accounts receivable, net.</w:t>
      </w:r>
      <w:r>
        <w:rPr>
          <w:rFonts w:ascii="Arial" w:cs="Arial" w:eastAsia="Arial" w:hAnsi="Arial"/>
          <w:sz w:val="17"/>
          <w:szCs w:val="17"/>
          <w:color w:val="auto"/>
        </w:rPr>
        <w:t xml:space="preserve"> Preneed cemetery receivables with payments expected to</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8" w:name="page9"/>
    <w:bookmarkEnd w:id="8"/>
    <w:p>
      <w:pPr>
        <w:jc w:val="both"/>
        <w:spacing w:after="0" w:line="262" w:lineRule="auto"/>
        <w:rPr>
          <w:sz w:val="20"/>
          <w:szCs w:val="20"/>
          <w:color w:val="auto"/>
        </w:rPr>
      </w:pPr>
      <w:r>
        <w:rPr>
          <w:rFonts w:ascii="Arial" w:cs="Arial" w:eastAsia="Arial" w:hAnsi="Arial"/>
          <w:sz w:val="17"/>
          <w:szCs w:val="17"/>
          <w:color w:val="auto"/>
        </w:rPr>
        <w:t xml:space="preserve">be received beyond one year from the balance sheet date are recorded in </w:t>
      </w:r>
      <w:r>
        <w:rPr>
          <w:rFonts w:ascii="Arial" w:cs="Arial" w:eastAsia="Arial" w:hAnsi="Arial"/>
          <w:sz w:val="17"/>
          <w:szCs w:val="17"/>
          <w:i w:val="1"/>
          <w:iCs w:val="1"/>
          <w:color w:val="auto"/>
        </w:rPr>
        <w:t>Preneed cemetery receivables, net.</w:t>
      </w:r>
      <w:r>
        <w:rPr>
          <w:rFonts w:ascii="Arial" w:cs="Arial" w:eastAsia="Arial" w:hAnsi="Arial"/>
          <w:sz w:val="17"/>
          <w:szCs w:val="17"/>
          <w:color w:val="auto"/>
        </w:rPr>
        <w:t xml:space="preserve"> Our 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Arial" w:cs="Arial" w:eastAsia="Arial" w:hAnsi="Arial"/>
          <w:sz w:val="17"/>
          <w:szCs w:val="17"/>
          <w:i w:val="1"/>
          <w:iCs w:val="1"/>
          <w:color w:val="auto"/>
        </w:rPr>
        <w:t>Other revenue</w:t>
      </w:r>
      <w:r>
        <w:rPr>
          <w:rFonts w:ascii="Arial" w:cs="Arial" w:eastAsia="Arial" w:hAnsi="Arial"/>
          <w:sz w:val="17"/>
          <w:szCs w:val="17"/>
          <w:color w:val="auto"/>
        </w:rPr>
        <w:t>. In substantially all cases, we receive an initial down payment at the time the contract is signed.</w:t>
      </w:r>
    </w:p>
    <w:p>
      <w:pPr>
        <w:spacing w:after="0" w:line="76"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For our funeral and atneed cemetery receivables, we have a collections policy where statements are sent to the customer at 30 days past due. Past due notification letters are sent at 45 days and continue until payment is received or the contract is placed with a third-party collections agency. For our preneed cemetery receivables, we have a collections policy where past due notification letters are sent to the customer beginning at 15 days past due and periodically thereafter until payment is received or the contract is cancelled.</w:t>
      </w:r>
    </w:p>
    <w:p>
      <w:pPr>
        <w:spacing w:after="0" w:line="76"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allowance for credit losses reflects our best estimate of expected credit losses over the term of both our funeral and cemetery receivables. Our policy is to write off receivables when we have determined they will no longer be collectible. Write-offs are applied as a reduction to the allowance for credit losses and any recoveries of previous write-offs are netted against bad debt expense in the period recovered.</w:t>
      </w:r>
    </w:p>
    <w:p>
      <w:pPr>
        <w:spacing w:after="0" w:line="73"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monitor any change in our historical write-off of receivables utilized in our loss-rate methodology and assess forecasted changes in market conditions within our credit reserve.</w:t>
      </w:r>
    </w:p>
    <w:p>
      <w:pPr>
        <w:spacing w:after="0" w:line="78" w:lineRule="exact"/>
        <w:rPr>
          <w:sz w:val="20"/>
          <w:szCs w:val="20"/>
          <w:color w:val="auto"/>
        </w:rPr>
      </w:pPr>
    </w:p>
    <w:p>
      <w:pPr>
        <w:ind w:right="1620" w:firstLine="387"/>
        <w:spacing w:after="0" w:line="412" w:lineRule="auto"/>
        <w:rPr>
          <w:sz w:val="20"/>
          <w:szCs w:val="20"/>
          <w:color w:val="auto"/>
        </w:rPr>
      </w:pPr>
      <w:r>
        <w:rPr>
          <w:rFonts w:ascii="Arial" w:cs="Arial" w:eastAsia="Arial" w:hAnsi="Arial"/>
          <w:sz w:val="17"/>
          <w:szCs w:val="17"/>
          <w:color w:val="auto"/>
        </w:rPr>
        <w:t xml:space="preserve">See Note 5 to the Consolidated Financial Statements herein for additional information related to our funeral and cemetery receivables. </w:t>
      </w:r>
      <w:r>
        <w:rPr>
          <w:rFonts w:ascii="Arial" w:cs="Arial" w:eastAsia="Arial" w:hAnsi="Arial"/>
          <w:sz w:val="17"/>
          <w:szCs w:val="17"/>
          <w:i w:val="1"/>
          <w:iCs w:val="1"/>
          <w:color w:val="auto"/>
        </w:rPr>
        <w:t>Inventory</w:t>
      </w:r>
    </w:p>
    <w:p>
      <w:pPr>
        <w:jc w:val="both"/>
        <w:ind w:firstLine="387"/>
        <w:spacing w:after="0" w:line="280" w:lineRule="auto"/>
        <w:rPr>
          <w:sz w:val="20"/>
          <w:szCs w:val="20"/>
          <w:color w:val="auto"/>
        </w:rPr>
      </w:pPr>
      <w:r>
        <w:rPr>
          <w:rFonts w:ascii="Arial" w:cs="Arial" w:eastAsia="Arial" w:hAnsi="Arial"/>
          <w:sz w:val="17"/>
          <w:szCs w:val="17"/>
          <w:color w:val="auto"/>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Combinations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Divested Operations</w:t>
      </w:r>
    </w:p>
    <w:p>
      <w:pPr>
        <w:spacing w:after="0" w:line="114"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Prior to divesting a funeral home or cemetery, we first determine whether the sale of the net assets and activities (together referred to as a “set”) qualifies as a business. First, we perform a screen test to determine if the set is not a business. The principle of the screen is that if substantially all of the fair value of the gross assets sold resides in a single asset or group of similar assets, the set is not a business. If the screen is not met, we perform an assessment to determine if the set is a business by evaluating whether the set has both inputs and a substantive process that together significantly contribute to the ability to create outputs. When both inputs and a substantive process are present then the set is determined to be a business and we apply the guidance in Accounting Standards Codification (“ASC”) Topic 350 – Intangibles – Goodwill and Other to determine the accounting treatment of goodwill for that set (see discussion of Goodwill below). Goodwill is only allocated to the sale if the set is considered to be a business.</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Notes 3 and 4 to the Consolidated Financial Statements herein for additional information related to our divestitures.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114" w:lineRule="exact"/>
        <w:rPr>
          <w:sz w:val="20"/>
          <w:szCs w:val="20"/>
          <w:color w:val="auto"/>
        </w:rPr>
      </w:pPr>
    </w:p>
    <w:p>
      <w:pPr>
        <w:jc w:val="both"/>
        <w:ind w:firstLine="387"/>
        <w:spacing w:after="0" w:line="234" w:lineRule="auto"/>
        <w:rPr>
          <w:sz w:val="20"/>
          <w:szCs w:val="20"/>
          <w:color w:val="auto"/>
        </w:rPr>
      </w:pPr>
      <w:r>
        <w:rPr>
          <w:rFonts w:ascii="Arial" w:cs="Arial" w:eastAsia="Arial" w:hAnsi="Arial"/>
          <w:sz w:val="17"/>
          <w:szCs w:val="17"/>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each year. Under current guidance, we are permitted to first assess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9" w:name="page10"/>
    <w:bookmarkEnd w:id="9"/>
    <w:p>
      <w:pPr>
        <w:jc w:val="both"/>
        <w:spacing w:after="0" w:line="280" w:lineRule="auto"/>
        <w:rPr>
          <w:sz w:val="20"/>
          <w:szCs w:val="20"/>
          <w:color w:val="auto"/>
        </w:rPr>
      </w:pPr>
      <w:r>
        <w:rPr>
          <w:rFonts w:ascii="Arial" w:cs="Arial" w:eastAsia="Arial" w:hAnsi="Arial"/>
          <w:sz w:val="17"/>
          <w:szCs w:val="17"/>
          <w:color w:val="auto"/>
        </w:rPr>
        <w:t>qualitative factors to determine whether it is more-likely-than not that the fair value of a reporting unit is less than its carrying amount as a basis for determining whether it is necessary to perform a quantitative goodwill impairment test.</w:t>
      </w:r>
    </w:p>
    <w:p>
      <w:pPr>
        <w:spacing w:after="0" w:line="60" w:lineRule="exact"/>
        <w:rPr>
          <w:sz w:val="20"/>
          <w:szCs w:val="20"/>
          <w:color w:val="auto"/>
        </w:rPr>
      </w:pPr>
    </w:p>
    <w:p>
      <w:pPr>
        <w:jc w:val="both"/>
        <w:ind w:firstLine="387"/>
        <w:spacing w:after="0" w:line="308" w:lineRule="auto"/>
        <w:rPr>
          <w:sz w:val="20"/>
          <w:szCs w:val="20"/>
          <w:color w:val="auto"/>
        </w:rPr>
      </w:pPr>
      <w:r>
        <w:rPr>
          <w:rFonts w:ascii="Arial" w:cs="Arial" w:eastAsia="Arial" w:hAnsi="Arial"/>
          <w:sz w:val="15"/>
          <w:szCs w:val="15"/>
          <w:color w:val="auto"/>
        </w:rPr>
        <w:t>Our intent is to perform a quantitative impairment test at least once every three years and perform a qualitative assessment during the remaining two years.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w:t>
      </w:r>
    </w:p>
    <w:p>
      <w:pPr>
        <w:spacing w:after="0" w:line="4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When we divest a portion of a reporting unit that constitutes a business in accordance with U.S. Generally Accepted Accounting Principles (“GAAP”), we allocate goodwill associated with that business to be included in the gain or loss on divestiture. The goodwill allocated is based on the relative fair value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 to ensure the fair value of our reporting units is greater than their carrying value.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3 to the Consolidated Financial Statements included herein for additional information related to our goodwill.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w:t>
      </w:r>
    </w:p>
    <w:p>
      <w:pPr>
        <w:spacing w:after="0" w:line="114" w:lineRule="exact"/>
        <w:rPr>
          <w:sz w:val="20"/>
          <w:szCs w:val="20"/>
          <w:color w:val="auto"/>
        </w:rPr>
      </w:pPr>
    </w:p>
    <w:p>
      <w:pPr>
        <w:jc w:val="both"/>
        <w:ind w:firstLine="387"/>
        <w:spacing w:after="0" w:line="242" w:lineRule="auto"/>
        <w:rPr>
          <w:sz w:val="20"/>
          <w:szCs w:val="20"/>
          <w:color w:val="auto"/>
        </w:rPr>
      </w:pPr>
      <w:r>
        <w:rPr>
          <w:rFonts w:ascii="Arial" w:cs="Arial" w:eastAsia="Arial" w:hAnsi="Arial"/>
          <w:sz w:val="17"/>
          <w:szCs w:val="17"/>
          <w:color w:val="auto"/>
        </w:rPr>
        <w:t xml:space="preserve">Our intangible assets include tradenames resulting from acquisitions and are included in </w:t>
      </w:r>
      <w:r>
        <w:rPr>
          <w:rFonts w:ascii="Arial" w:cs="Arial" w:eastAsia="Arial" w:hAnsi="Arial"/>
          <w:sz w:val="17"/>
          <w:szCs w:val="17"/>
          <w:i w:val="1"/>
          <w:iCs w:val="1"/>
          <w:color w:val="auto"/>
        </w:rPr>
        <w:t>Intangible and other non-current assets, net</w:t>
      </w:r>
      <w:r>
        <w:rPr>
          <w:rFonts w:ascii="Arial" w:cs="Arial" w:eastAsia="Arial" w:hAnsi="Arial"/>
          <w:sz w:val="17"/>
          <w:szCs w:val="17"/>
          <w:color w:val="auto"/>
        </w:rPr>
        <w:t xml:space="preserve"> on our Consolidated Balance Sheet. Our tradenames are considered to have an indefinite life and are not subject to amortization. As such, we test our intangible assets for impairment on an annual basis as of August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each year.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w:t>
      </w:r>
    </w:p>
    <w:p>
      <w:pPr>
        <w:spacing w:after="0" w:line="92"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Our intent is to perform a quantitative impairment test at least once every three years and perform a qualitative assessment during the remaining two years. In addition to our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w:t>
      </w:r>
    </w:p>
    <w:p>
      <w:pPr>
        <w:spacing w:after="0" w:line="61" w:lineRule="exact"/>
        <w:rPr>
          <w:sz w:val="20"/>
          <w:szCs w:val="20"/>
          <w:color w:val="auto"/>
        </w:rPr>
      </w:pPr>
    </w:p>
    <w:p>
      <w:pPr>
        <w:ind w:right="2120" w:firstLine="387"/>
        <w:spacing w:after="0" w:line="412" w:lineRule="auto"/>
        <w:rPr>
          <w:sz w:val="20"/>
          <w:szCs w:val="20"/>
          <w:color w:val="auto"/>
        </w:rPr>
      </w:pPr>
      <w:r>
        <w:rPr>
          <w:rFonts w:ascii="Arial" w:cs="Arial" w:eastAsia="Arial" w:hAnsi="Arial"/>
          <w:sz w:val="17"/>
          <w:szCs w:val="17"/>
          <w:color w:val="auto"/>
        </w:rPr>
        <w:t xml:space="preserve">See Note 9 to the Consolidated Financial Statements included herein for additional information related to our intangible assets. </w:t>
      </w:r>
      <w:r>
        <w:rPr>
          <w:rFonts w:ascii="Arial" w:cs="Arial" w:eastAsia="Arial" w:hAnsi="Arial"/>
          <w:sz w:val="17"/>
          <w:szCs w:val="17"/>
          <w:i w:val="1"/>
          <w:iCs w:val="1"/>
          <w:color w:val="auto"/>
        </w:rPr>
        <w:t>Preneed and Perpetual Care Trust Funds</w:t>
      </w:r>
    </w:p>
    <w:p>
      <w:pPr>
        <w:jc w:val="both"/>
        <w:ind w:firstLine="387"/>
        <w:spacing w:after="0" w:line="266" w:lineRule="auto"/>
        <w:rPr>
          <w:sz w:val="20"/>
          <w:szCs w:val="20"/>
          <w:color w:val="auto"/>
        </w:rPr>
      </w:pPr>
      <w:r>
        <w:rPr>
          <w:rFonts w:ascii="Arial" w:cs="Arial" w:eastAsia="Arial" w:hAnsi="Arial"/>
          <w:sz w:val="17"/>
          <w:szCs w:val="17"/>
          <w:color w:val="auto"/>
        </w:rPr>
        <w:t>Preneed sales generally require deposits to a trust or purchase of a third-party insurance product. We have established a variety of trusts in connection with funeral home and cemetery operations as required under applicable state laws. Such trusts include (i) preneed funeral trusts; (ii) preneed cemetery merchandise and service trusts; and (iii) cemetery perpetual care trusts.</w:t>
      </w:r>
    </w:p>
    <w:p>
      <w:pPr>
        <w:spacing w:after="0" w:line="73" w:lineRule="exact"/>
        <w:rPr>
          <w:sz w:val="20"/>
          <w:szCs w:val="20"/>
          <w:color w:val="auto"/>
        </w:rPr>
      </w:pPr>
    </w:p>
    <w:p>
      <w:pPr>
        <w:jc w:val="both"/>
        <w:ind w:firstLine="387"/>
        <w:spacing w:after="0" w:line="349" w:lineRule="auto"/>
        <w:rPr>
          <w:sz w:val="20"/>
          <w:szCs w:val="20"/>
          <w:color w:val="auto"/>
        </w:rPr>
      </w:pPr>
      <w:r>
        <w:rPr>
          <w:rFonts w:ascii="Arial" w:cs="Arial" w:eastAsia="Arial" w:hAnsi="Arial"/>
          <w:sz w:val="15"/>
          <w:szCs w:val="15"/>
          <w:color w:val="auto"/>
        </w:rPr>
        <w:t>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w:t>
      </w:r>
    </w:p>
    <w:p>
      <w:pPr>
        <w:spacing w:after="0" w:line="1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Our trust fund assets are reflected in our financial statements as </w:t>
      </w:r>
      <w:r>
        <w:rPr>
          <w:rFonts w:ascii="Arial" w:cs="Arial" w:eastAsia="Arial" w:hAnsi="Arial"/>
          <w:sz w:val="17"/>
          <w:szCs w:val="17"/>
          <w:i w:val="1"/>
          <w:iCs w:val="1"/>
          <w:color w:val="auto"/>
        </w:rPr>
        <w:t>Preneed cemetery trust investments, Preneed funeral trust investments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Cemetery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perpetual care trust investments. </w:t>
      </w:r>
      <w:r>
        <w:rPr>
          <w:rFonts w:ascii="Arial" w:cs="Arial" w:eastAsia="Arial" w:hAnsi="Arial"/>
          <w:sz w:val="17"/>
          <w:szCs w:val="17"/>
          <w:color w:val="auto"/>
        </w:rPr>
        <w:t>We have recognized financial interests of third parties in the trust funds in our financial statements as</w:t>
      </w:r>
      <w:r>
        <w:rPr>
          <w:rFonts w:ascii="Arial" w:cs="Arial" w:eastAsia="Arial" w:hAnsi="Arial"/>
          <w:sz w:val="17"/>
          <w:szCs w:val="17"/>
          <w:i w:val="1"/>
          <w:iCs w:val="1"/>
          <w:color w:val="auto"/>
        </w:rPr>
        <w:t xml:space="preserve"> Deferred preneed funeral and cemetery receipts held in trust </w:t>
      </w:r>
      <w:r>
        <w:rPr>
          <w:rFonts w:ascii="Arial" w:cs="Arial" w:eastAsia="Arial" w:hAnsi="Arial"/>
          <w:sz w:val="17"/>
          <w:szCs w:val="17"/>
          <w:color w:val="auto"/>
        </w:rPr>
        <w:t>and</w:t>
      </w:r>
      <w:r>
        <w:rPr>
          <w:rFonts w:ascii="Arial" w:cs="Arial" w:eastAsia="Arial" w:hAnsi="Arial"/>
          <w:sz w:val="17"/>
          <w:szCs w:val="17"/>
          <w:i w:val="1"/>
          <w:iCs w:val="1"/>
          <w:color w:val="auto"/>
        </w:rPr>
        <w:t xml:space="preserve"> Care trusts’ corpus</w:t>
      </w:r>
      <w:r>
        <w:rPr>
          <w:rFonts w:ascii="Arial" w:cs="Arial" w:eastAsia="Arial" w:hAnsi="Arial"/>
          <w:sz w:val="17"/>
          <w:szCs w:val="17"/>
          <w:color w:val="auto"/>
        </w:rPr>
        <w:t>.</w:t>
      </w:r>
    </w:p>
    <w:p>
      <w:pPr>
        <w:spacing w:after="0" w:line="73"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fair value of our trust fund assets are accounted for as Collateralized Financing Entities (“CFEs”) in ASC Topic 810. The accounting guidance for CFEs allows companies to elect to measure both the financial assets and financial liabilities using the more observable of the fair value of the financial assets or fair value of the financial liabilities. Pursuant to this guidance, we have determined the fair value of the financial assets of the trusts are more observable and we first measure those financial assets at fair value. Our fair value of the financial liabilities mirror the fair value of the financial assets, in accordance with the ASC. Any changes in fair value are recognized in earnings.</w:t>
      </w:r>
    </w:p>
    <w:p>
      <w:pPr>
        <w:spacing w:after="0" w:line="77"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In accordance with ASC Topic 326, we present our credit losses for fixed income securities as an allowance rather than as a write-down on the fixed income securities we do not intend to sell and it is likely that we will not be required to sell prior to their anticipated recovery.</w:t>
      </w:r>
    </w:p>
    <w:p>
      <w:pPr>
        <w:spacing w:after="0" w:line="60"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In accordance with respective state laws, we are required to deposit a specified amount into perpetual and memorial care trust funds for each interment right and certain memorials sold. Income from the trust funds is distributed to us and used to</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0" w:name="page11"/>
    <w:bookmarkEnd w:id="10"/>
    <w:p>
      <w:pPr>
        <w:jc w:val="both"/>
        <w:spacing w:after="0" w:line="280" w:lineRule="auto"/>
        <w:rPr>
          <w:sz w:val="20"/>
          <w:szCs w:val="20"/>
          <w:color w:val="auto"/>
        </w:rPr>
      </w:pPr>
      <w:r>
        <w:rPr>
          <w:rFonts w:ascii="Arial" w:cs="Arial" w:eastAsia="Arial" w:hAnsi="Arial"/>
          <w:sz w:val="17"/>
          <w:szCs w:val="17"/>
          <w:color w:val="auto"/>
        </w:rPr>
        <w:t>provide for the care and maintenance of the cemeteries and mausoleums. Trust fund income is recognized as revenue when realized by the trust and distributable to us. We are restricted from withdrawing any of the principal balances of these funds.</w:t>
      </w:r>
    </w:p>
    <w:p>
      <w:pPr>
        <w:spacing w:after="0" w:line="60"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An enterprise is required to perform an analysis to determine whether the enterprise’s variable interest(s) give it a controlling financial interest in a VIE. This analysis identifies the primary beneficiary of a VIE as the enterprise that has both 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the majority of our funeral and cemetery trust funds.</w:t>
      </w:r>
    </w:p>
    <w:p>
      <w:pPr>
        <w:spacing w:after="0" w:line="77" w:lineRule="exact"/>
        <w:rPr>
          <w:sz w:val="20"/>
          <w:szCs w:val="20"/>
          <w:color w:val="auto"/>
        </w:rPr>
      </w:pPr>
    </w:p>
    <w:p>
      <w:pPr>
        <w:ind w:right="780" w:firstLine="387"/>
        <w:spacing w:after="0" w:line="412" w:lineRule="auto"/>
        <w:rPr>
          <w:sz w:val="20"/>
          <w:szCs w:val="20"/>
          <w:color w:val="auto"/>
        </w:rPr>
      </w:pPr>
      <w:r>
        <w:rPr>
          <w:rFonts w:ascii="Arial" w:cs="Arial" w:eastAsia="Arial" w:hAnsi="Arial"/>
          <w:sz w:val="17"/>
          <w:szCs w:val="17"/>
          <w:color w:val="auto"/>
        </w:rPr>
        <w:t xml:space="preserve">See Notes 6 and 7 to the Consolidated Financial Statements herein for additional information related to our preneed and perpetual care trust funds. </w:t>
      </w:r>
      <w:r>
        <w:rPr>
          <w:rFonts w:ascii="Arial" w:cs="Arial" w:eastAsia="Arial" w:hAnsi="Arial"/>
          <w:sz w:val="17"/>
          <w:szCs w:val="17"/>
          <w:i w:val="1"/>
          <w:iCs w:val="1"/>
          <w:color w:val="auto"/>
        </w:rPr>
        <w:t>Fair Value Measurements</w:t>
      </w:r>
    </w:p>
    <w:p>
      <w:pPr>
        <w:jc w:val="both"/>
        <w:ind w:firstLine="387"/>
        <w:spacing w:after="0" w:line="280" w:lineRule="auto"/>
        <w:rPr>
          <w:sz w:val="20"/>
          <w:szCs w:val="20"/>
          <w:color w:val="auto"/>
        </w:rPr>
      </w:pPr>
      <w:r>
        <w:rPr>
          <w:rFonts w:ascii="Arial" w:cs="Arial" w:eastAsia="Arial" w:hAnsi="Arial"/>
          <w:sz w:val="16"/>
          <w:szCs w:val="16"/>
          <w:color w:val="auto"/>
        </w:rPr>
        <w:t>We measure the securities held by our funeral merchandise and service, cemetery merchandise and service, and cemetery perpetual care trusts at fair value on a recurring basis in accordance with ASC Topic 820.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w:t>
      </w:r>
    </w:p>
    <w:p>
      <w:pPr>
        <w:spacing w:after="0" w:line="63"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We currently do not have any assets that have fair values determined by Level 3 inputs and no liabilities measured at fair value. We have not elected to measure any additional financial instruments and certain other items at fair value that are not currently required to be measured at fair value.</w:t>
      </w:r>
    </w:p>
    <w:p>
      <w:pPr>
        <w:spacing w:after="0" w:line="61"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See Notes 6 and 8 to the Consolidated Financial Statements herein for additional required disclosures related to our fair value measurement of our financial assets and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Capitalized Commissions on Preneed Contracts</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spacing w:after="0" w:line="76"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spacing w:after="0" w:line="76" w:lineRule="exact"/>
        <w:rPr>
          <w:sz w:val="20"/>
          <w:szCs w:val="20"/>
          <w:color w:val="auto"/>
        </w:rPr>
      </w:pPr>
    </w:p>
    <w:p>
      <w:pPr>
        <w:ind w:right="740" w:firstLine="387"/>
        <w:spacing w:after="0" w:line="412" w:lineRule="auto"/>
        <w:rPr>
          <w:sz w:val="20"/>
          <w:szCs w:val="20"/>
          <w:color w:val="auto"/>
        </w:rPr>
      </w:pPr>
      <w:r>
        <w:rPr>
          <w:rFonts w:ascii="Arial" w:cs="Arial" w:eastAsia="Arial" w:hAnsi="Arial"/>
          <w:sz w:val="17"/>
          <w:szCs w:val="17"/>
          <w:color w:val="auto"/>
        </w:rPr>
        <w:t xml:space="preserve">See Note 9 to the Consolidated Financial Statements herein for additional information related to our capitalized commissions on preneed contracts. </w:t>
      </w:r>
      <w:r>
        <w:rPr>
          <w:rFonts w:ascii="Arial" w:cs="Arial" w:eastAsia="Arial" w:hAnsi="Arial"/>
          <w:sz w:val="17"/>
          <w:szCs w:val="17"/>
          <w:i w:val="1"/>
          <w:iCs w:val="1"/>
          <w:color w:val="auto"/>
        </w:rPr>
        <w:t>Property, Plant and Equipment</w:t>
      </w:r>
    </w:p>
    <w:p>
      <w:pPr>
        <w:jc w:val="both"/>
        <w:ind w:firstLine="387"/>
        <w:spacing w:after="0" w:line="291" w:lineRule="auto"/>
        <w:rPr>
          <w:sz w:val="20"/>
          <w:szCs w:val="20"/>
          <w:color w:val="auto"/>
        </w:rPr>
      </w:pPr>
      <w:r>
        <w:rPr>
          <w:rFonts w:ascii="Arial" w:cs="Arial" w:eastAsia="Arial" w:hAnsi="Arial"/>
          <w:sz w:val="16"/>
          <w:szCs w:val="16"/>
          <w:color w:val="auto"/>
        </w:rPr>
        <w:t>Property, plant and equipment (including equipment under finance leases) are stated at cost. The costs of ordinary maintenance and repairs are charged to operations as incurred, while renewals and major replacements that extend the useful economic life of the asset are capitalized. Depreciation of property, plant and equipment (including equipment under finance leases) is computed based on the straight-line method over the estimated useful lives of the assets.</w:t>
      </w:r>
    </w:p>
    <w:p>
      <w:pPr>
        <w:spacing w:after="0" w:line="5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Long-lived assets, such as property, plant and equipment subject to depreciation and amortization, are reviewed for impairment at least annually or whenever events or changes in circumstances indicate that the carrying amount of an asset may not be recoverable in accordance with ASC Topic 360 – Property, Plant and Equipment.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1" w:name="page12"/>
    <w:bookmarkEnd w:id="11"/>
    <w:p>
      <w:pPr>
        <w:ind w:left="400"/>
        <w:spacing w:after="0"/>
        <w:rPr>
          <w:sz w:val="20"/>
          <w:szCs w:val="20"/>
          <w:color w:val="auto"/>
        </w:rPr>
      </w:pPr>
      <w:r>
        <w:rPr>
          <w:rFonts w:ascii="Arial" w:cs="Arial" w:eastAsia="Arial" w:hAnsi="Arial"/>
          <w:sz w:val="17"/>
          <w:szCs w:val="17"/>
          <w:color w:val="auto"/>
        </w:rPr>
        <w:t>Property, plant and equipment is comprised of the following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ind w:left="240"/>
              <w:spacing w:after="0"/>
              <w:rPr>
                <w:sz w:val="20"/>
                <w:szCs w:val="20"/>
                <w:color w:val="auto"/>
              </w:rPr>
            </w:pPr>
            <w:r>
              <w:rPr>
                <w:rFonts w:ascii="Arial" w:cs="Arial" w:eastAsia="Arial" w:hAnsi="Arial"/>
                <w:sz w:val="15"/>
                <w:szCs w:val="15"/>
                <w:b w:val="1"/>
                <w:bCs w:val="1"/>
                <w:color w:val="auto"/>
              </w:rPr>
              <w:t>December 31, 2020</w:t>
            </w:r>
          </w:p>
        </w:tc>
        <w:tc>
          <w:tcPr>
            <w:tcW w:w="5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June 30, 2021</w:t>
            </w:r>
          </w:p>
        </w:tc>
      </w:tr>
      <w:tr>
        <w:trPr>
          <w:trHeight w:val="215"/>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82,615</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83,361</w:t>
            </w:r>
          </w:p>
        </w:tc>
      </w:tr>
      <w:tr>
        <w:trPr>
          <w:trHeight w:val="219"/>
        </w:trPr>
        <w:tc>
          <w:tcPr>
            <w:tcW w:w="7340" w:type="dxa"/>
            <w:vAlign w:val="bottom"/>
          </w:tcPr>
          <w:p>
            <w:pPr>
              <w:ind w:left="20"/>
              <w:spacing w:after="0"/>
              <w:rPr>
                <w:sz w:val="20"/>
                <w:szCs w:val="20"/>
                <w:color w:val="auto"/>
              </w:rPr>
            </w:pPr>
            <w:r>
              <w:rPr>
                <w:rFonts w:ascii="Arial" w:cs="Arial" w:eastAsia="Arial" w:hAnsi="Arial"/>
                <w:sz w:val="17"/>
                <w:szCs w:val="17"/>
                <w:color w:val="auto"/>
              </w:rPr>
              <w:t>Buildings and improvements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240,567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238,112</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equipment and automobiles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91,302</w:t>
            </w:r>
          </w:p>
        </w:tc>
        <w:tc>
          <w:tcPr>
            <w:tcW w:w="2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70,139</w:t>
            </w:r>
          </w:p>
        </w:tc>
      </w:tr>
      <w:tr>
        <w:trPr>
          <w:trHeight w:val="212"/>
        </w:trPr>
        <w:tc>
          <w:tcPr>
            <w:tcW w:w="7340" w:type="dxa"/>
            <w:vAlign w:val="bottom"/>
          </w:tcPr>
          <w:p>
            <w:pPr>
              <w:ind w:left="20"/>
              <w:spacing w:after="0"/>
              <w:rPr>
                <w:sz w:val="20"/>
                <w:szCs w:val="20"/>
                <w:color w:val="auto"/>
              </w:rPr>
            </w:pPr>
            <w:r>
              <w:rPr>
                <w:rFonts w:ascii="Arial" w:cs="Arial" w:eastAsia="Arial" w:hAnsi="Arial"/>
                <w:sz w:val="17"/>
                <w:szCs w:val="17"/>
                <w:color w:val="auto"/>
              </w:rPr>
              <w:t>Property, plant and equipment, at cost</w:t>
            </w: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414,484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391,612</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(145,433)</w:t>
            </w:r>
          </w:p>
        </w:tc>
        <w:tc>
          <w:tcPr>
            <w:tcW w:w="2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(124,181)</w:t>
            </w:r>
          </w:p>
        </w:tc>
      </w:tr>
      <w:tr>
        <w:trPr>
          <w:trHeight w:val="212"/>
        </w:trPr>
        <w:tc>
          <w:tcPr>
            <w:tcW w:w="734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269,051</w:t>
            </w:r>
          </w:p>
        </w:tc>
        <w:tc>
          <w:tcPr>
            <w:tcW w:w="2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267,431</w:t>
            </w:r>
          </w:p>
        </w:tc>
      </w:tr>
      <w:tr>
        <w:trPr>
          <w:trHeight w:val="20"/>
        </w:trPr>
        <w:tc>
          <w:tcPr>
            <w:tcW w:w="7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During the six months ended June 30, 2021, we acquired real estate for $2.9 million. We also divested three funeral homes that had a carrying value of property, plant and equipment of $2.4 million, which was included in the Gain (loss) on divestitures and recorded in </w:t>
      </w:r>
      <w:r>
        <w:rPr>
          <w:rFonts w:ascii="Arial" w:cs="Arial" w:eastAsia="Arial" w:hAnsi="Arial"/>
          <w:sz w:val="16"/>
          <w:szCs w:val="16"/>
          <w:i w:val="1"/>
          <w:iCs w:val="1"/>
          <w:color w:val="auto"/>
        </w:rPr>
        <w:t>Net loss on divestitures, disposals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charges </w:t>
      </w:r>
      <w:r>
        <w:rPr>
          <w:rFonts w:ascii="Arial" w:cs="Arial" w:eastAsia="Arial" w:hAnsi="Arial"/>
          <w:sz w:val="16"/>
          <w:szCs w:val="16"/>
          <w:color w:val="auto"/>
        </w:rPr>
        <w:t>on our Consolidated Statements of Operations, described in Note 4 to the Consolidated Financial Statements included herein.</w:t>
      </w:r>
    </w:p>
    <w:p>
      <w:pPr>
        <w:spacing w:after="0" w:line="5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growth and maintenance capital expenditures totaled $3.0 million and $4.4 million for the three months ended June 30, 2020 and 2021, respectively and $5.8 million and $8.8 million for the six months ended June 30, 2020 and 2021, respectively, for property, plant, equipment and cemetery development. In addition, we recorded depreciation expense of $3.6 million and $3.4 million for the three months ended June 30, 2020 and 2021, respectively and $7.2 million and $6.8 million for the six months ended June 30, 2020 and 2021,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Cemetery Property</w:t>
      </w:r>
    </w:p>
    <w:p>
      <w:pPr>
        <w:spacing w:after="0" w:line="114" w:lineRule="exact"/>
        <w:rPr>
          <w:sz w:val="20"/>
          <w:szCs w:val="20"/>
          <w:color w:val="auto"/>
        </w:rPr>
      </w:pPr>
    </w:p>
    <w:p>
      <w:pPr>
        <w:jc w:val="both"/>
        <w:ind w:firstLine="387"/>
        <w:spacing w:after="0" w:line="278" w:lineRule="auto"/>
        <w:rPr>
          <w:sz w:val="20"/>
          <w:szCs w:val="20"/>
          <w:color w:val="auto"/>
        </w:rPr>
      </w:pPr>
      <w:r>
        <w:rPr>
          <w:rFonts w:ascii="Arial" w:cs="Arial" w:eastAsia="Arial" w:hAnsi="Arial"/>
          <w:sz w:val="16"/>
          <w:szCs w:val="16"/>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we are able to identify viable costs of property based on historical experience, particular markets and demographics, reasonable margins, practical retail prices and park infrastructure and condition.</w:t>
      </w:r>
    </w:p>
    <w:p>
      <w:pPr>
        <w:spacing w:after="0" w:line="6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Cemetery property was $101.1 million and $100.6 million at December 31, 2020 and June 30, 2021, respectively, net of accumulated amortization of $46.6 million and $50.3 million, respectively. When cemetery property is sold, the value of the cemetery property (interment right costs) is expensed as amortization using the specific identification method in the period in which the sale of the interment right is recognized as revenue. We recorded amortization expense for cemetery interment rights of $1.1 million and $2.2 million for the three months ended June 30, 2020 and 2021, respectively and $2.0 million and $3.7 million for the six months ended June 30, 2020 and 2021,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114"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We have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 We do not have lease agreements with residual value guarantees, sale-leaseback terms, material restrictive covenants or related parties. We do not have any material sublease arrangements.</w:t>
      </w:r>
    </w:p>
    <w:p>
      <w:pPr>
        <w:spacing w:after="0" w:line="61"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6"/>
          <w:szCs w:val="16"/>
          <w:color w:val="auto"/>
        </w:rPr>
        <w:t>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 ROU assets and lease liabilities are recognized on our Consolidated Balance Sheet at the lease commencement date based on the present value of lease payments over the lease term. As our leases do not provide an implicit interest rate, we use our incremental borrowing rate based on the information available at the commencement date in determining the present value of lease payments. The lease terms used to calculate the ROU asset and related lease liability include options to extend the lease when it is reasonably certain that we will exercise that option. Lease expense for operating leases is recognized on a straight-line basis over the lease term as an operating expense, while the expense for finance leases is recognized as depreciation expense and interest expense using the effective interest method of recognition.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 We have real estate lease agreements which require payments for lease and non-lease components and we account for these as a single lease component. Leases with an initial term of 12 months or less,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2" w:name="page13"/>
    <w:bookmarkEnd w:id="12"/>
    <w:p>
      <w:pPr>
        <w:jc w:val="both"/>
        <w:spacing w:after="0" w:line="280" w:lineRule="auto"/>
        <w:rPr>
          <w:sz w:val="20"/>
          <w:szCs w:val="20"/>
          <w:color w:val="auto"/>
        </w:rPr>
      </w:pPr>
      <w:r>
        <w:rPr>
          <w:rFonts w:ascii="Arial" w:cs="Arial" w:eastAsia="Arial" w:hAnsi="Arial"/>
          <w:sz w:val="17"/>
          <w:szCs w:val="17"/>
          <w:color w:val="auto"/>
        </w:rPr>
        <w:t>that do not include an option to renew the underlying asset, are not recorded on our Consolidated Balance Sheet and expense is recognized on a straight-line basis over the lease term.</w:t>
      </w:r>
    </w:p>
    <w:p>
      <w:pPr>
        <w:spacing w:after="0" w:line="6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 xml:space="preserve">Operating lease ROU assets are included in </w:t>
      </w:r>
      <w:r>
        <w:rPr>
          <w:rFonts w:ascii="Arial" w:cs="Arial" w:eastAsia="Arial" w:hAnsi="Arial"/>
          <w:sz w:val="17"/>
          <w:szCs w:val="17"/>
          <w:i w:val="1"/>
          <w:iCs w:val="1"/>
          <w:color w:val="auto"/>
        </w:rPr>
        <w:t>Operating lease right-of-use assets</w:t>
      </w:r>
      <w:r>
        <w:rPr>
          <w:rFonts w:ascii="Arial" w:cs="Arial" w:eastAsia="Arial" w:hAnsi="Arial"/>
          <w:sz w:val="17"/>
          <w:szCs w:val="17"/>
          <w:color w:val="auto"/>
        </w:rPr>
        <w:t xml:space="preserve"> and operating lease liabilities are included in </w:t>
      </w:r>
      <w:r>
        <w:rPr>
          <w:rFonts w:ascii="Arial" w:cs="Arial" w:eastAsia="Arial" w:hAnsi="Arial"/>
          <w:sz w:val="17"/>
          <w:szCs w:val="17"/>
          <w:i w:val="1"/>
          <w:iCs w:val="1"/>
          <w:color w:val="auto"/>
        </w:rPr>
        <w:t>Current portion of 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lease obligation</w:t>
      </w:r>
      <w:r>
        <w:rPr>
          <w:rFonts w:ascii="Arial" w:cs="Arial" w:eastAsia="Arial" w:hAnsi="Arial"/>
          <w:sz w:val="17"/>
          <w:szCs w:val="17"/>
          <w:color w:val="auto"/>
        </w:rPr>
        <w:t>s and</w:t>
      </w:r>
      <w:r>
        <w:rPr>
          <w:rFonts w:ascii="Arial" w:cs="Arial" w:eastAsia="Arial" w:hAnsi="Arial"/>
          <w:sz w:val="17"/>
          <w:szCs w:val="17"/>
          <w:i w:val="1"/>
          <w:iCs w:val="1"/>
          <w:color w:val="auto"/>
        </w:rPr>
        <w:t xml:space="preserve"> Obligations under operating leases, net of current portion </w:t>
      </w:r>
      <w:r>
        <w:rPr>
          <w:rFonts w:ascii="Arial" w:cs="Arial" w:eastAsia="Arial" w:hAnsi="Arial"/>
          <w:sz w:val="17"/>
          <w:szCs w:val="17"/>
          <w:color w:val="auto"/>
        </w:rPr>
        <w:t>on our Consolidated Balance Sheet. Finance lease ROU assets are included in</w:t>
      </w:r>
      <w:r>
        <w:rPr>
          <w:rFonts w:ascii="Arial" w:cs="Arial" w:eastAsia="Arial" w:hAnsi="Arial"/>
          <w:sz w:val="17"/>
          <w:szCs w:val="17"/>
          <w:i w:val="1"/>
          <w:iCs w:val="1"/>
          <w:color w:val="auto"/>
        </w:rPr>
        <w:t xml:space="preserve"> Property, plant and equipment, net </w:t>
      </w:r>
      <w:r>
        <w:rPr>
          <w:rFonts w:ascii="Arial" w:cs="Arial" w:eastAsia="Arial" w:hAnsi="Arial"/>
          <w:sz w:val="17"/>
          <w:szCs w:val="17"/>
          <w:color w:val="auto"/>
        </w:rPr>
        <w:t>and finance lease liabilities are included in</w:t>
      </w:r>
      <w:r>
        <w:rPr>
          <w:rFonts w:ascii="Arial" w:cs="Arial" w:eastAsia="Arial" w:hAnsi="Arial"/>
          <w:sz w:val="17"/>
          <w:szCs w:val="17"/>
          <w:i w:val="1"/>
          <w:iCs w:val="1"/>
          <w:color w:val="auto"/>
        </w:rPr>
        <w:t xml:space="preserve"> Current portion of finance lease obligations </w:t>
      </w:r>
      <w:r>
        <w:rPr>
          <w:rFonts w:ascii="Arial" w:cs="Arial" w:eastAsia="Arial" w:hAnsi="Arial"/>
          <w:sz w:val="17"/>
          <w:szCs w:val="17"/>
          <w:color w:val="auto"/>
        </w:rPr>
        <w:t>and O</w:t>
      </w:r>
      <w:r>
        <w:rPr>
          <w:rFonts w:ascii="Arial" w:cs="Arial" w:eastAsia="Arial" w:hAnsi="Arial"/>
          <w:sz w:val="17"/>
          <w:szCs w:val="17"/>
          <w:i w:val="1"/>
          <w:iCs w:val="1"/>
          <w:color w:val="auto"/>
        </w:rPr>
        <w:t xml:space="preserve">bligations under finance leases, net of current portion </w:t>
      </w:r>
      <w:r>
        <w:rPr>
          <w:rFonts w:ascii="Arial" w:cs="Arial" w:eastAsia="Arial" w:hAnsi="Arial"/>
          <w:sz w:val="17"/>
          <w:szCs w:val="17"/>
          <w:color w:val="auto"/>
        </w:rPr>
        <w:t>on our Consolidated Balance Sheet.</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Notes 12 to the Consolidated Financial Statements included herein for additional information related to our leases.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Plans and Stock-Based Compensation</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have equity-based employee and director compensation plans under which we have granted stock awards, stock options and performance awards. We also have an employee stock purchase plan (the “ESPP”). We recognize compensation expense in an amount equal to the fair value of the stock-based awards expected to vest or to be purchased over the requisite service period. We recognize the effect of forfeitures in compensation cost when they occur and any previously recognized compensation cost for an award is reversed in the period that the award is forfeited.</w:t>
      </w:r>
    </w:p>
    <w:p>
      <w:pPr>
        <w:spacing w:after="0" w:line="76"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Fair value is determined on the date of the grant. The fair value of restricted stock is determined using the stock price on the grant date. The fair value of options or awards containing options is determined using the Black-Scholes valuation model or the Monte-Carlo simulation pricing model. The fair value of the performance awards related to market performance conditions is determined using the Monte-Carlo simulation pricing model. The fair value of the ESPP is determined based on the discount element offered to employees and the embedded option element, which is determined using an option calculation model.</w:t>
      </w:r>
    </w:p>
    <w:p>
      <w:pPr>
        <w:spacing w:after="0" w:line="61"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recognize all excess tax benefits and tax deficiencies (including tax benefits of dividends on share-based payment awards) as income tax benefit or expense in the income statement. We treat the tax effects of exercised or vested awards as discrete items in the reporting period in which they occur. Excess tax benefits or deficiencies related to share-based payments are included in operating cash flows on the Consolidated Statements of Cash Flows.</w:t>
      </w:r>
    </w:p>
    <w:p>
      <w:pPr>
        <w:spacing w:after="0" w:line="54" w:lineRule="exact"/>
        <w:rPr>
          <w:sz w:val="20"/>
          <w:szCs w:val="20"/>
          <w:color w:val="auto"/>
        </w:rPr>
      </w:pPr>
    </w:p>
    <w:p>
      <w:pPr>
        <w:ind w:right="180" w:firstLine="387"/>
        <w:spacing w:after="0" w:line="412" w:lineRule="auto"/>
        <w:rPr>
          <w:sz w:val="20"/>
          <w:szCs w:val="20"/>
          <w:color w:val="auto"/>
        </w:rPr>
      </w:pPr>
      <w:r>
        <w:rPr>
          <w:rFonts w:ascii="Arial" w:cs="Arial" w:eastAsia="Arial" w:hAnsi="Arial"/>
          <w:sz w:val="17"/>
          <w:szCs w:val="17"/>
          <w:color w:val="auto"/>
        </w:rPr>
        <w:t xml:space="preserve">See Note 14 to the Consolidated Financial Statements included herein for additional information related to our equity plans and stock-based compensation. </w:t>
      </w:r>
      <w:r>
        <w:rPr>
          <w:rFonts w:ascii="Arial" w:cs="Arial" w:eastAsia="Arial" w:hAnsi="Arial"/>
          <w:sz w:val="17"/>
          <w:szCs w:val="17"/>
          <w:i w:val="1"/>
          <w:iCs w:val="1"/>
          <w:color w:val="auto"/>
        </w:rPr>
        <w:t>Revenue Recognition</w:t>
      </w:r>
    </w:p>
    <w:p>
      <w:pPr>
        <w:jc w:val="both"/>
        <w:ind w:firstLine="387"/>
        <w:spacing w:after="0" w:line="260" w:lineRule="auto"/>
        <w:rPr>
          <w:sz w:val="20"/>
          <w:szCs w:val="20"/>
          <w:color w:val="auto"/>
        </w:rPr>
      </w:pPr>
      <w:r>
        <w:rPr>
          <w:rFonts w:ascii="Arial" w:cs="Arial" w:eastAsia="Arial" w:hAnsi="Arial"/>
          <w:sz w:val="17"/>
          <w:szCs w:val="17"/>
          <w:color w:val="auto"/>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On our atneed contracts, we generally deliver the merchandise and perform the services at the time of need.</w:t>
      </w:r>
    </w:p>
    <w:p>
      <w:pPr>
        <w:spacing w:after="0" w:line="77"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spacing w:after="0" w:line="6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Packages for service and ancillary items are offered to help the customer make decisions during emotional and stressful times. Package discounts are reflected net in </w:t>
      </w:r>
      <w:r>
        <w:rPr>
          <w:rFonts w:ascii="Arial" w:cs="Arial" w:eastAsia="Arial" w:hAnsi="Arial"/>
          <w:sz w:val="17"/>
          <w:szCs w:val="17"/>
          <w:i w:val="1"/>
          <w:iCs w:val="1"/>
          <w:color w:val="auto"/>
        </w:rPr>
        <w:t>Revenue</w:t>
      </w:r>
      <w:r>
        <w:rPr>
          <w:rFonts w:ascii="Arial" w:cs="Arial" w:eastAsia="Arial" w:hAnsi="Arial"/>
          <w:sz w:val="17"/>
          <w:szCs w:val="17"/>
          <w:color w:val="auto"/>
        </w:rPr>
        <w:t>. We recognize revenue when the merchandise is transferred or the service is performed, in satisfaction of the corresponding performance obligation. Sales taxes collected are recognized on a net basis in our Consolidated Financial Statements.</w:t>
      </w:r>
    </w:p>
    <w:p>
      <w:pPr>
        <w:spacing w:after="0" w:line="77"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 xml:space="preserve">Ancillary funeral service revenue, which is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xml:space="preserve"> represents revenue from our flower shop, pet cremation and online cremation businesses</w:t>
      </w:r>
      <w:r>
        <w:rPr>
          <w:rFonts w:ascii="Arial" w:cs="Arial" w:eastAsia="Arial" w:hAnsi="Arial"/>
          <w:sz w:val="17"/>
          <w:szCs w:val="17"/>
          <w:i w:val="1"/>
          <w:iCs w:val="1"/>
          <w:color w:val="auto"/>
        </w:rPr>
        <w:t>.</w:t>
      </w:r>
    </w:p>
    <w:p>
      <w:pPr>
        <w:spacing w:after="0" w:line="6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 xml:space="preserve">The earnings from our preneed trust investments, as well as trust management fees charged by our wholly-owned registered investment advisory firm (“CSV RIA”) are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As of June 30, 2021, CSV RIA provided investment management and advisory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3" w:name="page14"/>
    <w:bookmarkEnd w:id="13"/>
    <w:p>
      <w:pPr>
        <w:jc w:val="both"/>
        <w:ind w:firstLine="387"/>
        <w:spacing w:after="0" w:line="262" w:lineRule="auto"/>
        <w:rPr>
          <w:sz w:val="20"/>
          <w:szCs w:val="20"/>
          <w:color w:val="auto"/>
        </w:rPr>
      </w:pPr>
      <w:r>
        <w:rPr>
          <w:rFonts w:ascii="Arial" w:cs="Arial" w:eastAsia="Arial" w:hAnsi="Arial"/>
          <w:sz w:val="17"/>
          <w:szCs w:val="17"/>
          <w:color w:val="auto"/>
        </w:rPr>
        <w:t xml:space="preserve">Balances due on undelivered preneed funeral trust contracts have been reclassified to reduce </w:t>
      </w:r>
      <w:r>
        <w:rPr>
          <w:rFonts w:ascii="Arial" w:cs="Arial" w:eastAsia="Arial" w:hAnsi="Arial"/>
          <w:sz w:val="17"/>
          <w:szCs w:val="17"/>
          <w:i w:val="1"/>
          <w:iCs w:val="1"/>
          <w:color w:val="auto"/>
        </w:rPr>
        <w:t>Deferred preneed funeral revenue</w:t>
      </w:r>
      <w:r>
        <w:rPr>
          <w:rFonts w:ascii="Arial" w:cs="Arial" w:eastAsia="Arial" w:hAnsi="Arial"/>
          <w:sz w:val="17"/>
          <w:szCs w:val="17"/>
          <w:color w:val="auto"/>
        </w:rPr>
        <w:t xml:space="preserve"> on our Consolidated Balance Sheet of $8.2 million and $8.4 million at December 31, 2020 and June 30, 2021, respectively. As these performance obligations are to be completed after the date of death, we cannot quantify the recognition of revenue in future periods. However, we estimate an average maturity period of ten years for preneed funeral contracts.</w:t>
      </w:r>
    </w:p>
    <w:p>
      <w:pPr>
        <w:spacing w:after="0" w:line="76" w:lineRule="exact"/>
        <w:rPr>
          <w:sz w:val="20"/>
          <w:szCs w:val="20"/>
          <w:color w:val="auto"/>
        </w:rPr>
      </w:pPr>
    </w:p>
    <w:p>
      <w:pPr>
        <w:jc w:val="both"/>
        <w:ind w:firstLine="387"/>
        <w:spacing w:after="0" w:line="302" w:lineRule="auto"/>
        <w:rPr>
          <w:sz w:val="20"/>
          <w:szCs w:val="20"/>
          <w:color w:val="auto"/>
        </w:rPr>
      </w:pPr>
      <w:r>
        <w:rPr>
          <w:rFonts w:ascii="Arial" w:cs="Arial" w:eastAsia="Arial" w:hAnsi="Arial"/>
          <w:sz w:val="15"/>
          <w:szCs w:val="15"/>
          <w:color w:val="auto"/>
        </w:rPr>
        <w:t xml:space="preserve">Balances due from customers on delivered preneed cemetery contracts are included in </w:t>
      </w:r>
      <w:r>
        <w:rPr>
          <w:rFonts w:ascii="Arial" w:cs="Arial" w:eastAsia="Arial" w:hAnsi="Arial"/>
          <w:sz w:val="15"/>
          <w:szCs w:val="15"/>
          <w:i w:val="1"/>
          <w:iCs w:val="1"/>
          <w:color w:val="auto"/>
        </w:rPr>
        <w:t>Accounts receivable, net</w:t>
      </w:r>
      <w:r>
        <w:rPr>
          <w:rFonts w:ascii="Arial" w:cs="Arial" w:eastAsia="Arial" w:hAnsi="Arial"/>
          <w:sz w:val="15"/>
          <w:szCs w:val="15"/>
          <w:color w:val="auto"/>
        </w:rPr>
        <w:t xml:space="preserve"> and </w:t>
      </w:r>
      <w:r>
        <w:rPr>
          <w:rFonts w:ascii="Arial" w:cs="Arial" w:eastAsia="Arial" w:hAnsi="Arial"/>
          <w:sz w:val="15"/>
          <w:szCs w:val="15"/>
          <w:i w:val="1"/>
          <w:iCs w:val="1"/>
          <w:color w:val="auto"/>
        </w:rPr>
        <w:t>Preneed cemetery receivables, net</w:t>
      </w:r>
      <w:r>
        <w:rPr>
          <w:rFonts w:ascii="Arial" w:cs="Arial" w:eastAsia="Arial" w:hAnsi="Arial"/>
          <w:sz w:val="15"/>
          <w:szCs w:val="15"/>
          <w:color w:val="auto"/>
        </w:rPr>
        <w:t xml:space="preserve"> on our Consolidated Balance Sheet. Balances due on undelivered preneed cemetery contracts have been reclassified to reduce </w:t>
      </w:r>
      <w:r>
        <w:rPr>
          <w:rFonts w:ascii="Arial" w:cs="Arial" w:eastAsia="Arial" w:hAnsi="Arial"/>
          <w:sz w:val="15"/>
          <w:szCs w:val="15"/>
          <w:i w:val="1"/>
          <w:iCs w:val="1"/>
          <w:color w:val="auto"/>
        </w:rPr>
        <w:t>Deferred preneed cemetery revenue</w:t>
      </w:r>
      <w:r>
        <w:rPr>
          <w:rFonts w:ascii="Arial" w:cs="Arial" w:eastAsia="Arial" w:hAnsi="Arial"/>
          <w:sz w:val="15"/>
          <w:szCs w:val="15"/>
          <w:color w:val="auto"/>
        </w:rPr>
        <w:t xml:space="preserve"> on our Consolidated Balance Sheet. The transaction price allocated to preneed merchandise and service performance obligations that were unfulfilled were $7.9 million and $9.8 million at December 31, 2020 and June 30, 2021,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16 to the Consolidated Financial Statements herein for additional information related to revenue.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14"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spacing w:after="0" w:line="54"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38"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w:t>
      </w:r>
    </w:p>
    <w:p>
      <w:pPr>
        <w:spacing w:after="0" w:line="38"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Consolidated Appropriations Act was signed into law on December 27, 2020. This Act included several tax provisions directly benefiting individual and corporate taxpayers. The primary benefit in this legislation is a temporary allowance for full deduction for business meals paid or incurred between December 31, 2020 and January 1, 2023.</w:t>
      </w:r>
    </w:p>
    <w:p>
      <w:pPr>
        <w:spacing w:after="0" w:line="73" w:lineRule="exact"/>
        <w:rPr>
          <w:sz w:val="20"/>
          <w:szCs w:val="20"/>
          <w:color w:val="auto"/>
        </w:rPr>
      </w:pPr>
    </w:p>
    <w:p>
      <w:pPr>
        <w:jc w:val="both"/>
        <w:ind w:firstLine="387"/>
        <w:spacing w:after="0" w:line="275" w:lineRule="auto"/>
        <w:rPr>
          <w:sz w:val="20"/>
          <w:szCs w:val="20"/>
          <w:color w:val="auto"/>
        </w:rPr>
      </w:pPr>
      <w:r>
        <w:rPr>
          <w:rFonts w:ascii="Arial" w:cs="Arial" w:eastAsia="Arial" w:hAnsi="Arial"/>
          <w:sz w:val="16"/>
          <w:szCs w:val="16"/>
          <w:color w:val="auto"/>
        </w:rPr>
        <w:t>We filed carryback refund claims for the 2018 and 2019 tax years as allowed by the legislative changes included in the Coronavirus Aid, Relief, and Economic Security Act (the “CARES Act”), which was enacted March 27, 2020. As a result of requesting a tax refund in excess of $5 million, we must receive Joint Committee approval and undergo an audit for the tax year ending December 31, 2018. This audit is currently in progress. In 2020, the 2018 tax return was amended to take full advantage of the CARES Act legislative benefits resulting in additional losses that increase the amount of our carryback refund claim. The majority of the net operating losses generated in 2018 are the result of filing non-automatic accounting method changes relating to the recognition of revenue from our cemetery property and merchandise and services sales. Due to the uncertainty of receiving Internal Revenue Service (“IRS”) approval regarding our non-automatic accounting method changes, a reserve has been recorded against the benefit derived from this carrying back that the net operating losses generated. At both December 31, 2020 and June 30, 2021, the reserve for uncertain tax positions was $3.7 million.</w:t>
      </w:r>
    </w:p>
    <w:p>
      <w:pPr>
        <w:spacing w:after="0" w:line="69"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Income tax expense during interim periods is based on our forecasted annual effective tax rate plus any discrete items, which are recorded in the period in which they occur. Discrete items include, but are not limited to, such events as changes in estimates due to finalization of income tax returns, tax audit settlements, tax effects of exercised or vested stock-based awards and increases or decreases in valuation allowances on deferred tax assets.</w:t>
      </w:r>
    </w:p>
    <w:p>
      <w:pPr>
        <w:spacing w:after="0" w:line="5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For the three months ended June 30, 2020 and 2021, we had an income tax expense of $3.4 million and an income tax benefit of $4.2 million, respectively and for the six months ended June 30, 2020 and 2021, we had an income tax expense of $1.3 million and $1.4 million, respectively. Our operating tax rate before discrete items was 33.5% and 33.0% for the three months ended June 30, 2020 and 2021, respectively and 33.3% and 28.5% for the six months ended June 30, 2020 and 2021,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Computation of Earnings Per Common Share</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w:t>
      </w:r>
    </w:p>
    <w:p>
      <w:pPr>
        <w:spacing w:after="0" w:line="7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and directors are considered participating securities, and we have prepared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4" w:name="page15"/>
    <w:bookmarkEnd w:id="14"/>
    <w:p>
      <w:pPr>
        <w:jc w:val="both"/>
        <w:spacing w:after="0" w:line="280" w:lineRule="auto"/>
        <w:rPr>
          <w:sz w:val="20"/>
          <w:szCs w:val="20"/>
          <w:color w:val="auto"/>
        </w:rPr>
      </w:pPr>
      <w:r>
        <w:rPr>
          <w:rFonts w:ascii="Arial" w:cs="Arial" w:eastAsia="Arial" w:hAnsi="Arial"/>
          <w:sz w:val="17"/>
          <w:szCs w:val="17"/>
          <w:color w:val="auto"/>
        </w:rPr>
        <w:t>earnings per share calculations attributable to common stockholders to exclude outstanding unvested restricted stock awards, using the two-class method, in both the basic and diluted weighted average shares outstanding calculation.</w:t>
      </w:r>
    </w:p>
    <w:p>
      <w:pPr>
        <w:spacing w:after="0" w:line="6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performance awards are considered to be contingently issuable shares because their issuance is contingent upon the satisfaction of certain performance and service conditions. In accordance with ASC 260, we have included in the computation of diluted earnings per share the number of performance awards that would have been issuable as if the end of the reporting period was the end of the contingency period. These shares are considered to be outstanding at the beginning of the reporting period.</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15 to the Consolidated Financial Statements included herein related to the computation of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Subsequent Events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We have evaluated events and transactions during the period subsequent to June 30, 2021 through the date the financial statements were issued for potential recognition or disclosure in the accompanying financial statements covered by this report.</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18 to the Consolidated Financial Statements included herein for additional information related to our subsequent events.</w:t>
      </w:r>
    </w:p>
    <w:p>
      <w:pPr>
        <w:spacing w:after="0" w:line="263" w:lineRule="exact"/>
        <w:rPr>
          <w:sz w:val="20"/>
          <w:szCs w:val="20"/>
          <w:color w:val="auto"/>
        </w:rPr>
      </w:pPr>
    </w:p>
    <w:p>
      <w:pPr>
        <w:ind w:right="6700" w:firstLine="3"/>
        <w:spacing w:after="0" w:line="447" w:lineRule="auto"/>
        <w:tabs>
          <w:tab w:leader="none" w:pos="619"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RECENTLY ISSUED ACCOUNTING STANDARDS Accounting Pronouncements Not Yet Adopted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Reference Rate Reform</w:t>
      </w:r>
    </w:p>
    <w:p>
      <w:pPr>
        <w:spacing w:after="0" w:line="114" w:lineRule="exact"/>
        <w:rPr>
          <w:sz w:val="20"/>
          <w:szCs w:val="20"/>
          <w:color w:val="auto"/>
        </w:rPr>
      </w:pPr>
    </w:p>
    <w:p>
      <w:pPr>
        <w:jc w:val="both"/>
        <w:ind w:firstLine="387"/>
        <w:spacing w:after="0" w:line="278" w:lineRule="auto"/>
        <w:rPr>
          <w:sz w:val="20"/>
          <w:szCs w:val="20"/>
          <w:color w:val="auto"/>
        </w:rPr>
      </w:pPr>
      <w:r>
        <w:rPr>
          <w:rFonts w:ascii="Arial" w:cs="Arial" w:eastAsia="Arial" w:hAnsi="Arial"/>
          <w:sz w:val="16"/>
          <w:szCs w:val="16"/>
          <w:color w:val="auto"/>
        </w:rPr>
        <w:t xml:space="preserve">In March 2020, the FASB issued ASU,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to provide optional guidance for a limited time to ease the potential burden in accounting for reference rate reform. The new guidance provides optional expedients and exceptions for applying GAAP to contracts, hedging relationships, and other transactions affected by reference rate reform if certain criteria are met. The amendments apply only to contracts and hedging relationships that reference London InterBank Offered Rate (“LIBOR”) or another reference rate expected to be discontinued due to reference rate reform. These amendments are effective immediately and may be applied prospectively to contract modifications made and hedging relationships entered into or evaluated on or before December 31, 2022. The Company did not utilize the optional expedients and exceptions provided by this ASU during the six months ended June 30, 2021.</w:t>
      </w:r>
    </w:p>
    <w:p>
      <w:pPr>
        <w:spacing w:after="0" w:line="212"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GOODWILL</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changes in goodwill in the accompanying Consolidated Balance Sheet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ind w:left="240"/>
              <w:spacing w:after="0"/>
              <w:rPr>
                <w:sz w:val="20"/>
                <w:szCs w:val="20"/>
                <w:color w:val="auto"/>
              </w:rPr>
            </w:pPr>
            <w:r>
              <w:rPr>
                <w:rFonts w:ascii="Arial" w:cs="Arial" w:eastAsia="Arial" w:hAnsi="Arial"/>
                <w:sz w:val="15"/>
                <w:szCs w:val="15"/>
                <w:b w:val="1"/>
                <w:bCs w:val="1"/>
                <w:color w:val="auto"/>
              </w:rPr>
              <w:t>December 31, 2020</w:t>
            </w:r>
          </w:p>
        </w:tc>
        <w:tc>
          <w:tcPr>
            <w:tcW w:w="5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June 30, 2021</w:t>
            </w:r>
          </w:p>
        </w:tc>
      </w:tr>
      <w:tr>
        <w:trPr>
          <w:trHeight w:val="215"/>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 at the beginning of the period</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398,292</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392,978</w:t>
            </w:r>
          </w:p>
        </w:tc>
      </w:tr>
      <w:tr>
        <w:trPr>
          <w:trHeight w:val="219"/>
        </w:trPr>
        <w:tc>
          <w:tcPr>
            <w:tcW w:w="7340" w:type="dxa"/>
            <w:vAlign w:val="bottom"/>
          </w:tcPr>
          <w:p>
            <w:pPr>
              <w:ind w:left="20"/>
              <w:spacing w:after="0"/>
              <w:rPr>
                <w:sz w:val="20"/>
                <w:szCs w:val="20"/>
                <w:color w:val="auto"/>
              </w:rPr>
            </w:pPr>
            <w:r>
              <w:rPr>
                <w:rFonts w:ascii="Arial" w:cs="Arial" w:eastAsia="Arial" w:hAnsi="Arial"/>
                <w:sz w:val="17"/>
                <w:szCs w:val="17"/>
                <w:color w:val="auto"/>
              </w:rPr>
              <w:t>Net increase in goodwill related to acquisitions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14,054</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Decrease in goodwill related to divestitures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(5,736)</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r>
      <w:tr>
        <w:trPr>
          <w:trHeight w:val="219"/>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Decrease in goodwill related to impairments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(13,632)</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 at the end of the period</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392,978</w:t>
            </w: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391,972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 xml:space="preserve">During the six months ended June 30, 2021, we allocated $1.0 million of goodwill to the sale of one funeral home for a loss recorded in </w:t>
      </w:r>
      <w:r>
        <w:rPr>
          <w:rFonts w:ascii="Arial" w:cs="Arial" w:eastAsia="Arial" w:hAnsi="Arial"/>
          <w:sz w:val="17"/>
          <w:szCs w:val="17"/>
          <w:i w:val="1"/>
          <w:iCs w:val="1"/>
          <w:color w:val="auto"/>
        </w:rPr>
        <w:t>Net loss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divestitures, disposals and impairment charges </w:t>
      </w:r>
      <w:r>
        <w:rPr>
          <w:rFonts w:ascii="Arial" w:cs="Arial" w:eastAsia="Arial" w:hAnsi="Arial"/>
          <w:sz w:val="17"/>
          <w:szCs w:val="17"/>
          <w:color w:val="auto"/>
        </w:rPr>
        <w:t>on our Consolidated Statements of Operations.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5" w:name="page16"/>
    <w:bookmarkEnd w:id="15"/>
    <w:p>
      <w:pPr>
        <w:ind w:left="620" w:hanging="617"/>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DIVESTED OPERATIONS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the three and six months ended June 30, 2021, we sold one funeral home for $0.7 million and three funeral homes for $3.5 million,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June 30, 2020, we did not sell any funeral homes or cemeteries.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operating results of these divested funeral homes are reflected in our Consolidated Statements of Operations as shown in the table below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5"/>
                <w:szCs w:val="15"/>
                <w:b w:val="1"/>
                <w:bCs w:val="1"/>
                <w:color w:val="auto"/>
              </w:rPr>
              <w:t>Six months ended June 30,</w:t>
            </w:r>
          </w:p>
        </w:tc>
        <w:tc>
          <w:tcPr>
            <w:tcW w:w="520" w:type="dxa"/>
            <w:vAlign w:val="bottom"/>
            <w:tcBorders>
              <w:bottom w:val="single" w:sz="8" w:color="auto"/>
            </w:tcBorders>
          </w:tcPr>
          <w:p>
            <w:pPr>
              <w:spacing w:after="0"/>
              <w:rPr>
                <w:sz w:val="17"/>
                <w:szCs w:val="17"/>
                <w:color w:val="auto"/>
              </w:rPr>
            </w:pPr>
          </w:p>
        </w:tc>
      </w:tr>
      <w:tr>
        <w:trPr>
          <w:trHeight w:val="200"/>
        </w:trPr>
        <w:tc>
          <w:tcPr>
            <w:tcW w:w="46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716"/>
              <w:spacing w:after="0"/>
              <w:rPr>
                <w:sz w:val="20"/>
                <w:szCs w:val="20"/>
                <w:color w:val="auto"/>
              </w:rPr>
            </w:pPr>
            <w:r>
              <w:rPr>
                <w:rFonts w:ascii="Arial" w:cs="Arial" w:eastAsia="Arial" w:hAnsi="Arial"/>
                <w:sz w:val="15"/>
                <w:szCs w:val="15"/>
                <w:b w:val="1"/>
                <w:bCs w:val="1"/>
                <w:color w:val="auto"/>
                <w:w w:val="95"/>
              </w:rPr>
              <w:t>2020</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676"/>
              <w:spacing w:after="0"/>
              <w:rPr>
                <w:sz w:val="20"/>
                <w:szCs w:val="20"/>
                <w:color w:val="auto"/>
              </w:rPr>
            </w:pPr>
            <w:r>
              <w:rPr>
                <w:rFonts w:ascii="Arial" w:cs="Arial" w:eastAsia="Arial" w:hAnsi="Arial"/>
                <w:sz w:val="15"/>
                <w:szCs w:val="15"/>
                <w:b w:val="1"/>
                <w:bCs w:val="1"/>
                <w:color w:val="auto"/>
                <w:w w:val="95"/>
              </w:rPr>
              <w:t>2020</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left="95"/>
              <w:spacing w:after="0"/>
              <w:rPr>
                <w:sz w:val="20"/>
                <w:szCs w:val="20"/>
                <w:color w:val="auto"/>
              </w:rPr>
            </w:pPr>
            <w:r>
              <w:rPr>
                <w:rFonts w:ascii="Arial" w:cs="Arial" w:eastAsia="Arial" w:hAnsi="Arial"/>
                <w:sz w:val="15"/>
                <w:szCs w:val="15"/>
                <w:b w:val="1"/>
                <w:bCs w:val="1"/>
                <w:color w:val="auto"/>
                <w:w w:val="89"/>
              </w:rPr>
              <w:t>2021</w:t>
            </w:r>
          </w:p>
        </w:tc>
      </w:tr>
      <w:tr>
        <w:trPr>
          <w:trHeight w:val="215"/>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center"/>
              <w:ind w:left="516"/>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center"/>
              <w:ind w:left="476"/>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r>
      <w:tr>
        <w:trPr>
          <w:trHeight w:val="103"/>
        </w:trPr>
        <w:tc>
          <w:tcPr>
            <w:tcW w:w="4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516"/>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476"/>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115"/>
              <w:spacing w:after="0"/>
              <w:rPr>
                <w:sz w:val="20"/>
                <w:szCs w:val="20"/>
                <w:color w:val="auto"/>
              </w:rPr>
            </w:pPr>
            <w:r>
              <w:rPr>
                <w:rFonts w:ascii="Arial" w:cs="Arial" w:eastAsia="Arial" w:hAnsi="Arial"/>
                <w:sz w:val="17"/>
                <w:szCs w:val="17"/>
                <w:color w:val="auto"/>
                <w:w w:val="92"/>
              </w:rPr>
              <w:t>(12)</w:t>
            </w:r>
          </w:p>
        </w:tc>
      </w:tr>
      <w:tr>
        <w:trPr>
          <w:trHeight w:val="219"/>
        </w:trPr>
        <w:tc>
          <w:tcPr>
            <w:tcW w:w="4620" w:type="dxa"/>
            <w:vAlign w:val="bottom"/>
          </w:tcPr>
          <w:p>
            <w:pPr>
              <w:ind w:left="20"/>
              <w:spacing w:after="0" w:line="220" w:lineRule="exact"/>
              <w:rPr>
                <w:sz w:val="20"/>
                <w:szCs w:val="20"/>
                <w:color w:val="auto"/>
              </w:rPr>
            </w:pPr>
            <w:r>
              <w:rPr>
                <w:rFonts w:ascii="Arial" w:cs="Arial" w:eastAsia="Arial" w:hAnsi="Arial"/>
                <w:sz w:val="17"/>
                <w:szCs w:val="17"/>
                <w:color w:val="auto"/>
              </w:rPr>
              <w:t>Gain (loss) on divestitures</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340" w:type="dxa"/>
            <w:vAlign w:val="bottom"/>
            <w:gridSpan w:val="2"/>
          </w:tcPr>
          <w:p>
            <w:pPr>
              <w:jc w:val="center"/>
              <w:ind w:left="516"/>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center"/>
              <w:ind w:left="476"/>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73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9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115"/>
              <w:spacing w:after="0"/>
              <w:rPr>
                <w:sz w:val="20"/>
                <w:szCs w:val="20"/>
                <w:color w:val="auto"/>
              </w:rPr>
            </w:pPr>
            <w:r>
              <w:rPr>
                <w:rFonts w:ascii="Arial" w:cs="Arial" w:eastAsia="Arial" w:hAnsi="Arial"/>
                <w:sz w:val="17"/>
                <w:szCs w:val="17"/>
                <w:color w:val="auto"/>
                <w:w w:val="92"/>
              </w:rPr>
              <w:t>(26)</w:t>
            </w:r>
          </w:p>
        </w:tc>
      </w:tr>
      <w:tr>
        <w:trPr>
          <w:trHeight w:val="212"/>
        </w:trPr>
        <w:tc>
          <w:tcPr>
            <w:tcW w:w="4620" w:type="dxa"/>
            <w:vAlign w:val="bottom"/>
          </w:tcPr>
          <w:p>
            <w:pPr>
              <w:ind w:left="20"/>
              <w:spacing w:after="0"/>
              <w:rPr>
                <w:sz w:val="20"/>
                <w:szCs w:val="20"/>
                <w:color w:val="auto"/>
              </w:rPr>
            </w:pPr>
            <w:r>
              <w:rPr>
                <w:rFonts w:ascii="Arial" w:cs="Arial" w:eastAsia="Arial" w:hAnsi="Arial"/>
                <w:sz w:val="17"/>
                <w:szCs w:val="17"/>
                <w:color w:val="auto"/>
              </w:rPr>
              <w:t>Net income (loss) from divested operations, after tax</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center"/>
              <w:ind w:left="51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7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(162)</w:t>
            </w:r>
          </w:p>
        </w:tc>
        <w:tc>
          <w:tcPr>
            <w:tcW w:w="2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center"/>
              <w:ind w:left="47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7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0"/>
        </w:trPr>
        <w:tc>
          <w:tcPr>
            <w:tcW w:w="4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139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191" w:lineRule="exact"/>
        <w:rPr>
          <w:sz w:val="20"/>
          <w:szCs w:val="20"/>
          <w:color w:val="auto"/>
        </w:rPr>
      </w:pPr>
    </w:p>
    <w:p>
      <w:pPr>
        <w:ind w:left="400" w:hanging="380"/>
        <w:spacing w:after="0"/>
        <w:tabs>
          <w:tab w:leader="none" w:pos="400" w:val="left"/>
        </w:tabs>
        <w:numPr>
          <w:ilvl w:val="1"/>
          <w:numId w:val="7"/>
        </w:numPr>
        <w:rPr>
          <w:rFonts w:ascii="Arial" w:cs="Arial" w:eastAsia="Arial" w:hAnsi="Arial"/>
          <w:sz w:val="15"/>
          <w:szCs w:val="15"/>
          <w:color w:val="auto"/>
        </w:rPr>
      </w:pPr>
      <w:r>
        <w:rPr>
          <w:rFonts w:ascii="Arial" w:cs="Arial" w:eastAsia="Arial" w:hAnsi="Arial"/>
          <w:sz w:val="15"/>
          <w:szCs w:val="15"/>
          <w:color w:val="auto"/>
        </w:rPr>
        <w:t xml:space="preserve">Gain (loss) on divestitures is recorded in </w:t>
      </w:r>
      <w:r>
        <w:rPr>
          <w:rFonts w:ascii="Arial" w:cs="Arial" w:eastAsia="Arial" w:hAnsi="Arial"/>
          <w:sz w:val="15"/>
          <w:szCs w:val="15"/>
          <w:i w:val="1"/>
          <w:iCs w:val="1"/>
          <w:color w:val="auto"/>
        </w:rPr>
        <w:t>Net loss on divestitures, disposals and impairments charges</w:t>
      </w:r>
      <w:r>
        <w:rPr>
          <w:rFonts w:ascii="Arial" w:cs="Arial" w:eastAsia="Arial" w:hAnsi="Arial"/>
          <w:sz w:val="15"/>
          <w:szCs w:val="15"/>
          <w:color w:val="auto"/>
        </w:rPr>
        <w:t xml:space="preserve"> on our Consolidated Statements of Operations.</w:t>
      </w:r>
    </w:p>
    <w:p>
      <w:pPr>
        <w:spacing w:after="0" w:line="359" w:lineRule="exact"/>
        <w:rPr>
          <w:rFonts w:ascii="Arial" w:cs="Arial" w:eastAsia="Arial" w:hAnsi="Arial"/>
          <w:sz w:val="15"/>
          <w:szCs w:val="15"/>
          <w:color w:val="auto"/>
        </w:rPr>
      </w:pPr>
    </w:p>
    <w:p>
      <w:pPr>
        <w:ind w:left="620" w:hanging="617"/>
        <w:spacing w:after="0"/>
        <w:tabs>
          <w:tab w:leader="none" w:pos="6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RECEIVABLES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Accounts receivable is comprised of the following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5"/>
                <w:szCs w:val="15"/>
                <w:b w:val="1"/>
                <w:bCs w:val="1"/>
                <w:color w:val="auto"/>
              </w:rPr>
              <w:t>June 30, 2021</w:t>
            </w: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00"/>
        </w:trPr>
        <w:tc>
          <w:tcPr>
            <w:tcW w:w="53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Funeral</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Cemetery</w:t>
            </w: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Corporate</w:t>
            </w:r>
          </w:p>
        </w:tc>
        <w:tc>
          <w:tcPr>
            <w:tcW w:w="1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r>
      <w:tr>
        <w:trPr>
          <w:trHeight w:val="215"/>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and financed receivables</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22,032</w:t>
            </w: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Other receivables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2,120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303</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2,859</w:t>
            </w:r>
          </w:p>
        </w:tc>
      </w:tr>
      <w:tr>
        <w:trPr>
          <w:trHeight w:val="220"/>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credit losses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w:t>
            </w:r>
          </w:p>
        </w:tc>
      </w:tr>
      <w:tr>
        <w:trPr>
          <w:trHeight w:val="212"/>
        </w:trPr>
        <w:tc>
          <w:tcPr>
            <w:tcW w:w="530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4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9,172</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14,360</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23,835</w:t>
            </w:r>
          </w:p>
        </w:tc>
      </w:tr>
      <w:tr>
        <w:trPr>
          <w:trHeight w:val="20"/>
        </w:trPr>
        <w:tc>
          <w:tcPr>
            <w:tcW w:w="5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42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December 31, 2020</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r>
        <w:trPr>
          <w:trHeight w:val="200"/>
        </w:trPr>
        <w:tc>
          <w:tcPr>
            <w:tcW w:w="42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Funeral</w:t>
            </w: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Cemetery</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Corporate</w:t>
            </w: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w:t>
            </w:r>
          </w:p>
        </w:tc>
      </w:tr>
      <w:tr>
        <w:trPr>
          <w:trHeight w:val="215"/>
        </w:trPr>
        <w:tc>
          <w:tcPr>
            <w:tcW w:w="42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Trade and financed receivables</w:t>
            </w:r>
          </w:p>
        </w:tc>
        <w:tc>
          <w:tcPr>
            <w:tcW w:w="7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19"/>
        </w:trPr>
        <w:tc>
          <w:tcPr>
            <w:tcW w:w="4240" w:type="dxa"/>
            <w:vAlign w:val="bottom"/>
          </w:tcPr>
          <w:p>
            <w:pPr>
              <w:ind w:left="400"/>
              <w:spacing w:after="0"/>
              <w:rPr>
                <w:sz w:val="20"/>
                <w:szCs w:val="20"/>
                <w:color w:val="auto"/>
              </w:rPr>
            </w:pPr>
            <w:r>
              <w:rPr>
                <w:rFonts w:ascii="Arial" w:cs="Arial" w:eastAsia="Arial" w:hAnsi="Arial"/>
                <w:sz w:val="17"/>
                <w:szCs w:val="17"/>
                <w:color w:val="auto"/>
              </w:rPr>
              <w:t>Other receivables</w:t>
            </w: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367</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2,144</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0"/>
        </w:trPr>
        <w:tc>
          <w:tcPr>
            <w:tcW w:w="42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Allowance for credit losses</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2"/>
        </w:trPr>
        <w:tc>
          <w:tcPr>
            <w:tcW w:w="4240" w:type="dxa"/>
            <w:vAlign w:val="bottom"/>
          </w:tcPr>
          <w:p>
            <w:pPr>
              <w:ind w:left="400"/>
              <w:spacing w:after="0"/>
              <w:rPr>
                <w:sz w:val="20"/>
                <w:szCs w:val="20"/>
                <w:color w:val="auto"/>
              </w:rPr>
            </w:pPr>
            <w:r>
              <w:rPr>
                <w:rFonts w:ascii="Arial" w:cs="Arial" w:eastAsia="Arial" w:hAnsi="Arial"/>
                <w:sz w:val="17"/>
                <w:szCs w:val="17"/>
                <w:color w:val="auto"/>
              </w:rPr>
              <w:t>Accounts receivable, net</w:t>
            </w:r>
          </w:p>
        </w:tc>
        <w:tc>
          <w:tcPr>
            <w:tcW w:w="7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11,488</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13,414</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25,1</w:t>
            </w:r>
          </w:p>
        </w:tc>
      </w:tr>
      <w:tr>
        <w:trPr>
          <w:trHeight w:val="20"/>
        </w:trPr>
        <w:tc>
          <w:tcPr>
            <w:tcW w:w="4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right="100" w:firstLine="387"/>
        <w:spacing w:after="0" w:line="266" w:lineRule="auto"/>
        <w:rPr>
          <w:sz w:val="20"/>
          <w:szCs w:val="20"/>
          <w:color w:val="auto"/>
        </w:rPr>
      </w:pPr>
      <w:r>
        <w:rPr>
          <w:rFonts w:ascii="Arial" w:cs="Arial" w:eastAsia="Arial" w:hAnsi="Arial"/>
          <w:sz w:val="17"/>
          <w:szCs w:val="17"/>
          <w:color w:val="auto"/>
        </w:rPr>
        <w:t>Other receivables include supplier rebates, commissions due from third party insurance companies, perpetual care income receivables and proceeds due from an insurance claim. We do not provide an allowance for credit losses for these receivables as we have historically not had any collectability issues nor do we expect any in the foreseeable future.</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activity in our allowance for credit losses by portfolio segment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spacing w:after="0"/>
              <w:rPr>
                <w:sz w:val="15"/>
                <w:szCs w:val="15"/>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January 1, 2021</w:t>
            </w: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Provision for</w:t>
            </w:r>
          </w:p>
        </w:tc>
        <w:tc>
          <w:tcPr>
            <w:tcW w:w="14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Write Offs</w:t>
            </w:r>
          </w:p>
        </w:tc>
        <w:tc>
          <w:tcPr>
            <w:tcW w:w="16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Recoveries</w:t>
            </w:r>
          </w:p>
        </w:tc>
        <w:tc>
          <w:tcPr>
            <w:tcW w:w="120" w:type="dxa"/>
            <w:vAlign w:val="bottom"/>
          </w:tcPr>
          <w:p>
            <w:pPr>
              <w:spacing w:after="0"/>
              <w:rPr>
                <w:sz w:val="15"/>
                <w:szCs w:val="15"/>
                <w:color w:val="auto"/>
              </w:rPr>
            </w:pPr>
          </w:p>
        </w:tc>
        <w:tc>
          <w:tcPr>
            <w:tcW w:w="1020" w:type="dxa"/>
            <w:vAlign w:val="bottom"/>
            <w:vMerge w:val="restart"/>
          </w:tcPr>
          <w:p>
            <w:pPr>
              <w:jc w:val="right"/>
              <w:ind w:right="36"/>
              <w:spacing w:after="0"/>
              <w:rPr>
                <w:sz w:val="20"/>
                <w:szCs w:val="20"/>
                <w:color w:val="auto"/>
              </w:rPr>
            </w:pPr>
            <w:r>
              <w:rPr>
                <w:rFonts w:ascii="Arial" w:cs="Arial" w:eastAsia="Arial" w:hAnsi="Arial"/>
                <w:sz w:val="15"/>
                <w:szCs w:val="15"/>
                <w:b w:val="1"/>
                <w:bCs w:val="1"/>
                <w:color w:val="auto"/>
                <w:w w:val="90"/>
              </w:rPr>
              <w:t>June 30, 2021</w:t>
            </w: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Credit Losses</w:t>
            </w: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rPr>
                <w:sz w:val="20"/>
                <w:szCs w:val="20"/>
                <w:color w:val="auto"/>
              </w:rPr>
            </w:pPr>
            <w:r>
              <w:rPr>
                <w:rFonts w:ascii="Arial" w:cs="Arial" w:eastAsia="Arial" w:hAnsi="Arial"/>
                <w:sz w:val="17"/>
                <w:szCs w:val="17"/>
                <w:color w:val="auto"/>
              </w:rPr>
              <w:t>Trade and financed receivables: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Funeral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19"/>
        </w:trPr>
        <w:tc>
          <w:tcPr>
            <w:tcW w:w="5160" w:type="dxa"/>
            <w:vAlign w:val="bottom"/>
          </w:tcPr>
          <w:p>
            <w:pPr>
              <w:ind w:left="20"/>
              <w:spacing w:after="0"/>
              <w:rPr>
                <w:sz w:val="20"/>
                <w:szCs w:val="20"/>
                <w:color w:val="auto"/>
              </w:rPr>
            </w:pPr>
            <w:r>
              <w:rPr>
                <w:rFonts w:ascii="Arial" w:cs="Arial" w:eastAsia="Arial" w:hAnsi="Arial"/>
                <w:sz w:val="17"/>
                <w:szCs w:val="17"/>
                <w:color w:val="auto"/>
              </w:rPr>
              <w:t>Cemetery</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(774)</w:t>
            </w:r>
          </w:p>
        </w:tc>
        <w:tc>
          <w:tcPr>
            <w:tcW w:w="0" w:type="dxa"/>
            <w:vAlign w:val="bottom"/>
          </w:tcPr>
          <w:p>
            <w:pPr>
              <w:spacing w:after="0"/>
              <w:rPr>
                <w:sz w:val="1"/>
                <w:szCs w:val="1"/>
                <w:color w:val="auto"/>
              </w:rPr>
            </w:pPr>
          </w:p>
        </w:tc>
      </w:tr>
      <w:tr>
        <w:trPr>
          <w:trHeight w:val="23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allowance for credit losses on Trade and financed receivables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74"/>
              <w:spacing w:after="0"/>
              <w:rPr>
                <w:sz w:val="20"/>
                <w:szCs w:val="20"/>
                <w:color w:val="auto"/>
              </w:rPr>
            </w:pPr>
            <w:r>
              <w:rPr>
                <w:rFonts w:ascii="Arial" w:cs="Arial" w:eastAsia="Arial" w:hAnsi="Arial"/>
                <w:sz w:val="17"/>
                <w:szCs w:val="17"/>
                <w:color w:val="auto"/>
              </w:rPr>
              <w:t>- 16 -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15"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i w:val="1"/>
          <w:iCs w:val="1"/>
          <w:color w:val="auto"/>
        </w:rPr>
        <w:t>Preneed Cemetery Receivables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preneed cemetery receivables are comprised of the following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ind w:left="220"/>
              <w:spacing w:after="0"/>
              <w:rPr>
                <w:sz w:val="20"/>
                <w:szCs w:val="20"/>
                <w:color w:val="auto"/>
              </w:rPr>
            </w:pPr>
            <w:r>
              <w:rPr>
                <w:rFonts w:ascii="Arial" w:cs="Arial" w:eastAsia="Arial" w:hAnsi="Arial"/>
                <w:sz w:val="15"/>
                <w:szCs w:val="15"/>
                <w:b w:val="1"/>
                <w:bCs w:val="1"/>
                <w:color w:val="auto"/>
              </w:rPr>
              <w:t>December 31, 2020</w:t>
            </w:r>
          </w:p>
        </w:tc>
        <w:tc>
          <w:tcPr>
            <w:tcW w:w="4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June 30, 2021</w:t>
            </w:r>
          </w:p>
        </w:tc>
      </w:tr>
      <w:tr>
        <w:trPr>
          <w:trHeight w:val="215"/>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Cemetery interment rights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36,696</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39,871</w:t>
            </w:r>
          </w:p>
        </w:tc>
      </w:tr>
      <w:tr>
        <w:trPr>
          <w:trHeight w:val="21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Cemetery merchandise and services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10,526</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11,506</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Cemetery financed receivables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47,222</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51,377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components of our preneed cemetery receivables are as follows (in thousands):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December 31, 2020</w:t>
            </w:r>
          </w:p>
        </w:tc>
        <w:tc>
          <w:tcPr>
            <w:tcW w:w="2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8"/>
              </w:rPr>
              <w:t>June 30, 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w w:val="96"/>
              </w:rPr>
              <w:t>Preneed cemetery receivables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58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w w:val="99"/>
              </w:rPr>
              <w:t>47,222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w w:val="91"/>
              </w:rPr>
              <w:t>Less: unearned finance charges</w:t>
            </w: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(4,348)</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gridSpan w:val="7"/>
            <w:shd w:val="clear" w:color="auto" w:fill="CCEEFF"/>
          </w:tcPr>
          <w:p>
            <w:pPr>
              <w:ind w:left="20"/>
              <w:spacing w:after="0"/>
              <w:rPr>
                <w:sz w:val="20"/>
                <w:szCs w:val="20"/>
                <w:color w:val="auto"/>
              </w:rPr>
            </w:pPr>
            <w:r>
              <w:rPr>
                <w:rFonts w:ascii="Arial" w:cs="Arial" w:eastAsia="Arial" w:hAnsi="Arial"/>
                <w:sz w:val="17"/>
                <w:szCs w:val="17"/>
                <w:color w:val="auto"/>
                <w:w w:val="96"/>
              </w:rPr>
              <w:t>Preneed cemetery receivables, at amortized cost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58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w w:val="99"/>
              </w:rPr>
              <w:t>42,874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gridSpan w:val="4"/>
          </w:tcPr>
          <w:p>
            <w:pPr>
              <w:ind w:left="20"/>
              <w:spacing w:after="0"/>
              <w:rPr>
                <w:sz w:val="20"/>
                <w:szCs w:val="20"/>
                <w:color w:val="auto"/>
              </w:rPr>
            </w:pPr>
            <w:r>
              <w:rPr>
                <w:rFonts w:ascii="Arial" w:cs="Arial" w:eastAsia="Arial" w:hAnsi="Arial"/>
                <w:sz w:val="17"/>
                <w:szCs w:val="17"/>
                <w:color w:val="auto"/>
                <w:w w:val="90"/>
              </w:rPr>
              <w:t>Less: allowance for credit losses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(2,604)</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60" w:type="dxa"/>
            <w:vAlign w:val="bottom"/>
            <w:gridSpan w:val="10"/>
            <w:shd w:val="clear" w:color="auto" w:fill="CCEEFF"/>
          </w:tcPr>
          <w:p>
            <w:pPr>
              <w:ind w:left="20"/>
              <w:spacing w:after="0"/>
              <w:rPr>
                <w:sz w:val="20"/>
                <w:szCs w:val="20"/>
                <w:color w:val="auto"/>
              </w:rPr>
            </w:pPr>
            <w:r>
              <w:rPr>
                <w:rFonts w:ascii="Arial" w:cs="Arial" w:eastAsia="Arial" w:hAnsi="Arial"/>
                <w:sz w:val="17"/>
                <w:szCs w:val="17"/>
                <w:color w:val="auto"/>
                <w:w w:val="96"/>
              </w:rPr>
              <w:t>Less: balances due on undelivered cemetery preneed contracts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(7,919)</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Borders>
              <w:bottom w:val="single" w:sz="8" w:color="CCEEFF"/>
            </w:tcBorders>
            <w:gridSpan w:val="6"/>
          </w:tcPr>
          <w:p>
            <w:pPr>
              <w:ind w:left="20"/>
              <w:spacing w:after="0"/>
              <w:rPr>
                <w:sz w:val="20"/>
                <w:szCs w:val="20"/>
                <w:color w:val="auto"/>
              </w:rPr>
            </w:pPr>
            <w:r>
              <w:rPr>
                <w:rFonts w:ascii="Arial" w:cs="Arial" w:eastAsia="Arial" w:hAnsi="Arial"/>
                <w:sz w:val="17"/>
                <w:szCs w:val="17"/>
                <w:color w:val="auto"/>
              </w:rPr>
              <w:t>Less: amounts in accounts receivable</w:t>
            </w:r>
          </w:p>
        </w:tc>
        <w:tc>
          <w:tcPr>
            <w:tcW w:w="6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8"/>
              </w:rPr>
              <w:t>(11,270)</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90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Preneed cemetery receivables, net</w:t>
            </w:r>
          </w:p>
        </w:tc>
        <w:tc>
          <w:tcPr>
            <w:tcW w:w="6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58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w w:val="99"/>
              </w:rPr>
              <w:t>21,081</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22,427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15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20" w:type="dxa"/>
            <w:vAlign w:val="bottom"/>
            <w:gridSpan w:val="27"/>
          </w:tcPr>
          <w:p>
            <w:pPr>
              <w:ind w:left="380"/>
              <w:spacing w:after="0"/>
              <w:rPr>
                <w:sz w:val="20"/>
                <w:szCs w:val="20"/>
                <w:color w:val="auto"/>
              </w:rPr>
            </w:pPr>
            <w:r>
              <w:rPr>
                <w:rFonts w:ascii="Arial" w:cs="Arial" w:eastAsia="Arial" w:hAnsi="Arial"/>
                <w:sz w:val="17"/>
                <w:szCs w:val="17"/>
                <w:color w:val="auto"/>
                <w:w w:val="91"/>
              </w:rPr>
              <w:t xml:space="preserve">The following table summarizes the activity in our allowance for credit losses for </w:t>
            </w:r>
            <w:r>
              <w:rPr>
                <w:rFonts w:ascii="Arial" w:cs="Arial" w:eastAsia="Arial" w:hAnsi="Arial"/>
                <w:sz w:val="17"/>
                <w:szCs w:val="17"/>
                <w:i w:val="1"/>
                <w:iCs w:val="1"/>
                <w:color w:val="auto"/>
                <w:w w:val="91"/>
              </w:rPr>
              <w:t>Preneed cemetery receivables, net</w:t>
            </w:r>
            <w:r>
              <w:rPr>
                <w:rFonts w:ascii="Arial" w:cs="Arial" w:eastAsia="Arial" w:hAnsi="Arial"/>
                <w:sz w:val="17"/>
                <w:szCs w:val="17"/>
                <w:color w:val="auto"/>
                <w:w w:val="91"/>
              </w:rPr>
              <w:t xml:space="preserve"> (in thousands):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5"/>
                <w:szCs w:val="15"/>
                <w:b w:val="1"/>
                <w:bCs w:val="1"/>
                <w:color w:val="auto"/>
              </w:rPr>
              <w:t>January 1, 2021</w:t>
            </w:r>
          </w:p>
        </w:tc>
        <w:tc>
          <w:tcPr>
            <w:tcW w:w="560" w:type="dxa"/>
            <w:vAlign w:val="bottom"/>
          </w:tcPr>
          <w:p>
            <w:pPr>
              <w:spacing w:after="0"/>
              <w:rPr>
                <w:sz w:val="15"/>
                <w:szCs w:val="15"/>
                <w:color w:val="auto"/>
              </w:rPr>
            </w:pPr>
          </w:p>
        </w:tc>
        <w:tc>
          <w:tcPr>
            <w:tcW w:w="1040" w:type="dxa"/>
            <w:vAlign w:val="bottom"/>
            <w:gridSpan w:val="4"/>
          </w:tcPr>
          <w:p>
            <w:pPr>
              <w:jc w:val="right"/>
              <w:ind w:right="103"/>
              <w:spacing w:after="0"/>
              <w:rPr>
                <w:sz w:val="20"/>
                <w:szCs w:val="20"/>
                <w:color w:val="auto"/>
              </w:rPr>
            </w:pPr>
            <w:r>
              <w:rPr>
                <w:rFonts w:ascii="Arial" w:cs="Arial" w:eastAsia="Arial" w:hAnsi="Arial"/>
                <w:sz w:val="15"/>
                <w:szCs w:val="15"/>
                <w:b w:val="1"/>
                <w:bCs w:val="1"/>
                <w:color w:val="auto"/>
                <w:w w:val="90"/>
              </w:rPr>
              <w:t>Provision for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6"/>
            <w:vMerge w:val="restart"/>
          </w:tcPr>
          <w:p>
            <w:pPr>
              <w:ind w:left="180"/>
              <w:spacing w:after="0"/>
              <w:rPr>
                <w:sz w:val="20"/>
                <w:szCs w:val="20"/>
                <w:color w:val="auto"/>
              </w:rPr>
            </w:pPr>
            <w:r>
              <w:rPr>
                <w:rFonts w:ascii="Arial" w:cs="Arial" w:eastAsia="Arial" w:hAnsi="Arial"/>
                <w:sz w:val="15"/>
                <w:szCs w:val="15"/>
                <w:b w:val="1"/>
                <w:bCs w:val="1"/>
                <w:color w:val="auto"/>
              </w:rPr>
              <w:t>Write Offs</w:t>
            </w:r>
          </w:p>
        </w:tc>
        <w:tc>
          <w:tcPr>
            <w:tcW w:w="112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June 30, 202</w:t>
            </w: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1600" w:type="dxa"/>
            <w:vAlign w:val="bottom"/>
            <w:gridSpan w:val="5"/>
          </w:tcPr>
          <w:p>
            <w:pPr>
              <w:jc w:val="right"/>
              <w:ind w:right="283"/>
              <w:spacing w:after="0"/>
              <w:rPr>
                <w:sz w:val="20"/>
                <w:szCs w:val="20"/>
                <w:color w:val="auto"/>
              </w:rPr>
            </w:pPr>
            <w:r>
              <w:rPr>
                <w:rFonts w:ascii="Arial" w:cs="Arial" w:eastAsia="Arial" w:hAnsi="Arial"/>
                <w:sz w:val="15"/>
                <w:szCs w:val="15"/>
                <w:b w:val="1"/>
                <w:bCs w:val="1"/>
                <w:color w:val="auto"/>
              </w:rPr>
              <w:t>Credit Losses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6"/>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4280" w:type="dxa"/>
            <w:vAlign w:val="bottom"/>
            <w:tcBorders>
              <w:top w:val="single" w:sz="8" w:color="CCEEFF"/>
            </w:tcBorders>
            <w:gridSpan w:val="9"/>
            <w:shd w:val="clear" w:color="auto" w:fill="CCEEFF"/>
          </w:tcPr>
          <w:p>
            <w:pPr>
              <w:ind w:left="400"/>
              <w:spacing w:after="0" w:line="150" w:lineRule="exact"/>
              <w:rPr>
                <w:sz w:val="20"/>
                <w:szCs w:val="20"/>
                <w:color w:val="auto"/>
              </w:rPr>
            </w:pPr>
            <w:r>
              <w:rPr>
                <w:rFonts w:ascii="Arial" w:cs="Arial" w:eastAsia="Arial" w:hAnsi="Arial"/>
                <w:sz w:val="17"/>
                <w:szCs w:val="17"/>
                <w:color w:val="auto"/>
                <w:w w:val="94"/>
              </w:rPr>
              <w:t xml:space="preserve">Total allowance for credit losses on </w:t>
            </w:r>
            <w:r>
              <w:rPr>
                <w:rFonts w:ascii="Arial" w:cs="Arial" w:eastAsia="Arial" w:hAnsi="Arial"/>
                <w:sz w:val="17"/>
                <w:szCs w:val="17"/>
                <w:i w:val="1"/>
                <w:iCs w:val="1"/>
                <w:color w:val="auto"/>
                <w:w w:val="94"/>
              </w:rPr>
              <w:t>Preneed cemetery</w:t>
            </w: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gridSpan w:val="4"/>
            <w:vMerge w:val="restart"/>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gridSpan w:val="3"/>
            <w:vMerge w:val="restart"/>
            <w:shd w:val="clear" w:color="auto" w:fill="CCEEFF"/>
          </w:tcPr>
          <w:p>
            <w:pPr>
              <w:jc w:val="right"/>
              <w:ind w:right="363"/>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ind w:right="336"/>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receivables, net</w:t>
            </w: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4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9420" w:type="dxa"/>
            <w:vAlign w:val="bottom"/>
            <w:gridSpan w:val="27"/>
          </w:tcPr>
          <w:p>
            <w:pPr>
              <w:ind w:left="380"/>
              <w:spacing w:after="0"/>
              <w:rPr>
                <w:sz w:val="20"/>
                <w:szCs w:val="20"/>
                <w:color w:val="auto"/>
              </w:rPr>
            </w:pPr>
            <w:r>
              <w:rPr>
                <w:rFonts w:ascii="Arial" w:cs="Arial" w:eastAsia="Arial" w:hAnsi="Arial"/>
                <w:sz w:val="17"/>
                <w:szCs w:val="17"/>
                <w:color w:val="auto"/>
                <w:w w:val="92"/>
              </w:rPr>
              <w:t>The amortized cost basis of our preneed cemetery receivables by year of origination at June 30, 2021 is as follows (in thousands):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4"/>
          </w:tcPr>
          <w:p>
            <w:pPr>
              <w:ind w:left="280"/>
              <w:spacing w:after="0"/>
              <w:rPr>
                <w:sz w:val="20"/>
                <w:szCs w:val="20"/>
                <w:color w:val="auto"/>
              </w:rPr>
            </w:pPr>
            <w:r>
              <w:rPr>
                <w:rFonts w:ascii="Arial" w:cs="Arial" w:eastAsia="Arial" w:hAnsi="Arial"/>
                <w:sz w:val="17"/>
                <w:szCs w:val="17"/>
                <w:b w:val="1"/>
                <w:bCs w:val="1"/>
                <w:color w:val="auto"/>
              </w:rPr>
              <w:t>Prior</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76"/>
              </w:rPr>
              <w:t>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20" w:type="dxa"/>
            <w:vAlign w:val="bottom"/>
            <w:tcBorders>
              <w:top w:val="single" w:sz="8" w:color="CCEEFF"/>
            </w:tcBorders>
            <w:shd w:val="clear" w:color="auto" w:fill="CCEEFF"/>
          </w:tcPr>
          <w:p>
            <w:pPr>
              <w:ind w:left="400"/>
              <w:spacing w:after="0" w:line="150" w:lineRule="exact"/>
              <w:rPr>
                <w:sz w:val="20"/>
                <w:szCs w:val="20"/>
                <w:color w:val="auto"/>
              </w:rPr>
            </w:pPr>
            <w:r>
              <w:rPr>
                <w:rFonts w:ascii="Arial" w:cs="Arial" w:eastAsia="Arial" w:hAnsi="Arial"/>
                <w:sz w:val="17"/>
                <w:szCs w:val="17"/>
                <w:color w:val="auto"/>
              </w:rPr>
              <w:t>Total</w:t>
            </w:r>
          </w:p>
        </w:tc>
        <w:tc>
          <w:tcPr>
            <w:tcW w:w="2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40" w:type="dxa"/>
            <w:vAlign w:val="bottom"/>
            <w:gridSpan w:val="2"/>
            <w:shd w:val="clear" w:color="auto" w:fill="CCEEFF"/>
          </w:tcPr>
          <w:p>
            <w:pPr>
              <w:spacing w:after="0" w:line="168" w:lineRule="exact"/>
              <w:rPr>
                <w:sz w:val="20"/>
                <w:szCs w:val="20"/>
                <w:color w:val="auto"/>
              </w:rPr>
            </w:pPr>
            <w:r>
              <w:rPr>
                <w:rFonts w:ascii="Arial" w:cs="Arial" w:eastAsia="Arial" w:hAnsi="Arial"/>
                <w:sz w:val="17"/>
                <w:szCs w:val="17"/>
                <w:color w:val="auto"/>
              </w:rPr>
              <w:t>preneed</w:t>
            </w:r>
          </w:p>
        </w:tc>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40" w:type="dxa"/>
            <w:vAlign w:val="bottom"/>
            <w:gridSpan w:val="2"/>
            <w:shd w:val="clear" w:color="auto" w:fill="CCEEFF"/>
          </w:tcPr>
          <w:p>
            <w:pPr>
              <w:spacing w:after="0" w:line="168" w:lineRule="exact"/>
              <w:rPr>
                <w:sz w:val="20"/>
                <w:szCs w:val="20"/>
                <w:color w:val="auto"/>
              </w:rPr>
            </w:pPr>
            <w:r>
              <w:rPr>
                <w:rFonts w:ascii="Arial" w:cs="Arial" w:eastAsia="Arial" w:hAnsi="Arial"/>
                <w:sz w:val="17"/>
                <w:szCs w:val="17"/>
                <w:color w:val="auto"/>
              </w:rPr>
              <w:t>cemetery</w:t>
            </w:r>
          </w:p>
        </w:tc>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40" w:type="dxa"/>
            <w:vAlign w:val="bottom"/>
            <w:gridSpan w:val="2"/>
            <w:shd w:val="clear" w:color="auto" w:fill="CCEEFF"/>
          </w:tcPr>
          <w:p>
            <w:pPr>
              <w:spacing w:after="0" w:line="168" w:lineRule="exact"/>
              <w:rPr>
                <w:sz w:val="20"/>
                <w:szCs w:val="20"/>
                <w:color w:val="auto"/>
              </w:rPr>
            </w:pPr>
            <w:r>
              <w:rPr>
                <w:rFonts w:ascii="Arial" w:cs="Arial" w:eastAsia="Arial" w:hAnsi="Arial"/>
                <w:sz w:val="17"/>
                <w:szCs w:val="17"/>
                <w:color w:val="auto"/>
              </w:rPr>
              <w:t>receivables, at</w:t>
            </w:r>
          </w:p>
        </w:tc>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40" w:type="dxa"/>
            <w:vAlign w:val="bottom"/>
            <w:gridSpan w:val="2"/>
            <w:shd w:val="clear" w:color="auto" w:fill="CCEEFF"/>
          </w:tcPr>
          <w:p>
            <w:pPr>
              <w:spacing w:after="0" w:line="168" w:lineRule="exact"/>
              <w:rPr>
                <w:sz w:val="20"/>
                <w:szCs w:val="20"/>
                <w:color w:val="auto"/>
              </w:rPr>
            </w:pPr>
            <w:r>
              <w:rPr>
                <w:rFonts w:ascii="Arial" w:cs="Arial" w:eastAsia="Arial" w:hAnsi="Arial"/>
                <w:sz w:val="17"/>
                <w:szCs w:val="17"/>
                <w:color w:val="auto"/>
              </w:rPr>
              <w:t>amortized</w:t>
            </w:r>
          </w:p>
        </w:tc>
        <w:tc>
          <w:tcPr>
            <w:tcW w:w="640" w:type="dxa"/>
            <w:vAlign w:val="bottom"/>
            <w:vMerge w:val="restart"/>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8"/>
              </w:rPr>
              <w:t>15,429</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13,943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ind w:left="220"/>
              <w:spacing w:after="0"/>
              <w:rPr>
                <w:sz w:val="20"/>
                <w:szCs w:val="20"/>
                <w:color w:val="auto"/>
              </w:rPr>
            </w:pPr>
            <w:r>
              <w:rPr>
                <w:rFonts w:ascii="Arial" w:cs="Arial" w:eastAsia="Arial" w:hAnsi="Arial"/>
                <w:sz w:val="17"/>
                <w:szCs w:val="17"/>
                <w:color w:val="auto"/>
              </w:rPr>
              <w:t>8,602</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4,392</w:t>
            </w:r>
          </w:p>
        </w:tc>
        <w:tc>
          <w:tcPr>
            <w:tcW w:w="1040" w:type="dxa"/>
            <w:vAlign w:val="bottom"/>
            <w:gridSpan w:val="4"/>
            <w:vMerge w:val="restart"/>
            <w:shd w:val="clear" w:color="auto" w:fill="CCEEFF"/>
          </w:tcPr>
          <w:p>
            <w:pPr>
              <w:jc w:val="right"/>
              <w:ind w:right="303"/>
              <w:spacing w:after="0"/>
              <w:rPr>
                <w:sz w:val="20"/>
                <w:szCs w:val="20"/>
                <w:color w:val="auto"/>
              </w:rPr>
            </w:pPr>
            <w:r>
              <w:rPr>
                <w:rFonts w:ascii="Arial" w:cs="Arial" w:eastAsia="Arial" w:hAnsi="Arial"/>
                <w:sz w:val="17"/>
                <w:szCs w:val="17"/>
                <w:color w:val="auto"/>
              </w:rPr>
              <w:t>$</w:t>
            </w: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w w:val="89"/>
              </w:rPr>
              <w:t>2,235</w:t>
            </w:r>
          </w:p>
        </w:tc>
        <w:tc>
          <w:tcPr>
            <w:tcW w:w="82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2,044</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w:t>
            </w:r>
          </w:p>
        </w:tc>
        <w:tc>
          <w:tcPr>
            <w:tcW w:w="64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40" w:type="dxa"/>
            <w:vAlign w:val="bottom"/>
            <w:gridSpan w:val="4"/>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6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aging of past due preneed cemetery receivables at June 30, 2021 is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77"/>
              <w:spacing w:after="0"/>
              <w:rPr>
                <w:sz w:val="20"/>
                <w:szCs w:val="20"/>
                <w:color w:val="auto"/>
              </w:rPr>
            </w:pPr>
            <w:r>
              <w:rPr>
                <w:rFonts w:ascii="Arial" w:cs="Arial" w:eastAsia="Arial" w:hAnsi="Arial"/>
                <w:sz w:val="15"/>
                <w:szCs w:val="15"/>
                <w:b w:val="1"/>
                <w:bCs w:val="1"/>
                <w:color w:val="auto"/>
              </w:rPr>
              <w:t>31-60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77"/>
              <w:spacing w:after="0"/>
              <w:rPr>
                <w:sz w:val="20"/>
                <w:szCs w:val="20"/>
                <w:color w:val="auto"/>
              </w:rPr>
            </w:pPr>
            <w:r>
              <w:rPr>
                <w:rFonts w:ascii="Arial" w:cs="Arial" w:eastAsia="Arial" w:hAnsi="Arial"/>
                <w:sz w:val="15"/>
                <w:szCs w:val="15"/>
                <w:b w:val="1"/>
                <w:bCs w:val="1"/>
                <w:color w:val="auto"/>
              </w:rPr>
              <w:t>61-90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37"/>
              <w:spacing w:after="0"/>
              <w:rPr>
                <w:sz w:val="20"/>
                <w:szCs w:val="20"/>
                <w:color w:val="auto"/>
              </w:rPr>
            </w:pPr>
            <w:r>
              <w:rPr>
                <w:rFonts w:ascii="Arial" w:cs="Arial" w:eastAsia="Arial" w:hAnsi="Arial"/>
                <w:sz w:val="15"/>
                <w:szCs w:val="15"/>
                <w:b w:val="1"/>
                <w:bCs w:val="1"/>
                <w:color w:val="auto"/>
              </w:rPr>
              <w:t>91-120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97"/>
              <w:spacing w:after="0"/>
              <w:rPr>
                <w:sz w:val="20"/>
                <w:szCs w:val="20"/>
                <w:color w:val="auto"/>
              </w:rPr>
            </w:pPr>
            <w:r>
              <w:rPr>
                <w:rFonts w:ascii="Arial" w:cs="Arial" w:eastAsia="Arial" w:hAnsi="Arial"/>
                <w:sz w:val="15"/>
                <w:szCs w:val="15"/>
                <w:b w:val="1"/>
                <w:bCs w:val="1"/>
                <w:color w:val="auto"/>
              </w:rPr>
              <w:t>&gt;120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Total Past</w:t>
            </w:r>
          </w:p>
        </w:tc>
        <w:tc>
          <w:tcPr>
            <w:tcW w:w="200" w:type="dxa"/>
            <w:vAlign w:val="bottom"/>
          </w:tcPr>
          <w:p>
            <w:pPr>
              <w:spacing w:after="0"/>
              <w:rPr>
                <w:sz w:val="15"/>
                <w:szCs w:val="15"/>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Current</w:t>
            </w:r>
          </w:p>
        </w:tc>
        <w:tc>
          <w:tcPr>
            <w:tcW w:w="240" w:type="dxa"/>
            <w:vAlign w:val="bottom"/>
          </w:tcPr>
          <w:p>
            <w:pPr>
              <w:spacing w:after="0"/>
              <w:rPr>
                <w:sz w:val="15"/>
                <w:szCs w:val="15"/>
                <w:color w:val="auto"/>
              </w:rPr>
            </w:pPr>
          </w:p>
        </w:tc>
        <w:tc>
          <w:tcPr>
            <w:tcW w:w="860" w:type="dxa"/>
            <w:vAlign w:val="bottom"/>
            <w:vMerge w:val="restart"/>
          </w:tcPr>
          <w:p>
            <w:pPr>
              <w:jc w:val="right"/>
              <w:ind w:right="29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5"/>
                <w:szCs w:val="15"/>
                <w:b w:val="1"/>
                <w:bCs w:val="1"/>
                <w:color w:val="auto"/>
              </w:rPr>
              <w:t>Past Due</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b w:val="1"/>
                <w:bCs w:val="1"/>
                <w:color w:val="auto"/>
              </w:rPr>
              <w:t>Past Due</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b w:val="1"/>
                <w:bCs w:val="1"/>
                <w:color w:val="auto"/>
              </w:rPr>
              <w:t>Past Due</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b w:val="1"/>
                <w:bCs w:val="1"/>
                <w:color w:val="auto"/>
              </w:rPr>
              <w:t>Past Due</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Due</w:t>
            </w: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Recognized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37,095</w:t>
            </w:r>
          </w:p>
        </w:tc>
        <w:tc>
          <w:tcPr>
            <w:tcW w:w="0" w:type="dxa"/>
            <w:vAlign w:val="bottom"/>
          </w:tcPr>
          <w:p>
            <w:pPr>
              <w:spacing w:after="0"/>
              <w:rPr>
                <w:sz w:val="1"/>
                <w:szCs w:val="1"/>
                <w:color w:val="auto"/>
              </w:rPr>
            </w:pPr>
          </w:p>
        </w:tc>
      </w:tr>
      <w:tr>
        <w:trPr>
          <w:trHeight w:val="219"/>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revenue</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14,282</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contracts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51,377</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TRUST INVESTMENTS</w:t>
      </w:r>
    </w:p>
    <w:p>
      <w:pPr>
        <w:spacing w:after="0" w:line="120" w:lineRule="exact"/>
        <w:rPr>
          <w:sz w:val="20"/>
          <w:szCs w:val="20"/>
          <w:color w:val="auto"/>
        </w:rPr>
      </w:pPr>
    </w:p>
    <w:p>
      <w:pPr>
        <w:jc w:val="both"/>
        <w:ind w:right="100" w:firstLine="387"/>
        <w:spacing w:after="0" w:line="258" w:lineRule="auto"/>
        <w:rPr>
          <w:sz w:val="20"/>
          <w:szCs w:val="20"/>
          <w:color w:val="auto"/>
        </w:rPr>
      </w:pPr>
      <w:r>
        <w:rPr>
          <w:rFonts w:ascii="Arial" w:cs="Arial" w:eastAsia="Arial" w:hAnsi="Arial"/>
          <w:sz w:val="17"/>
          <w:szCs w:val="17"/>
          <w:color w:val="auto"/>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Arial" w:cs="Arial" w:eastAsia="Arial" w:hAnsi="Arial"/>
          <w:sz w:val="17"/>
          <w:szCs w:val="17"/>
          <w:i w:val="1"/>
          <w:iCs w:val="1"/>
          <w:color w:val="auto"/>
        </w:rPr>
        <w:t>Other revenue</w:t>
      </w:r>
      <w:r>
        <w:rPr>
          <w:rFonts w:ascii="Arial" w:cs="Arial" w:eastAsia="Arial" w:hAnsi="Arial"/>
          <w:sz w:val="17"/>
          <w:szCs w:val="17"/>
          <w:color w:val="auto"/>
        </w:rPr>
        <w:t xml:space="preserve"> on our Consolidated Statements of Operations, when a service is performed or merchandise is delivered. Trust management fees charged by CSV RIA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w:t>
      </w:r>
    </w:p>
    <w:p>
      <w:pPr>
        <w:spacing w:after="0" w:line="81" w:lineRule="exact"/>
        <w:rPr>
          <w:sz w:val="20"/>
          <w:szCs w:val="20"/>
          <w:color w:val="auto"/>
        </w:rPr>
      </w:pPr>
    </w:p>
    <w:p>
      <w:pPr>
        <w:jc w:val="both"/>
        <w:ind w:right="100" w:firstLine="387"/>
        <w:spacing w:after="0" w:line="266" w:lineRule="auto"/>
        <w:rPr>
          <w:sz w:val="20"/>
          <w:szCs w:val="20"/>
          <w:color w:val="auto"/>
        </w:rPr>
      </w:pPr>
      <w:r>
        <w:rPr>
          <w:rFonts w:ascii="Arial" w:cs="Arial" w:eastAsia="Arial" w:hAnsi="Arial"/>
          <w:sz w:val="17"/>
          <w:szCs w:val="17"/>
          <w:color w:val="auto"/>
        </w:rPr>
        <w:t xml:space="preserve">Cemetery perpetual care trust investments represent a portion of the proceeds from the sale of cemetery property interment rights which we are required by various state laws to deposit into perpetual care trust funds. The income earned from these perpetual care trusts offsets maintenance expenses for cemetery property and memorials. This trust fund income is recognized in </w:t>
      </w:r>
      <w:r>
        <w:rPr>
          <w:rFonts w:ascii="Arial" w:cs="Arial" w:eastAsia="Arial" w:hAnsi="Arial"/>
          <w:sz w:val="17"/>
          <w:szCs w:val="17"/>
          <w:i w:val="1"/>
          <w:iCs w:val="1"/>
          <w:color w:val="auto"/>
        </w:rPr>
        <w:t>Other revenue.</w:t>
      </w:r>
    </w:p>
    <w:p>
      <w:pPr>
        <w:spacing w:after="0" w:line="73" w:lineRule="exact"/>
        <w:rPr>
          <w:sz w:val="20"/>
          <w:szCs w:val="20"/>
          <w:color w:val="auto"/>
        </w:rPr>
      </w:pPr>
    </w:p>
    <w:p>
      <w:pPr>
        <w:jc w:val="both"/>
        <w:ind w:right="100" w:firstLine="387"/>
        <w:spacing w:after="0" w:line="308" w:lineRule="auto"/>
        <w:rPr>
          <w:sz w:val="20"/>
          <w:szCs w:val="20"/>
          <w:color w:val="auto"/>
        </w:rPr>
      </w:pPr>
      <w:r>
        <w:rPr>
          <w:rFonts w:ascii="Arial" w:cs="Arial" w:eastAsia="Arial" w:hAnsi="Arial"/>
          <w:sz w:val="15"/>
          <w:szCs w:val="15"/>
          <w:color w:val="auto"/>
        </w:rPr>
        <w:t>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foreign debt, corporate debt, preferred stocks, mortgage-</w:t>
      </w: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018" w:right="239" w:bottom="1440" w:gutter="0" w:footer="0" w:header="0"/>
        </w:sectPr>
      </w:pPr>
    </w:p>
    <w:bookmarkStart w:id="17" w:name="page18"/>
    <w:bookmarkEnd w:id="17"/>
    <w:p>
      <w:pPr>
        <w:jc w:val="both"/>
        <w:spacing w:after="0" w:line="266" w:lineRule="auto"/>
        <w:rPr>
          <w:sz w:val="20"/>
          <w:szCs w:val="20"/>
          <w:color w:val="auto"/>
        </w:rPr>
      </w:pPr>
      <w:r>
        <w:rPr>
          <w:rFonts w:ascii="Arial" w:cs="Arial" w:eastAsia="Arial" w:hAnsi="Arial"/>
          <w:sz w:val="17"/>
          <w:szCs w:val="17"/>
          <w:color w:val="auto"/>
        </w:rPr>
        <w:t>backed securities and fixed income mutual funds and other investments, all of which are classified within Level 2 of the valuation hierarchy. We review and update our fair value hierarchy classifications quarterly. See Note 8 to the Consolidated Financial Statements included herein for further information of the fair value measurement.</w:t>
      </w:r>
    </w:p>
    <w:p>
      <w:pPr>
        <w:spacing w:after="0" w:line="7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Changes in the fair value of our trust fund assets (</w:t>
      </w:r>
      <w:r>
        <w:rPr>
          <w:rFonts w:ascii="Arial" w:cs="Arial" w:eastAsia="Arial" w:hAnsi="Arial"/>
          <w:sz w:val="17"/>
          <w:szCs w:val="17"/>
          <w:i w:val="1"/>
          <w:iCs w:val="1"/>
          <w:color w:val="auto"/>
        </w:rPr>
        <w:t>Preneed funeral, cemetery and perpetual care trust investments</w:t>
      </w:r>
      <w:r>
        <w:rPr>
          <w:rFonts w:ascii="Arial" w:cs="Arial" w:eastAsia="Arial" w:hAnsi="Arial"/>
          <w:sz w:val="17"/>
          <w:szCs w:val="17"/>
          <w:color w:val="auto"/>
        </w:rPr>
        <w:t>) are offset by changes in the fair value of our trust fund liabilities (</w:t>
      </w:r>
      <w:r>
        <w:rPr>
          <w:rFonts w:ascii="Arial" w:cs="Arial" w:eastAsia="Arial" w:hAnsi="Arial"/>
          <w:sz w:val="17"/>
          <w:szCs w:val="17"/>
          <w:i w:val="1"/>
          <w:iCs w:val="1"/>
          <w:color w:val="auto"/>
        </w:rPr>
        <w:t>Deferred preneed funeral and cemetery receipts held in trust</w:t>
      </w:r>
      <w:r>
        <w:rPr>
          <w:rFonts w:ascii="Arial" w:cs="Arial" w:eastAsia="Arial" w:hAnsi="Arial"/>
          <w:sz w:val="17"/>
          <w:szCs w:val="17"/>
          <w:color w:val="auto"/>
        </w:rPr>
        <w:t xml:space="preserve"> and </w:t>
      </w:r>
      <w:r>
        <w:rPr>
          <w:rFonts w:ascii="Arial" w:cs="Arial" w:eastAsia="Arial" w:hAnsi="Arial"/>
          <w:sz w:val="17"/>
          <w:szCs w:val="17"/>
          <w:i w:val="1"/>
          <w:iCs w:val="1"/>
          <w:color w:val="auto"/>
        </w:rPr>
        <w:t>Care trusts’ corpus</w:t>
      </w:r>
      <w:r>
        <w:rPr>
          <w:rFonts w:ascii="Arial" w:cs="Arial" w:eastAsia="Arial" w:hAnsi="Arial"/>
          <w:sz w:val="17"/>
          <w:szCs w:val="17"/>
          <w:color w:val="auto"/>
        </w:rPr>
        <w:t xml:space="preserve">) and reflected in </w:t>
      </w:r>
      <w:r>
        <w:rPr>
          <w:rFonts w:ascii="Arial" w:cs="Arial" w:eastAsia="Arial" w:hAnsi="Arial"/>
          <w:sz w:val="17"/>
          <w:szCs w:val="17"/>
          <w:i w:val="1"/>
          <w:iCs w:val="1"/>
          <w:color w:val="auto"/>
        </w:rPr>
        <w:t>Other, net</w:t>
      </w:r>
      <w:r>
        <w:rPr>
          <w:rFonts w:ascii="Arial" w:cs="Arial" w:eastAsia="Arial" w:hAnsi="Arial"/>
          <w:sz w:val="17"/>
          <w:szCs w:val="17"/>
          <w:color w:val="auto"/>
        </w:rPr>
        <w:t>. There is no impact on earnings until such time the services are performed or the merchandise is delivered, causing the contract to be withdrawn from the trust in accordance with state regulations and the gain or loss is allocated to the contract.</w:t>
      </w:r>
    </w:p>
    <w:p>
      <w:pPr>
        <w:spacing w:after="0" w:line="76" w:lineRule="exact"/>
        <w:rPr>
          <w:sz w:val="20"/>
          <w:szCs w:val="20"/>
          <w:color w:val="auto"/>
        </w:rPr>
      </w:pPr>
    </w:p>
    <w:p>
      <w:pPr>
        <w:jc w:val="both"/>
        <w:ind w:firstLine="387"/>
        <w:spacing w:after="0" w:line="275" w:lineRule="auto"/>
        <w:rPr>
          <w:sz w:val="20"/>
          <w:szCs w:val="20"/>
          <w:color w:val="auto"/>
        </w:rPr>
      </w:pPr>
      <w:r>
        <w:rPr>
          <w:rFonts w:ascii="Arial" w:cs="Arial" w:eastAsia="Arial" w:hAnsi="Arial"/>
          <w:sz w:val="16"/>
          <w:szCs w:val="16"/>
          <w:color w:val="auto"/>
        </w:rPr>
        <w:t>For fixed income securities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fixed income securities that do not meet the aforementioned criteria, we evaluate whether the decline in fair value has resulted from credit losses or other factors. In making this assessment, we consider the extent to which fair value is less than amortized cost, any changes to the rating of the security by a rating agency, and adverse conditions specifically related to the security, among other factors. If our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w:t>
      </w:r>
    </w:p>
    <w:p>
      <w:pPr>
        <w:spacing w:after="0" w:line="69"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Preneed Cemetery Trust Investments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The components of </w:t>
      </w:r>
      <w:r>
        <w:rPr>
          <w:rFonts w:ascii="Arial" w:cs="Arial" w:eastAsia="Arial" w:hAnsi="Arial"/>
          <w:sz w:val="17"/>
          <w:szCs w:val="17"/>
          <w:i w:val="1"/>
          <w:iCs w:val="1"/>
          <w:color w:val="auto"/>
        </w:rPr>
        <w:t>Preneed cemetery trust investments</w:t>
      </w:r>
      <w:r>
        <w:rPr>
          <w:rFonts w:ascii="Arial" w:cs="Arial" w:eastAsia="Arial" w:hAnsi="Arial"/>
          <w:sz w:val="17"/>
          <w:szCs w:val="17"/>
          <w:color w:val="auto"/>
        </w:rPr>
        <w:t xml:space="preserve"> on our Consolidated Balance Sheet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2020</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June 30,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cemetery trust investments, at market value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89,081</w:t>
            </w:r>
          </w:p>
        </w:tc>
        <w:tc>
          <w:tcPr>
            <w:tcW w:w="7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contract cancellation</w:t>
            </w: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w w:val="96"/>
              </w:rPr>
              <w:t>(2,477)</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Preneed cemetery trust investments</w:t>
            </w: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8"/>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7"/>
                <w:szCs w:val="17"/>
                <w:color w:val="auto"/>
                <w:w w:val="99"/>
              </w:rPr>
              <w:t>86,604</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20" w:type="dxa"/>
            <w:vAlign w:val="bottom"/>
            <w:gridSpan w:val="14"/>
          </w:tcPr>
          <w:p>
            <w:pPr>
              <w:jc w:val="center"/>
              <w:ind w:right="220"/>
              <w:spacing w:after="0"/>
              <w:rPr>
                <w:sz w:val="20"/>
                <w:szCs w:val="20"/>
                <w:color w:val="auto"/>
              </w:rPr>
            </w:pPr>
            <w:r>
              <w:rPr>
                <w:rFonts w:ascii="Arial" w:cs="Arial" w:eastAsia="Arial" w:hAnsi="Arial"/>
                <w:sz w:val="17"/>
                <w:szCs w:val="17"/>
                <w:color w:val="auto"/>
                <w:w w:val="90"/>
              </w:rPr>
              <w:t>The cost and market values associated with preneed cemetery trust investments at June 30, 2021 are detailed below (in thousands):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120" w:type="dxa"/>
            <w:vAlign w:val="bottom"/>
          </w:tcPr>
          <w:p>
            <w:pPr>
              <w:jc w:val="center"/>
              <w:ind w:left="38"/>
              <w:spacing w:after="0" w:line="157" w:lineRule="exact"/>
              <w:rPr>
                <w:sz w:val="20"/>
                <w:szCs w:val="20"/>
                <w:color w:val="auto"/>
              </w:rPr>
            </w:pPr>
            <w:r>
              <w:rPr>
                <w:rFonts w:ascii="Arial" w:cs="Arial" w:eastAsia="Arial" w:hAnsi="Arial"/>
                <w:sz w:val="14"/>
                <w:szCs w:val="14"/>
                <w:b w:val="1"/>
                <w:bCs w:val="1"/>
                <w:color w:val="auto"/>
                <w:w w:val="89"/>
              </w:rPr>
              <w:t>Fair 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218"/>
              <w:spacing w:after="0" w:line="157"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3"/>
                <w:szCs w:val="13"/>
                <w:color w:val="auto"/>
              </w:rPr>
            </w:pPr>
          </w:p>
        </w:tc>
        <w:tc>
          <w:tcPr>
            <w:tcW w:w="1440" w:type="dxa"/>
            <w:vAlign w:val="bottom"/>
            <w:gridSpan w:val="4"/>
          </w:tcPr>
          <w:p>
            <w:pPr>
              <w:ind w:left="300"/>
              <w:spacing w:after="0" w:line="157"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10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Fair Market</w:t>
            </w: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92"/>
              </w:rPr>
              <w:t>Hierarchy Level</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money market accounts</w:t>
            </w:r>
          </w:p>
        </w:tc>
        <w:tc>
          <w:tcPr>
            <w:tcW w:w="11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4"/>
              </w:rPr>
              <w:t>1</w:t>
            </w:r>
          </w:p>
        </w:tc>
        <w:tc>
          <w:tcPr>
            <w:tcW w:w="6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Fixed income securities: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debt</w:t>
            </w:r>
          </w:p>
        </w:tc>
        <w:tc>
          <w:tcPr>
            <w:tcW w:w="11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Corporate debt</w:t>
            </w:r>
          </w:p>
        </w:tc>
        <w:tc>
          <w:tcPr>
            <w:tcW w:w="1120" w:type="dxa"/>
            <w:vAlign w:val="bottom"/>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12,639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1,703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14,335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w:t>
            </w:r>
          </w:p>
        </w:tc>
        <w:tc>
          <w:tcPr>
            <w:tcW w:w="11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120" w:type="dxa"/>
            <w:vAlign w:val="bottom"/>
          </w:tcPr>
          <w:p>
            <w:pPr>
              <w:jc w:val="center"/>
              <w:ind w:left="38"/>
              <w:spacing w:after="0"/>
              <w:rPr>
                <w:sz w:val="20"/>
                <w:szCs w:val="20"/>
                <w:color w:val="auto"/>
              </w:rPr>
            </w:pPr>
            <w:r>
              <w:rPr>
                <w:rFonts w:ascii="Arial" w:cs="Arial" w:eastAsia="Arial" w:hAnsi="Arial"/>
                <w:sz w:val="17"/>
                <w:szCs w:val="17"/>
                <w:color w:val="auto"/>
                <w:w w:val="84"/>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35,651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5,410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(2,356)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38,705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Fixed Income</w:t>
            </w:r>
          </w:p>
        </w:tc>
        <w:tc>
          <w:tcPr>
            <w:tcW w:w="1120" w:type="dxa"/>
            <w:vAlign w:val="bottom"/>
            <w:tcBorders>
              <w:bottom w:val="single" w:sz="8" w:color="CCEEFF"/>
            </w:tcBorders>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10,767</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1,388</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(144)</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12,011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Trust securities</w:t>
            </w:r>
          </w:p>
        </w:tc>
        <w:tc>
          <w:tcPr>
            <w:tcW w:w="1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91,637</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12,169</w:t>
            </w: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(3,310)</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100,496</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Arial" w:cs="Arial" w:eastAsia="Arial" w:hAnsi="Arial"/>
                <w:sz w:val="17"/>
                <w:szCs w:val="17"/>
                <w:color w:val="auto"/>
              </w:rPr>
              <w:t>Accrued investment income</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gridSpan w:val="3"/>
          </w:tcPr>
          <w:p>
            <w:pPr>
              <w:jc w:val="right"/>
              <w:ind w:right="114"/>
              <w:spacing w:after="0" w:line="191"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91" w:lineRule="exact"/>
              <w:rPr>
                <w:sz w:val="20"/>
                <w:szCs w:val="20"/>
                <w:color w:val="auto"/>
              </w:rPr>
            </w:pPr>
            <w:r>
              <w:rPr>
                <w:rFonts w:ascii="Arial" w:cs="Arial" w:eastAsia="Arial" w:hAnsi="Arial"/>
                <w:sz w:val="17"/>
                <w:szCs w:val="17"/>
                <w:color w:val="auto"/>
              </w:rPr>
              <w:t>792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91" w:lineRule="exact"/>
              <w:rPr>
                <w:sz w:val="20"/>
                <w:szCs w:val="20"/>
                <w:color w:val="auto"/>
              </w:rPr>
            </w:pPr>
            <w:r>
              <w:rPr>
                <w:rFonts w:ascii="Arial" w:cs="Arial" w:eastAsia="Arial" w:hAnsi="Arial"/>
                <w:sz w:val="17"/>
                <w:szCs w:val="17"/>
                <w:color w:val="auto"/>
              </w:rPr>
              <w:t>792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28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top w:val="single" w:sz="8" w:color="auto"/>
              <w:bottom w:val="single" w:sz="8" w:color="CCEEFF"/>
            </w:tcBorders>
          </w:tcPr>
          <w:p>
            <w:pPr>
              <w:spacing w:after="0"/>
              <w:rPr>
                <w:sz w:val="3"/>
                <w:szCs w:val="3"/>
                <w:color w:val="auto"/>
              </w:rPr>
            </w:pPr>
          </w:p>
        </w:tc>
        <w:tc>
          <w:tcPr>
            <w:tcW w:w="920" w:type="dxa"/>
            <w:vAlign w:val="bottom"/>
            <w:tcBorders>
              <w:top w:val="single" w:sz="8" w:color="auto"/>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280" w:type="dxa"/>
            <w:vAlign w:val="bottom"/>
            <w:tcBorders>
              <w:top w:val="single" w:sz="8" w:color="CCEEFF"/>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7"/>
                <w:szCs w:val="17"/>
                <w:color w:val="auto"/>
              </w:rPr>
              <w:t>Preneed cemetery trust investments</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w w:val="84"/>
              </w:rPr>
              <w:t>$</w:t>
            </w:r>
          </w:p>
        </w:tc>
        <w:tc>
          <w:tcPr>
            <w:tcW w:w="1000" w:type="dxa"/>
            <w:vAlign w:val="bottom"/>
            <w:tcBorders>
              <w:top w:val="single" w:sz="8" w:color="CCEEFF"/>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rPr>
              <w:t>101,288</w:t>
            </w:r>
          </w:p>
        </w:tc>
        <w:tc>
          <w:tcPr>
            <w:tcW w:w="40" w:type="dxa"/>
            <w:vAlign w:val="bottom"/>
            <w:tcBorders>
              <w:top w:val="single" w:sz="8" w:color="CCEEFF"/>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Market value as a percentage of cost</w:t>
            </w: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109.7%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7"/>
                <w:szCs w:val="17"/>
                <w:color w:val="auto"/>
              </w:rPr>
              <w:t>- 20 -</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4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7"/>
        </w:trPr>
        <w:tc>
          <w:tcPr>
            <w:tcW w:w="9900" w:type="dxa"/>
            <w:vAlign w:val="bottom"/>
            <w:gridSpan w:val="12"/>
          </w:tcPr>
          <w:p>
            <w:pPr>
              <w:ind w:left="400"/>
              <w:spacing w:after="0"/>
              <w:rPr>
                <w:sz w:val="20"/>
                <w:szCs w:val="20"/>
                <w:color w:val="auto"/>
              </w:rPr>
            </w:pPr>
            <w:r>
              <w:rPr>
                <w:rFonts w:ascii="Arial" w:cs="Arial" w:eastAsia="Arial" w:hAnsi="Arial"/>
                <w:sz w:val="17"/>
                <w:szCs w:val="17"/>
                <w:color w:val="auto"/>
              </w:rPr>
              <w:t>The estimated maturities of the fixed income securities (excluding mutual funds) included above are as follows (in 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one year or less</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Due in one to five years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five to ten years</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fixed income securities</w:t>
            </w: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bottom w:val="single" w:sz="8" w:color="CCEEFF"/>
            </w:tcBorders>
            <w:gridSpan w:val="12"/>
            <w:vMerge w:val="restart"/>
          </w:tcPr>
          <w:p>
            <w:pPr>
              <w:ind w:left="400"/>
              <w:spacing w:after="0"/>
              <w:rPr>
                <w:sz w:val="20"/>
                <w:szCs w:val="20"/>
                <w:color w:val="auto"/>
              </w:rPr>
            </w:pPr>
            <w:r>
              <w:rPr>
                <w:rFonts w:ascii="Arial" w:cs="Arial" w:eastAsia="Arial" w:hAnsi="Arial"/>
                <w:sz w:val="17"/>
                <w:szCs w:val="17"/>
                <w:color w:val="auto"/>
                <w:w w:val="91"/>
              </w:rPr>
              <w:t>The cost and market values associated with preneed cemetery trust investments at December 31, 2020 are detailed below (in thousands):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900" w:type="dxa"/>
            <w:vAlign w:val="bottom"/>
            <w:gridSpan w:val="1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4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3"/>
                <w:szCs w:val="13"/>
                <w:color w:val="auto"/>
              </w:rPr>
            </w:pPr>
          </w:p>
        </w:tc>
        <w:tc>
          <w:tcPr>
            <w:tcW w:w="92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80"/>
              <w:spacing w:after="0" w:line="157"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3"/>
                <w:szCs w:val="13"/>
                <w:color w:val="auto"/>
              </w:rPr>
            </w:pPr>
          </w:p>
        </w:tc>
        <w:tc>
          <w:tcPr>
            <w:tcW w:w="112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136"/>
              <w:spacing w:after="0" w:line="157" w:lineRule="exact"/>
              <w:rPr>
                <w:sz w:val="20"/>
                <w:szCs w:val="20"/>
                <w:color w:val="auto"/>
              </w:rPr>
            </w:pPr>
            <w:r>
              <w:rPr>
                <w:rFonts w:ascii="Arial" w:cs="Arial" w:eastAsia="Arial" w:hAnsi="Arial"/>
                <w:sz w:val="14"/>
                <w:szCs w:val="14"/>
                <w:b w:val="1"/>
                <w:bCs w:val="1"/>
                <w:color w:val="auto"/>
              </w:rPr>
              <w:t>Fair Market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Hierarchy Level</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Value</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money market accounts</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Fixed income securities: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debt</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Corporate debt</w:t>
            </w:r>
          </w:p>
        </w:tc>
        <w:tc>
          <w:tcPr>
            <w:tcW w:w="124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14,856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Mortgage-backed securities</w:t>
            </w:r>
          </w:p>
        </w:tc>
        <w:tc>
          <w:tcPr>
            <w:tcW w:w="124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30,253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Mutual funds: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Fixed income</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7,494</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1,331</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7"/>
                <w:szCs w:val="17"/>
                <w:color w:val="auto"/>
              </w:rPr>
              <w:t>Trust Securities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82,573</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13,856</w:t>
            </w:r>
          </w:p>
        </w:tc>
        <w:tc>
          <w:tcPr>
            <w:tcW w:w="2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(8,341)</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88,088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1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280" w:type="dxa"/>
            <w:vAlign w:val="bottom"/>
            <w:tcBorders>
              <w:top w:val="single" w:sz="8" w:color="CCEEFF"/>
            </w:tcBorders>
          </w:tcPr>
          <w:p>
            <w:pPr>
              <w:ind w:left="20"/>
              <w:spacing w:after="0" w:line="177" w:lineRule="exact"/>
              <w:rPr>
                <w:sz w:val="20"/>
                <w:szCs w:val="20"/>
                <w:color w:val="auto"/>
              </w:rPr>
            </w:pPr>
            <w:r>
              <w:rPr>
                <w:rFonts w:ascii="Arial" w:cs="Arial" w:eastAsia="Arial" w:hAnsi="Arial"/>
                <w:sz w:val="17"/>
                <w:szCs w:val="17"/>
                <w:color w:val="auto"/>
              </w:rPr>
              <w:t>Preneed cemetery trust investments</w:t>
            </w:r>
          </w:p>
        </w:tc>
        <w:tc>
          <w:tcPr>
            <w:tcW w:w="12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89,081</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 value as a percentage of cost</w:t>
            </w: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106.7%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387"/>
        <w:spacing w:after="0" w:line="293"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cemetery trust investments in an unrealized loss position at June 30,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5"/>
                <w:szCs w:val="15"/>
                <w:b w:val="1"/>
                <w:bCs w:val="1"/>
                <w:color w:val="auto"/>
                <w:w w:val="92"/>
              </w:rPr>
              <w:t>June 30, 2021</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5"/>
          </w:tcPr>
          <w:p>
            <w:pPr>
              <w:ind w:left="20"/>
              <w:spacing w:after="0" w:line="151" w:lineRule="exact"/>
              <w:rPr>
                <w:sz w:val="20"/>
                <w:szCs w:val="20"/>
                <w:color w:val="auto"/>
              </w:rPr>
            </w:pPr>
            <w:r>
              <w:rPr>
                <w:rFonts w:ascii="Arial" w:cs="Arial" w:eastAsia="Arial" w:hAnsi="Arial"/>
                <w:sz w:val="15"/>
                <w:szCs w:val="15"/>
                <w:b w:val="1"/>
                <w:bCs w:val="1"/>
                <w:color w:val="auto"/>
              </w:rPr>
              <w:t>In Loss Position Less than 12</w:t>
            </w:r>
          </w:p>
        </w:tc>
        <w:tc>
          <w:tcPr>
            <w:tcW w:w="2460" w:type="dxa"/>
            <w:vAlign w:val="bottom"/>
            <w:gridSpan w:val="6"/>
          </w:tcPr>
          <w:p>
            <w:pPr>
              <w:jc w:val="center"/>
              <w:ind w:right="220"/>
              <w:spacing w:after="0" w:line="151" w:lineRule="exact"/>
              <w:rPr>
                <w:sz w:val="20"/>
                <w:szCs w:val="20"/>
                <w:color w:val="auto"/>
              </w:rPr>
            </w:pPr>
            <w:r>
              <w:rPr>
                <w:rFonts w:ascii="Arial" w:cs="Arial" w:eastAsia="Arial" w:hAnsi="Arial"/>
                <w:sz w:val="15"/>
                <w:szCs w:val="15"/>
                <w:b w:val="1"/>
                <w:bCs w:val="1"/>
                <w:color w:val="auto"/>
                <w:w w:val="93"/>
              </w:rPr>
              <w:t>In Loss Position Greater than 12</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89"/>
              </w:rPr>
              <w:t>Total</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3"/>
            <w:vMerge w:val="restart"/>
          </w:tcPr>
          <w:p>
            <w:pPr>
              <w:jc w:val="center"/>
              <w:ind w:left="417"/>
              <w:spacing w:after="0"/>
              <w:rPr>
                <w:sz w:val="20"/>
                <w:szCs w:val="20"/>
                <w:color w:val="auto"/>
              </w:rPr>
            </w:pPr>
            <w:r>
              <w:rPr>
                <w:rFonts w:ascii="Arial" w:cs="Arial" w:eastAsia="Arial" w:hAnsi="Arial"/>
                <w:sz w:val="15"/>
                <w:szCs w:val="15"/>
                <w:b w:val="1"/>
                <w:bCs w:val="1"/>
                <w:color w:val="auto"/>
                <w:w w:val="88"/>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color w:val="auto"/>
              </w:rPr>
              <w:t>Fair market value</w:t>
            </w:r>
          </w:p>
        </w:tc>
        <w:tc>
          <w:tcPr>
            <w:tcW w:w="160" w:type="dxa"/>
            <w:vAlign w:val="bottom"/>
          </w:tcPr>
          <w:p>
            <w:pPr>
              <w:spacing w:after="0"/>
              <w:rPr>
                <w:sz w:val="10"/>
                <w:szCs w:val="10"/>
                <w:color w:val="auto"/>
              </w:rPr>
            </w:pPr>
          </w:p>
        </w:tc>
        <w:tc>
          <w:tcPr>
            <w:tcW w:w="840" w:type="dxa"/>
            <w:vAlign w:val="bottom"/>
          </w:tcPr>
          <w:p>
            <w:pPr>
              <w:jc w:val="center"/>
              <w:ind w:right="80"/>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4"/>
                <w:szCs w:val="14"/>
                <w:color w:val="auto"/>
              </w:rPr>
              <w:t>Fair market value</w:t>
            </w:r>
          </w:p>
        </w:tc>
        <w:tc>
          <w:tcPr>
            <w:tcW w:w="860" w:type="dxa"/>
            <w:vAlign w:val="bottom"/>
          </w:tcPr>
          <w:p>
            <w:pPr>
              <w:jc w:val="center"/>
              <w:ind w:right="80"/>
              <w:spacing w:after="0" w:line="125" w:lineRule="exact"/>
              <w:rPr>
                <w:sz w:val="20"/>
                <w:szCs w:val="20"/>
                <w:color w:val="auto"/>
              </w:rPr>
            </w:pPr>
            <w:r>
              <w:rPr>
                <w:rFonts w:ascii="Arial" w:cs="Arial" w:eastAsia="Arial" w:hAnsi="Arial"/>
                <w:sz w:val="14"/>
                <w:szCs w:val="14"/>
                <w:color w:val="auto"/>
                <w:w w:val="92"/>
              </w:rPr>
              <w:t>Unrealized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color w:val="auto"/>
                <w:w w:val="85"/>
              </w:rPr>
              <w:t>Losses</w:t>
            </w:r>
          </w:p>
        </w:tc>
        <w:tc>
          <w:tcPr>
            <w:tcW w:w="12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380" w:type="dxa"/>
            <w:vAlign w:val="bottom"/>
            <w:gridSpan w:val="5"/>
            <w:vMerge w:val="continue"/>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02"/>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7"/>
                <w:szCs w:val="17"/>
                <w:color w:val="auto"/>
              </w:rPr>
              <w:t>Foreign debt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4,440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(202)</w:t>
            </w:r>
          </w:p>
        </w:tc>
        <w:tc>
          <w:tcPr>
            <w:tcW w:w="2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736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(305)</w:t>
            </w:r>
          </w:p>
        </w:tc>
        <w:tc>
          <w:tcPr>
            <w:tcW w:w="2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5,176</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debt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Preferred stock</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4,095</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4,095</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fixed income securities with an unrealized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9,649</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79"/>
              <w:spacing w:after="0"/>
              <w:rPr>
                <w:sz w:val="20"/>
                <w:szCs w:val="20"/>
                <w:color w:val="auto"/>
              </w:rPr>
            </w:pPr>
            <w:r>
              <w:rPr>
                <w:rFonts w:ascii="Arial" w:cs="Arial" w:eastAsia="Arial" w:hAnsi="Arial"/>
                <w:sz w:val="17"/>
                <w:szCs w:val="17"/>
                <w:color w:val="auto"/>
                <w:w w:val="90"/>
              </w:rPr>
              <w:t>- 21 -</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9" w:name="page20"/>
    <w:bookmarkEnd w:id="19"/>
    <w:p>
      <w:pPr>
        <w:ind w:firstLine="387"/>
        <w:spacing w:after="0" w:line="293"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cemetery trust investments in an unrealized loss position at December 31, 2020,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60"/>
              <w:spacing w:after="0"/>
              <w:rPr>
                <w:sz w:val="20"/>
                <w:szCs w:val="20"/>
                <w:color w:val="auto"/>
              </w:rPr>
            </w:pPr>
            <w:r>
              <w:rPr>
                <w:rFonts w:ascii="Arial" w:cs="Arial" w:eastAsia="Arial" w:hAnsi="Arial"/>
                <w:sz w:val="15"/>
                <w:szCs w:val="15"/>
                <w:b w:val="1"/>
                <w:bCs w:val="1"/>
                <w:color w:val="auto"/>
              </w:rPr>
              <w:t>December 31, 2020</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40"/>
              <w:spacing w:after="0" w:line="151" w:lineRule="exact"/>
              <w:rPr>
                <w:sz w:val="20"/>
                <w:szCs w:val="20"/>
                <w:color w:val="auto"/>
              </w:rPr>
            </w:pPr>
            <w:r>
              <w:rPr>
                <w:rFonts w:ascii="Arial" w:cs="Arial" w:eastAsia="Arial" w:hAnsi="Arial"/>
                <w:sz w:val="15"/>
                <w:szCs w:val="15"/>
                <w:b w:val="1"/>
                <w:bCs w:val="1"/>
                <w:color w:val="auto"/>
              </w:rPr>
              <w:t>In Loss Position Less than 12</w:t>
            </w:r>
          </w:p>
        </w:tc>
        <w:tc>
          <w:tcPr>
            <w:tcW w:w="2440" w:type="dxa"/>
            <w:vAlign w:val="bottom"/>
            <w:gridSpan w:val="6"/>
          </w:tcPr>
          <w:p>
            <w:pPr>
              <w:ind w:left="40"/>
              <w:spacing w:after="0" w:line="151" w:lineRule="exact"/>
              <w:rPr>
                <w:sz w:val="20"/>
                <w:szCs w:val="20"/>
                <w:color w:val="auto"/>
              </w:rPr>
            </w:pPr>
            <w:r>
              <w:rPr>
                <w:rFonts w:ascii="Arial" w:cs="Arial" w:eastAsia="Arial" w:hAnsi="Arial"/>
                <w:sz w:val="15"/>
                <w:szCs w:val="15"/>
                <w:b w:val="1"/>
                <w:bCs w:val="1"/>
                <w:color w:val="auto"/>
              </w:rPr>
              <w:t>In Loss Position Greater than 12</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89"/>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4"/>
                <w:szCs w:val="14"/>
                <w:color w:val="auto"/>
              </w:rPr>
              <w:t>Fair market value</w:t>
            </w:r>
          </w:p>
        </w:tc>
        <w:tc>
          <w:tcPr>
            <w:tcW w:w="860" w:type="dxa"/>
            <w:vAlign w:val="bottom"/>
          </w:tcPr>
          <w:p>
            <w:pPr>
              <w:jc w:val="right"/>
              <w:ind w:right="119"/>
              <w:spacing w:after="0" w:line="125"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380" w:type="dxa"/>
            <w:vAlign w:val="bottom"/>
            <w:gridSpan w:val="5"/>
            <w:vMerge w:val="continue"/>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2,517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(57)</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371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(645)</w:t>
            </w:r>
          </w:p>
        </w:tc>
        <w:tc>
          <w:tcPr>
            <w:tcW w:w="2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2,888</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(702)</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4,758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Mortgage-backed securities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2"/>
        </w:trPr>
        <w:tc>
          <w:tcPr>
            <w:tcW w:w="4080" w:type="dxa"/>
            <w:vAlign w:val="bottom"/>
          </w:tcPr>
          <w:p>
            <w:pPr>
              <w:ind w:left="20"/>
              <w:spacing w:after="0"/>
              <w:rPr>
                <w:sz w:val="20"/>
                <w:szCs w:val="20"/>
                <w:color w:val="auto"/>
              </w:rPr>
            </w:pPr>
            <w:r>
              <w:rPr>
                <w:rFonts w:ascii="Arial" w:cs="Arial" w:eastAsia="Arial" w:hAnsi="Arial"/>
                <w:sz w:val="17"/>
                <w:szCs w:val="17"/>
                <w:color w:val="auto"/>
              </w:rPr>
              <w:t>Total fixed income securities with an unrealized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4,010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(274)</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5,074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(1,281)</w:t>
            </w:r>
          </w:p>
        </w:tc>
        <w:tc>
          <w:tcPr>
            <w:tcW w:w="2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9,084</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(1,555)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Preneed cemetery trust investment security transactions recorded in </w:t>
      </w:r>
      <w:r>
        <w:rPr>
          <w:rFonts w:ascii="Arial" w:cs="Arial" w:eastAsia="Arial" w:hAnsi="Arial"/>
          <w:sz w:val="15"/>
          <w:szCs w:val="15"/>
          <w:i w:val="1"/>
          <w:iCs w:val="1"/>
          <w:color w:val="auto"/>
        </w:rPr>
        <w:t>Other, net</w:t>
      </w:r>
      <w:r>
        <w:rPr>
          <w:rFonts w:ascii="Arial" w:cs="Arial" w:eastAsia="Arial" w:hAnsi="Arial"/>
          <w:sz w:val="15"/>
          <w:szCs w:val="15"/>
          <w:color w:val="auto"/>
        </w:rPr>
        <w:t xml:space="preserve"> on our Consolidated Statements of Operations are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June 30,</w:t>
            </w:r>
          </w:p>
        </w:tc>
        <w:tc>
          <w:tcPr>
            <w:tcW w:w="300" w:type="dxa"/>
            <w:vAlign w:val="bottom"/>
          </w:tcPr>
          <w:p>
            <w:pPr>
              <w:spacing w:after="0"/>
              <w:rPr>
                <w:sz w:val="17"/>
                <w:szCs w:val="17"/>
                <w:color w:val="auto"/>
              </w:rPr>
            </w:pPr>
          </w:p>
        </w:tc>
        <w:tc>
          <w:tcPr>
            <w:tcW w:w="2400" w:type="dxa"/>
            <w:vAlign w:val="bottom"/>
            <w:gridSpan w:val="4"/>
          </w:tcPr>
          <w:p>
            <w:pPr>
              <w:jc w:val="right"/>
              <w:ind w:right="376"/>
              <w:spacing w:after="0"/>
              <w:rPr>
                <w:sz w:val="20"/>
                <w:szCs w:val="20"/>
                <w:color w:val="auto"/>
              </w:rPr>
            </w:pPr>
            <w:r>
              <w:rPr>
                <w:rFonts w:ascii="Arial" w:cs="Arial" w:eastAsia="Arial" w:hAnsi="Arial"/>
                <w:sz w:val="15"/>
                <w:szCs w:val="15"/>
                <w:b w:val="1"/>
                <w:bCs w:val="1"/>
                <w:color w:val="auto"/>
                <w:w w:val="99"/>
              </w:rPr>
              <w:t>Six months ended June 30,</w:t>
            </w:r>
          </w:p>
        </w:tc>
      </w:tr>
      <w:tr>
        <w:trPr>
          <w:trHeight w:val="200"/>
        </w:trPr>
        <w:tc>
          <w:tcPr>
            <w:tcW w:w="55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income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w:t>
            </w: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color w:val="auto"/>
              </w:rPr>
              <w:t>Realized gains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1,619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10,016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3,535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14,108</w:t>
            </w:r>
          </w:p>
        </w:tc>
      </w:tr>
      <w:tr>
        <w:trPr>
          <w:trHeight w:val="220"/>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losses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(6,349)</w:t>
            </w: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color w:val="auto"/>
              </w:rPr>
              <w:t>Unrealized gains (losses),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12,343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(3,961)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8,859</w:t>
            </w:r>
          </w:p>
        </w:tc>
      </w:tr>
      <w:tr>
        <w:trPr>
          <w:trHeight w:val="220"/>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Expenses and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w:t>
            </w:r>
          </w:p>
        </w:tc>
      </w:tr>
      <w:tr>
        <w:trPr>
          <w:trHeight w:val="21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change in deferred preneed cemetery receipts held in trust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(11,977)</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3,651</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(16,985)</w:t>
            </w:r>
          </w:p>
        </w:tc>
      </w:tr>
      <w:tr>
        <w:trPr>
          <w:trHeight w:val="232"/>
        </w:trPr>
        <w:tc>
          <w:tcPr>
            <w:tcW w:w="55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5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58"/>
        </w:trPr>
        <w:tc>
          <w:tcPr>
            <w:tcW w:w="7060" w:type="dxa"/>
            <w:vAlign w:val="bottom"/>
            <w:gridSpan w:val="4"/>
          </w:tcPr>
          <w:p>
            <w:pPr>
              <w:ind w:left="400"/>
              <w:spacing w:after="0"/>
              <w:rPr>
                <w:sz w:val="20"/>
                <w:szCs w:val="20"/>
                <w:color w:val="auto"/>
              </w:rPr>
            </w:pPr>
            <w:r>
              <w:rPr>
                <w:rFonts w:ascii="Arial" w:cs="Arial" w:eastAsia="Arial" w:hAnsi="Arial"/>
                <w:sz w:val="17"/>
                <w:szCs w:val="17"/>
                <w:color w:val="auto"/>
                <w:w w:val="90"/>
              </w:rPr>
              <w:t>Purchases and sales of investments in the preneed cemetery trusts are as follows (in thousands):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1"/>
        </w:trPr>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June 30,</w:t>
            </w:r>
          </w:p>
        </w:tc>
        <w:tc>
          <w:tcPr>
            <w:tcW w:w="300" w:type="dxa"/>
            <w:vAlign w:val="bottom"/>
          </w:tcPr>
          <w:p>
            <w:pPr>
              <w:spacing w:after="0"/>
              <w:rPr>
                <w:sz w:val="20"/>
                <w:szCs w:val="20"/>
                <w:color w:val="auto"/>
              </w:rPr>
            </w:pPr>
          </w:p>
        </w:tc>
        <w:tc>
          <w:tcPr>
            <w:tcW w:w="2400" w:type="dxa"/>
            <w:vAlign w:val="bottom"/>
            <w:gridSpan w:val="4"/>
          </w:tcPr>
          <w:p>
            <w:pPr>
              <w:jc w:val="right"/>
              <w:ind w:right="376"/>
              <w:spacing w:after="0"/>
              <w:rPr>
                <w:sz w:val="20"/>
                <w:szCs w:val="20"/>
                <w:color w:val="auto"/>
              </w:rPr>
            </w:pPr>
            <w:r>
              <w:rPr>
                <w:rFonts w:ascii="Arial" w:cs="Arial" w:eastAsia="Arial" w:hAnsi="Arial"/>
                <w:sz w:val="15"/>
                <w:szCs w:val="15"/>
                <w:b w:val="1"/>
                <w:bCs w:val="1"/>
                <w:color w:val="auto"/>
                <w:w w:val="99"/>
              </w:rPr>
              <w:t>Six months ended June 30,</w:t>
            </w:r>
          </w:p>
        </w:tc>
      </w:tr>
      <w:tr>
        <w:trPr>
          <w:trHeight w:val="200"/>
        </w:trPr>
        <w:tc>
          <w:tcPr>
            <w:tcW w:w="55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(32,454)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(27,208)</w:t>
            </w:r>
          </w:p>
        </w:tc>
      </w:tr>
      <w:tr>
        <w:trPr>
          <w:trHeight w:val="218"/>
        </w:trPr>
        <w:tc>
          <w:tcPr>
            <w:tcW w:w="5580" w:type="dxa"/>
            <w:vAlign w:val="bottom"/>
          </w:tcPr>
          <w:p>
            <w:pPr>
              <w:ind w:left="20"/>
              <w:spacing w:after="0"/>
              <w:rPr>
                <w:sz w:val="20"/>
                <w:szCs w:val="20"/>
                <w:color w:val="auto"/>
              </w:rPr>
            </w:pPr>
            <w:r>
              <w:rPr>
                <w:rFonts w:ascii="Arial" w:cs="Arial" w:eastAsia="Arial" w:hAnsi="Arial"/>
                <w:sz w:val="17"/>
                <w:szCs w:val="17"/>
                <w:color w:val="auto"/>
              </w:rPr>
              <w:t>Sales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12,135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19,352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25,366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27,401</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Preneed Funeral Trust Investments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Preneed funeral trust investments represent trust fund assets that we are permitted to withdraw as services and merchandise are provided to customers.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Preneed funeral contracts are secured by payments from customers, less retained amounts not required to be deposited into trust.</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The components of </w:t>
      </w:r>
      <w:r>
        <w:rPr>
          <w:rFonts w:ascii="Arial" w:cs="Arial" w:eastAsia="Arial" w:hAnsi="Arial"/>
          <w:sz w:val="17"/>
          <w:szCs w:val="17"/>
          <w:i w:val="1"/>
          <w:iCs w:val="1"/>
          <w:color w:val="auto"/>
        </w:rPr>
        <w:t>Preneed funeral trust investments</w:t>
      </w:r>
      <w:r>
        <w:rPr>
          <w:rFonts w:ascii="Arial" w:cs="Arial" w:eastAsia="Arial" w:hAnsi="Arial"/>
          <w:sz w:val="17"/>
          <w:szCs w:val="17"/>
          <w:color w:val="auto"/>
        </w:rPr>
        <w:t xml:space="preserve"> on our Consolidated Balance Sheet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December 31, 2020</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funeral trust investments, at market value</w:t>
            </w:r>
          </w:p>
        </w:tc>
        <w:tc>
          <w:tcPr>
            <w:tcW w:w="3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104,166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contract cancellation</w:t>
            </w:r>
          </w:p>
        </w:tc>
        <w:tc>
          <w:tcPr>
            <w:tcW w:w="28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(2,931)</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funeral trust investments</w:t>
            </w:r>
          </w:p>
        </w:tc>
        <w:tc>
          <w:tcPr>
            <w:tcW w:w="3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101,235</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1354"/>
              <w:spacing w:after="0"/>
              <w:rPr>
                <w:sz w:val="20"/>
                <w:szCs w:val="20"/>
                <w:color w:val="auto"/>
              </w:rPr>
            </w:pPr>
            <w:r>
              <w:rPr>
                <w:rFonts w:ascii="Arial" w:cs="Arial" w:eastAsia="Arial" w:hAnsi="Arial"/>
                <w:sz w:val="17"/>
                <w:szCs w:val="17"/>
                <w:color w:val="auto"/>
              </w:rPr>
              <w:t>- 22 -</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4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6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0" w:name="page21"/>
    <w:bookmarkEnd w:id="20"/>
    <w:p>
      <w:pPr>
        <w:ind w:left="400"/>
        <w:spacing w:after="0"/>
        <w:rPr>
          <w:sz w:val="20"/>
          <w:szCs w:val="20"/>
          <w:color w:val="auto"/>
        </w:rPr>
      </w:pPr>
      <w:r>
        <w:rPr>
          <w:rFonts w:ascii="Arial" w:cs="Arial" w:eastAsia="Arial" w:hAnsi="Arial"/>
          <w:sz w:val="17"/>
          <w:szCs w:val="17"/>
          <w:color w:val="auto"/>
        </w:rPr>
        <w:t>The cost and market values associated with preneed funeral trust investments at June 30, 2021 are detailed below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120" w:type="dxa"/>
            <w:vAlign w:val="bottom"/>
          </w:tcPr>
          <w:p>
            <w:pPr>
              <w:jc w:val="center"/>
              <w:ind w:left="37"/>
              <w:spacing w:after="0"/>
              <w:rPr>
                <w:sz w:val="20"/>
                <w:szCs w:val="20"/>
                <w:color w:val="auto"/>
              </w:rPr>
            </w:pPr>
            <w:r>
              <w:rPr>
                <w:rFonts w:ascii="Arial" w:cs="Arial" w:eastAsia="Arial" w:hAnsi="Arial"/>
                <w:sz w:val="14"/>
                <w:szCs w:val="14"/>
                <w:b w:val="1"/>
                <w:bCs w:val="1"/>
                <w:color w:val="auto"/>
                <w:w w:val="89"/>
              </w:rPr>
              <w:t>Fair 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Unrealized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Fair Market</w:t>
            </w: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92"/>
              </w:rPr>
              <w:t>Hierarchy Level</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money market accounts</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1</w:t>
            </w:r>
          </w:p>
        </w:tc>
        <w:tc>
          <w:tcPr>
            <w:tcW w:w="6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18,865</w:t>
            </w:r>
          </w:p>
        </w:tc>
        <w:tc>
          <w:tcPr>
            <w:tcW w:w="4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18,865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Fixed income securities: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U.S treasury debt</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16,774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10,947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983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32,709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Mutual funds: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Fixed income</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investments</w:t>
            </w:r>
          </w:p>
        </w:tc>
        <w:tc>
          <w:tcPr>
            <w:tcW w:w="1120" w:type="dxa"/>
            <w:vAlign w:val="bottom"/>
            <w:tcBorders>
              <w:bottom w:val="single" w:sz="8" w:color="CCEEFF"/>
            </w:tcBorders>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3,856</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Trust securities</w:t>
            </w:r>
          </w:p>
        </w:tc>
        <w:tc>
          <w:tcPr>
            <w:tcW w:w="1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103,994</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11,156</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112,200</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Arial" w:cs="Arial" w:eastAsia="Arial" w:hAnsi="Arial"/>
                <w:sz w:val="17"/>
                <w:szCs w:val="17"/>
                <w:color w:val="auto"/>
              </w:rPr>
              <w:t>Accrued investment income</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gridSpan w:val="3"/>
          </w:tcPr>
          <w:p>
            <w:pPr>
              <w:jc w:val="right"/>
              <w:ind w:right="114"/>
              <w:spacing w:after="0" w:line="191"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91" w:lineRule="exact"/>
              <w:rPr>
                <w:sz w:val="20"/>
                <w:szCs w:val="20"/>
                <w:color w:val="auto"/>
              </w:rPr>
            </w:pPr>
            <w:r>
              <w:rPr>
                <w:rFonts w:ascii="Arial" w:cs="Arial" w:eastAsia="Arial" w:hAnsi="Arial"/>
                <w:sz w:val="17"/>
                <w:szCs w:val="17"/>
                <w:color w:val="auto"/>
              </w:rPr>
              <w:t>710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gridSpan w:val="3"/>
          </w:tcPr>
          <w:p>
            <w:pPr>
              <w:jc w:val="right"/>
              <w:spacing w:after="0" w:line="191"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1" w:lineRule="exact"/>
              <w:rPr>
                <w:sz w:val="20"/>
                <w:szCs w:val="20"/>
                <w:color w:val="auto"/>
              </w:rPr>
            </w:pPr>
            <w:r>
              <w:rPr>
                <w:rFonts w:ascii="Arial" w:cs="Arial" w:eastAsia="Arial" w:hAnsi="Arial"/>
                <w:sz w:val="17"/>
                <w:szCs w:val="17"/>
                <w:color w:val="auto"/>
              </w:rPr>
              <w:t>710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28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top w:val="single" w:sz="8" w:color="auto"/>
              <w:bottom w:val="single" w:sz="8" w:color="CCEEFF"/>
            </w:tcBorders>
          </w:tcPr>
          <w:p>
            <w:pPr>
              <w:spacing w:after="0"/>
              <w:rPr>
                <w:sz w:val="3"/>
                <w:szCs w:val="3"/>
                <w:color w:val="auto"/>
              </w:rPr>
            </w:pPr>
          </w:p>
        </w:tc>
        <w:tc>
          <w:tcPr>
            <w:tcW w:w="920" w:type="dxa"/>
            <w:vAlign w:val="bottom"/>
            <w:tcBorders>
              <w:top w:val="single" w:sz="8" w:color="auto"/>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4280" w:type="dxa"/>
            <w:vAlign w:val="bottom"/>
            <w:tcBorders>
              <w:top w:val="single" w:sz="8" w:color="CCEEFF"/>
            </w:tcBorders>
            <w:shd w:val="clear" w:color="auto" w:fill="CCEEFF"/>
          </w:tcPr>
          <w:p>
            <w:pPr>
              <w:ind w:left="20"/>
              <w:spacing w:after="0" w:line="177" w:lineRule="exact"/>
              <w:rPr>
                <w:sz w:val="20"/>
                <w:szCs w:val="20"/>
                <w:color w:val="auto"/>
              </w:rPr>
            </w:pPr>
            <w:r>
              <w:rPr>
                <w:rFonts w:ascii="Arial" w:cs="Arial" w:eastAsia="Arial" w:hAnsi="Arial"/>
                <w:sz w:val="17"/>
                <w:szCs w:val="17"/>
                <w:color w:val="auto"/>
              </w:rPr>
              <w:t>Preneed funeral trust investments</w:t>
            </w: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3"/>
            <w:shd w:val="clear" w:color="auto" w:fill="CCEEFF"/>
          </w:tcPr>
          <w:p>
            <w:pPr>
              <w:jc w:val="right"/>
              <w:spacing w:after="0" w:line="177"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CCEEFF"/>
            </w:tcBorders>
            <w:shd w:val="clear" w:color="auto" w:fill="CCEEFF"/>
          </w:tcPr>
          <w:p>
            <w:pPr>
              <w:jc w:val="right"/>
              <w:spacing w:after="0" w:line="177" w:lineRule="exact"/>
              <w:rPr>
                <w:sz w:val="20"/>
                <w:szCs w:val="20"/>
                <w:color w:val="auto"/>
              </w:rPr>
            </w:pPr>
            <w:r>
              <w:rPr>
                <w:rFonts w:ascii="Arial" w:cs="Arial" w:eastAsia="Arial" w:hAnsi="Arial"/>
                <w:sz w:val="17"/>
                <w:szCs w:val="17"/>
                <w:color w:val="auto"/>
              </w:rPr>
              <w:t>112,910</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Market value as a percentage of cost</w:t>
            </w: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
              <w:spacing w:after="0" w:line="190" w:lineRule="exact"/>
              <w:rPr>
                <w:sz w:val="20"/>
                <w:szCs w:val="20"/>
                <w:color w:val="auto"/>
              </w:rPr>
            </w:pPr>
            <w:r>
              <w:rPr>
                <w:rFonts w:ascii="Arial" w:cs="Arial" w:eastAsia="Arial" w:hAnsi="Arial"/>
                <w:sz w:val="17"/>
                <w:szCs w:val="17"/>
                <w:color w:val="auto"/>
              </w:rPr>
              <w:t>107.9%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20" w:type="dxa"/>
            <w:vAlign w:val="bottom"/>
            <w:gridSpan w:val="12"/>
            <w:vMerge w:val="restart"/>
          </w:tcPr>
          <w:p>
            <w:pPr>
              <w:ind w:left="400"/>
              <w:spacing w:after="0"/>
              <w:rPr>
                <w:sz w:val="20"/>
                <w:szCs w:val="20"/>
                <w:color w:val="auto"/>
              </w:rPr>
            </w:pPr>
            <w:r>
              <w:rPr>
                <w:rFonts w:ascii="Arial" w:cs="Arial" w:eastAsia="Arial" w:hAnsi="Arial"/>
                <w:sz w:val="17"/>
                <w:szCs w:val="17"/>
                <w:color w:val="auto"/>
                <w:w w:val="99"/>
              </w:rPr>
              <w:t>The estimated maturities of the fixed income securities (excluding mutual funds) included above are as follows (in thousands):</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1"/>
        </w:trPr>
        <w:tc>
          <w:tcPr>
            <w:tcW w:w="9820" w:type="dxa"/>
            <w:vAlign w:val="bottom"/>
            <w:gridSpan w:val="1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one year or less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Due in one to five years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five to ten years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fixed income securities</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gridSpan w:val="12"/>
            <w:vMerge w:val="restart"/>
          </w:tcPr>
          <w:p>
            <w:pPr>
              <w:ind w:left="400"/>
              <w:spacing w:after="0"/>
              <w:rPr>
                <w:sz w:val="20"/>
                <w:szCs w:val="20"/>
                <w:color w:val="auto"/>
              </w:rPr>
            </w:pPr>
            <w:r>
              <w:rPr>
                <w:rFonts w:ascii="Arial" w:cs="Arial" w:eastAsia="Arial" w:hAnsi="Arial"/>
                <w:sz w:val="17"/>
                <w:szCs w:val="17"/>
                <w:color w:val="auto"/>
                <w:w w:val="92"/>
              </w:rPr>
              <w:t>The cost and market values associated with preneed funeral trust investments at December 31, 2020 are detailed below (in thousands):</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20" w:type="dxa"/>
            <w:vAlign w:val="bottom"/>
            <w:gridSpan w:val="1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120" w:type="dxa"/>
            <w:vAlign w:val="bottom"/>
          </w:tcPr>
          <w:p>
            <w:pPr>
              <w:jc w:val="center"/>
              <w:ind w:left="37"/>
              <w:spacing w:after="0" w:line="157" w:lineRule="exact"/>
              <w:rPr>
                <w:sz w:val="20"/>
                <w:szCs w:val="20"/>
                <w:color w:val="auto"/>
              </w:rPr>
            </w:pPr>
            <w:r>
              <w:rPr>
                <w:rFonts w:ascii="Arial" w:cs="Arial" w:eastAsia="Arial" w:hAnsi="Arial"/>
                <w:sz w:val="14"/>
                <w:szCs w:val="14"/>
                <w:b w:val="1"/>
                <w:bCs w:val="1"/>
                <w:color w:val="auto"/>
                <w:w w:val="89"/>
              </w:rPr>
              <w:t>Fair 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3"/>
                <w:szCs w:val="13"/>
                <w:color w:val="auto"/>
              </w:rPr>
            </w:pPr>
          </w:p>
        </w:tc>
        <w:tc>
          <w:tcPr>
            <w:tcW w:w="1040" w:type="dxa"/>
            <w:vAlign w:val="bottom"/>
          </w:tcPr>
          <w:p>
            <w:pPr>
              <w:jc w:val="center"/>
              <w:ind w:right="117"/>
              <w:spacing w:after="0" w:line="157" w:lineRule="exact"/>
              <w:rPr>
                <w:sz w:val="20"/>
                <w:szCs w:val="20"/>
                <w:color w:val="auto"/>
              </w:rPr>
            </w:pPr>
            <w:r>
              <w:rPr>
                <w:rFonts w:ascii="Arial" w:cs="Arial" w:eastAsia="Arial" w:hAnsi="Arial"/>
                <w:sz w:val="14"/>
                <w:szCs w:val="14"/>
                <w:b w:val="1"/>
                <w:bCs w:val="1"/>
                <w:color w:val="auto"/>
                <w:w w:val="90"/>
              </w:rPr>
              <w:t>Unrealized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Fair Market</w:t>
            </w: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92"/>
              </w:rPr>
              <w:t>Hierarchy Level</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money market accounts</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1</w:t>
            </w:r>
          </w:p>
        </w:tc>
        <w:tc>
          <w:tcPr>
            <w:tcW w:w="6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18,478</w:t>
            </w:r>
          </w:p>
        </w:tc>
        <w:tc>
          <w:tcPr>
            <w:tcW w:w="4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Fixed income securities: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U.S. treasury debt</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15,144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10,944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Mortgage-backed securities</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28,327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7,364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Fixed income</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1,198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investments</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3,928</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7"/>
                <w:szCs w:val="17"/>
                <w:color w:val="auto"/>
              </w:rPr>
              <w:t>Trust securities</w:t>
            </w:r>
          </w:p>
        </w:tc>
        <w:tc>
          <w:tcPr>
            <w:tcW w:w="1120" w:type="dxa"/>
            <w:vAlign w:val="bottom"/>
          </w:tcPr>
          <w:p>
            <w:pPr>
              <w:spacing w:after="0"/>
              <w:rPr>
                <w:sz w:val="18"/>
                <w:szCs w:val="18"/>
                <w:color w:val="auto"/>
              </w:rPr>
            </w:pPr>
          </w:p>
        </w:tc>
        <w:tc>
          <w:tcPr>
            <w:tcW w:w="620" w:type="dxa"/>
            <w:vAlign w:val="bottom"/>
            <w:gridSpan w:val="3"/>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97,700</w:t>
            </w:r>
          </w:p>
        </w:tc>
        <w:tc>
          <w:tcPr>
            <w:tcW w:w="4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13,125</w:t>
            </w:r>
          </w:p>
        </w:tc>
        <w:tc>
          <w:tcPr>
            <w:tcW w:w="2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(7,570)</w:t>
            </w: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103,255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1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280" w:type="dxa"/>
            <w:vAlign w:val="bottom"/>
          </w:tcPr>
          <w:p>
            <w:pPr>
              <w:ind w:left="20"/>
              <w:spacing w:after="0" w:line="177" w:lineRule="exact"/>
              <w:rPr>
                <w:sz w:val="20"/>
                <w:szCs w:val="20"/>
                <w:color w:val="auto"/>
              </w:rPr>
            </w:pPr>
            <w:r>
              <w:rPr>
                <w:rFonts w:ascii="Arial" w:cs="Arial" w:eastAsia="Arial" w:hAnsi="Arial"/>
                <w:sz w:val="17"/>
                <w:szCs w:val="17"/>
                <w:color w:val="auto"/>
              </w:rPr>
              <w:t>Preneed funeral trust investments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gridSpan w:val="3"/>
          </w:tcPr>
          <w:p>
            <w:pPr>
              <w:jc w:val="right"/>
              <w:spacing w:after="0" w:line="177"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77" w:lineRule="exact"/>
              <w:rPr>
                <w:sz w:val="20"/>
                <w:szCs w:val="20"/>
                <w:color w:val="auto"/>
              </w:rPr>
            </w:pPr>
            <w:r>
              <w:rPr>
                <w:rFonts w:ascii="Arial" w:cs="Arial" w:eastAsia="Arial" w:hAnsi="Arial"/>
                <w:sz w:val="17"/>
                <w:szCs w:val="17"/>
                <w:color w:val="auto"/>
              </w:rPr>
              <w:t>104,166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 value as a percentage of cost</w:t>
            </w: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105.7%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114"/>
              <w:spacing w:after="0"/>
              <w:rPr>
                <w:sz w:val="20"/>
                <w:szCs w:val="20"/>
                <w:color w:val="auto"/>
              </w:rPr>
            </w:pPr>
            <w:r>
              <w:rPr>
                <w:rFonts w:ascii="Arial" w:cs="Arial" w:eastAsia="Arial" w:hAnsi="Arial"/>
                <w:sz w:val="17"/>
                <w:szCs w:val="17"/>
                <w:color w:val="auto"/>
              </w:rPr>
              <w:t>- 23 -</w:t>
            </w: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1" w:name="page22"/>
    <w:bookmarkEnd w:id="21"/>
    <w:p>
      <w:pPr>
        <w:ind w:firstLine="387"/>
        <w:spacing w:after="0" w:line="293"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funeral trust investment in an unrealized loss position at June 30,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520"/>
              <w:spacing w:after="0"/>
              <w:rPr>
                <w:sz w:val="20"/>
                <w:szCs w:val="20"/>
                <w:color w:val="auto"/>
              </w:rPr>
            </w:pPr>
            <w:r>
              <w:rPr>
                <w:rFonts w:ascii="Arial" w:cs="Arial" w:eastAsia="Arial" w:hAnsi="Arial"/>
                <w:sz w:val="15"/>
                <w:szCs w:val="15"/>
                <w:b w:val="1"/>
                <w:bCs w:val="1"/>
                <w:color w:val="auto"/>
              </w:rPr>
              <w:t>June 30, 2021</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40"/>
              <w:spacing w:after="0" w:line="151" w:lineRule="exact"/>
              <w:rPr>
                <w:sz w:val="20"/>
                <w:szCs w:val="20"/>
                <w:color w:val="auto"/>
              </w:rPr>
            </w:pPr>
            <w:r>
              <w:rPr>
                <w:rFonts w:ascii="Arial" w:cs="Arial" w:eastAsia="Arial" w:hAnsi="Arial"/>
                <w:sz w:val="15"/>
                <w:szCs w:val="15"/>
                <w:b w:val="1"/>
                <w:bCs w:val="1"/>
                <w:color w:val="auto"/>
              </w:rPr>
              <w:t>In Loss Position Less than 12</w:t>
            </w:r>
          </w:p>
        </w:tc>
        <w:tc>
          <w:tcPr>
            <w:tcW w:w="2440" w:type="dxa"/>
            <w:vAlign w:val="bottom"/>
            <w:gridSpan w:val="6"/>
          </w:tcPr>
          <w:p>
            <w:pPr>
              <w:ind w:left="40"/>
              <w:spacing w:after="0" w:line="151" w:lineRule="exact"/>
              <w:rPr>
                <w:sz w:val="20"/>
                <w:szCs w:val="20"/>
                <w:color w:val="auto"/>
              </w:rPr>
            </w:pPr>
            <w:r>
              <w:rPr>
                <w:rFonts w:ascii="Arial" w:cs="Arial" w:eastAsia="Arial" w:hAnsi="Arial"/>
                <w:sz w:val="15"/>
                <w:szCs w:val="15"/>
                <w:b w:val="1"/>
                <w:bCs w:val="1"/>
                <w:color w:val="auto"/>
              </w:rPr>
              <w:t>In Loss Position Greater than 12</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89"/>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80"/>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80"/>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4"/>
                <w:szCs w:val="14"/>
                <w:color w:val="auto"/>
              </w:rPr>
              <w:t>Fair market value</w:t>
            </w:r>
          </w:p>
        </w:tc>
        <w:tc>
          <w:tcPr>
            <w:tcW w:w="860" w:type="dxa"/>
            <w:vAlign w:val="bottom"/>
          </w:tcPr>
          <w:p>
            <w:pPr>
              <w:jc w:val="right"/>
              <w:ind w:right="120"/>
              <w:spacing w:after="0" w:line="125"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380" w:type="dxa"/>
            <w:vAlign w:val="bottom"/>
            <w:gridSpan w:val="5"/>
            <w:vMerge w:val="continue"/>
          </w:tcPr>
          <w:p>
            <w:pPr>
              <w:spacing w:after="0"/>
              <w:rPr>
                <w:sz w:val="15"/>
                <w:szCs w:val="15"/>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4,539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(196)</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650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(269)</w:t>
            </w:r>
          </w:p>
        </w:tc>
        <w:tc>
          <w:tcPr>
            <w:tcW w:w="2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5,189</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9"/>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3,874</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fixed income securities with an unrealized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9,420</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firstLine="387"/>
        <w:spacing w:after="0" w:line="293"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funeral trust investment in an unrealized loss position at December 31, 2020,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60"/>
              <w:spacing w:after="0"/>
              <w:rPr>
                <w:sz w:val="20"/>
                <w:szCs w:val="20"/>
                <w:color w:val="auto"/>
              </w:rPr>
            </w:pPr>
            <w:r>
              <w:rPr>
                <w:rFonts w:ascii="Arial" w:cs="Arial" w:eastAsia="Arial" w:hAnsi="Arial"/>
                <w:sz w:val="15"/>
                <w:szCs w:val="15"/>
                <w:b w:val="1"/>
                <w:bCs w:val="1"/>
                <w:color w:val="auto"/>
              </w:rPr>
              <w:t>December 31, 2020</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40"/>
              <w:spacing w:after="0" w:line="151" w:lineRule="exact"/>
              <w:rPr>
                <w:sz w:val="20"/>
                <w:szCs w:val="20"/>
                <w:color w:val="auto"/>
              </w:rPr>
            </w:pPr>
            <w:r>
              <w:rPr>
                <w:rFonts w:ascii="Arial" w:cs="Arial" w:eastAsia="Arial" w:hAnsi="Arial"/>
                <w:sz w:val="15"/>
                <w:szCs w:val="15"/>
                <w:b w:val="1"/>
                <w:bCs w:val="1"/>
                <w:color w:val="auto"/>
              </w:rPr>
              <w:t>In Loss Position Less than 12</w:t>
            </w:r>
          </w:p>
        </w:tc>
        <w:tc>
          <w:tcPr>
            <w:tcW w:w="2440" w:type="dxa"/>
            <w:vAlign w:val="bottom"/>
            <w:gridSpan w:val="6"/>
          </w:tcPr>
          <w:p>
            <w:pPr>
              <w:ind w:left="40"/>
              <w:spacing w:after="0" w:line="151" w:lineRule="exact"/>
              <w:rPr>
                <w:sz w:val="20"/>
                <w:szCs w:val="20"/>
                <w:color w:val="auto"/>
              </w:rPr>
            </w:pPr>
            <w:r>
              <w:rPr>
                <w:rFonts w:ascii="Arial" w:cs="Arial" w:eastAsia="Arial" w:hAnsi="Arial"/>
                <w:sz w:val="15"/>
                <w:szCs w:val="15"/>
                <w:b w:val="1"/>
                <w:bCs w:val="1"/>
                <w:color w:val="auto"/>
              </w:rPr>
              <w:t>In Loss Position Greater than 12</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89"/>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4"/>
                <w:szCs w:val="14"/>
                <w:color w:val="auto"/>
              </w:rPr>
              <w:t>Fair market value</w:t>
            </w:r>
          </w:p>
        </w:tc>
        <w:tc>
          <w:tcPr>
            <w:tcW w:w="860" w:type="dxa"/>
            <w:vAlign w:val="bottom"/>
          </w:tcPr>
          <w:p>
            <w:pPr>
              <w:jc w:val="right"/>
              <w:ind w:right="119"/>
              <w:spacing w:after="0" w:line="125"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380" w:type="dxa"/>
            <w:vAlign w:val="bottom"/>
            <w:gridSpan w:val="5"/>
            <w:vMerge w:val="continue"/>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2,225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(55)</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337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(579)</w:t>
            </w:r>
          </w:p>
        </w:tc>
        <w:tc>
          <w:tcPr>
            <w:tcW w:w="2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2,562</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4,448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Mortgage-backed securities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12"/>
        </w:trPr>
        <w:tc>
          <w:tcPr>
            <w:tcW w:w="4080" w:type="dxa"/>
            <w:vAlign w:val="bottom"/>
          </w:tcPr>
          <w:p>
            <w:pPr>
              <w:ind w:left="20"/>
              <w:spacing w:after="0"/>
              <w:rPr>
                <w:sz w:val="20"/>
                <w:szCs w:val="20"/>
                <w:color w:val="auto"/>
              </w:rPr>
            </w:pPr>
            <w:r>
              <w:rPr>
                <w:rFonts w:ascii="Arial" w:cs="Arial" w:eastAsia="Arial" w:hAnsi="Arial"/>
                <w:sz w:val="17"/>
                <w:szCs w:val="17"/>
                <w:color w:val="auto"/>
              </w:rPr>
              <w:t>Total fixed income securities with an unrealized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3,494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(238)</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4,918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(1,159)</w:t>
            </w:r>
          </w:p>
        </w:tc>
        <w:tc>
          <w:tcPr>
            <w:tcW w:w="2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8,412</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(1,397)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Preneed funeral trust investment security transactions recorded in </w:t>
      </w:r>
      <w:r>
        <w:rPr>
          <w:rFonts w:ascii="Arial" w:cs="Arial" w:eastAsia="Arial" w:hAnsi="Arial"/>
          <w:sz w:val="16"/>
          <w:szCs w:val="16"/>
          <w:i w:val="1"/>
          <w:iCs w:val="1"/>
          <w:color w:val="auto"/>
        </w:rPr>
        <w:t>Other, net</w:t>
      </w:r>
      <w:r>
        <w:rPr>
          <w:rFonts w:ascii="Arial" w:cs="Arial" w:eastAsia="Arial" w:hAnsi="Arial"/>
          <w:sz w:val="16"/>
          <w:szCs w:val="16"/>
          <w:color w:val="auto"/>
        </w:rPr>
        <w:t xml:space="preserve"> on the Consolidated Statements of Operations are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100"/>
              <w:spacing w:after="0"/>
              <w:rPr>
                <w:sz w:val="20"/>
                <w:szCs w:val="20"/>
                <w:color w:val="auto"/>
              </w:rPr>
            </w:pPr>
            <w:r>
              <w:rPr>
                <w:rFonts w:ascii="Arial" w:cs="Arial" w:eastAsia="Arial" w:hAnsi="Arial"/>
                <w:sz w:val="15"/>
                <w:szCs w:val="15"/>
                <w:b w:val="1"/>
                <w:bCs w:val="1"/>
                <w:color w:val="auto"/>
              </w:rPr>
              <w:t>Three months ended June 30,</w:t>
            </w:r>
          </w:p>
        </w:tc>
        <w:tc>
          <w:tcPr>
            <w:tcW w:w="300" w:type="dxa"/>
            <w:vAlign w:val="bottom"/>
          </w:tcPr>
          <w:p>
            <w:pPr>
              <w:spacing w:after="0"/>
              <w:rPr>
                <w:sz w:val="17"/>
                <w:szCs w:val="17"/>
                <w:color w:val="auto"/>
              </w:rPr>
            </w:pPr>
          </w:p>
        </w:tc>
        <w:tc>
          <w:tcPr>
            <w:tcW w:w="2400" w:type="dxa"/>
            <w:vAlign w:val="bottom"/>
            <w:gridSpan w:val="4"/>
          </w:tcPr>
          <w:p>
            <w:pPr>
              <w:jc w:val="right"/>
              <w:ind w:right="376"/>
              <w:spacing w:after="0"/>
              <w:rPr>
                <w:sz w:val="20"/>
                <w:szCs w:val="20"/>
                <w:color w:val="auto"/>
              </w:rPr>
            </w:pPr>
            <w:r>
              <w:rPr>
                <w:rFonts w:ascii="Arial" w:cs="Arial" w:eastAsia="Arial" w:hAnsi="Arial"/>
                <w:sz w:val="15"/>
                <w:szCs w:val="15"/>
                <w:b w:val="1"/>
                <w:bCs w:val="1"/>
                <w:color w:val="auto"/>
                <w:w w:val="99"/>
              </w:rPr>
              <w:t>Six months ended June 30,</w:t>
            </w:r>
          </w:p>
        </w:tc>
      </w:tr>
      <w:tr>
        <w:trPr>
          <w:trHeight w:val="200"/>
        </w:trPr>
        <w:tc>
          <w:tcPr>
            <w:tcW w:w="48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income</w:t>
            </w:r>
          </w:p>
        </w:tc>
        <w:tc>
          <w:tcPr>
            <w:tcW w:w="1100" w:type="dxa"/>
            <w:vAlign w:val="bottom"/>
            <w:gridSpan w:val="2"/>
            <w:shd w:val="clear" w:color="auto" w:fill="CCEEFF"/>
          </w:tcPr>
          <w:p>
            <w:pPr>
              <w:jc w:val="center"/>
              <w:ind w:left="4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w:t>
            </w:r>
          </w:p>
        </w:tc>
      </w:tr>
      <w:tr>
        <w:trPr>
          <w:trHeight w:val="219"/>
        </w:trPr>
        <w:tc>
          <w:tcPr>
            <w:tcW w:w="4800" w:type="dxa"/>
            <w:vAlign w:val="bottom"/>
          </w:tcPr>
          <w:p>
            <w:pPr>
              <w:ind w:left="20"/>
              <w:spacing w:after="0"/>
              <w:rPr>
                <w:sz w:val="20"/>
                <w:szCs w:val="20"/>
                <w:color w:val="auto"/>
              </w:rPr>
            </w:pPr>
            <w:r>
              <w:rPr>
                <w:rFonts w:ascii="Arial" w:cs="Arial" w:eastAsia="Arial" w:hAnsi="Arial"/>
                <w:sz w:val="17"/>
                <w:szCs w:val="17"/>
                <w:color w:val="auto"/>
              </w:rPr>
              <w:t>Realized gains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1,606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9,388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4,157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13,259</w:t>
            </w:r>
          </w:p>
        </w:tc>
      </w:tr>
      <w:tr>
        <w:trPr>
          <w:trHeight w:val="220"/>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losses</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(5,896)</w:t>
            </w:r>
          </w:p>
        </w:tc>
      </w:tr>
      <w:tr>
        <w:trPr>
          <w:trHeight w:val="219"/>
        </w:trPr>
        <w:tc>
          <w:tcPr>
            <w:tcW w:w="4800" w:type="dxa"/>
            <w:vAlign w:val="bottom"/>
          </w:tcPr>
          <w:p>
            <w:pPr>
              <w:ind w:left="20"/>
              <w:spacing w:after="0"/>
              <w:rPr>
                <w:sz w:val="20"/>
                <w:szCs w:val="20"/>
                <w:color w:val="auto"/>
              </w:rPr>
            </w:pPr>
            <w:r>
              <w:rPr>
                <w:rFonts w:ascii="Arial" w:cs="Arial" w:eastAsia="Arial" w:hAnsi="Arial"/>
                <w:sz w:val="17"/>
                <w:szCs w:val="17"/>
                <w:color w:val="auto"/>
              </w:rPr>
              <w:t>Unrealized gains (losses), net</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11,889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(1,113)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(3,385)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8,206</w:t>
            </w:r>
          </w:p>
        </w:tc>
      </w:tr>
      <w:tr>
        <w:trPr>
          <w:trHeight w:val="220"/>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Expenses and taxes</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w:t>
            </w:r>
          </w:p>
        </w:tc>
      </w:tr>
      <w:tr>
        <w:trPr>
          <w:trHeight w:val="21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change in deferred preneed funeral receipts held in trust</w:t>
            </w:r>
          </w:p>
        </w:tc>
        <w:tc>
          <w:tcPr>
            <w:tcW w:w="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(11,793)</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1,898</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(15,841)</w:t>
            </w:r>
          </w:p>
        </w:tc>
      </w:tr>
      <w:tr>
        <w:trPr>
          <w:trHeight w:val="232"/>
        </w:trPr>
        <w:tc>
          <w:tcPr>
            <w:tcW w:w="48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left="494"/>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58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71"/>
        </w:trPr>
        <w:tc>
          <w:tcPr>
            <w:tcW w:w="7060" w:type="dxa"/>
            <w:vAlign w:val="bottom"/>
            <w:gridSpan w:val="5"/>
          </w:tcPr>
          <w:p>
            <w:pPr>
              <w:ind w:left="400"/>
              <w:spacing w:after="0"/>
              <w:rPr>
                <w:sz w:val="20"/>
                <w:szCs w:val="20"/>
                <w:color w:val="auto"/>
              </w:rPr>
            </w:pPr>
            <w:r>
              <w:rPr>
                <w:rFonts w:ascii="Arial" w:cs="Arial" w:eastAsia="Arial" w:hAnsi="Arial"/>
                <w:sz w:val="17"/>
                <w:szCs w:val="17"/>
                <w:color w:val="auto"/>
                <w:w w:val="92"/>
              </w:rPr>
              <w:t>Purchases and sales of investments in the preneed funeral trusts are as follows (in thousands):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1"/>
        </w:trPr>
        <w:tc>
          <w:tcPr>
            <w:tcW w:w="4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5"/>
          </w:tcPr>
          <w:p>
            <w:pPr>
              <w:ind w:left="100"/>
              <w:spacing w:after="0"/>
              <w:rPr>
                <w:sz w:val="20"/>
                <w:szCs w:val="20"/>
                <w:color w:val="auto"/>
              </w:rPr>
            </w:pPr>
            <w:r>
              <w:rPr>
                <w:rFonts w:ascii="Arial" w:cs="Arial" w:eastAsia="Arial" w:hAnsi="Arial"/>
                <w:sz w:val="15"/>
                <w:szCs w:val="15"/>
                <w:b w:val="1"/>
                <w:bCs w:val="1"/>
                <w:color w:val="auto"/>
              </w:rPr>
              <w:t>Three months ended June 30,</w:t>
            </w:r>
          </w:p>
        </w:tc>
        <w:tc>
          <w:tcPr>
            <w:tcW w:w="300" w:type="dxa"/>
            <w:vAlign w:val="bottom"/>
          </w:tcPr>
          <w:p>
            <w:pPr>
              <w:spacing w:after="0"/>
              <w:rPr>
                <w:sz w:val="20"/>
                <w:szCs w:val="20"/>
                <w:color w:val="auto"/>
              </w:rPr>
            </w:pPr>
          </w:p>
        </w:tc>
        <w:tc>
          <w:tcPr>
            <w:tcW w:w="2400" w:type="dxa"/>
            <w:vAlign w:val="bottom"/>
            <w:gridSpan w:val="4"/>
          </w:tcPr>
          <w:p>
            <w:pPr>
              <w:jc w:val="right"/>
              <w:ind w:right="376"/>
              <w:spacing w:after="0"/>
              <w:rPr>
                <w:sz w:val="20"/>
                <w:szCs w:val="20"/>
                <w:color w:val="auto"/>
              </w:rPr>
            </w:pPr>
            <w:r>
              <w:rPr>
                <w:rFonts w:ascii="Arial" w:cs="Arial" w:eastAsia="Arial" w:hAnsi="Arial"/>
                <w:sz w:val="15"/>
                <w:szCs w:val="15"/>
                <w:b w:val="1"/>
                <w:bCs w:val="1"/>
                <w:color w:val="auto"/>
                <w:w w:val="99"/>
              </w:rPr>
              <w:t>Six months ended June 30,</w:t>
            </w:r>
          </w:p>
        </w:tc>
      </w:tr>
      <w:tr>
        <w:trPr>
          <w:trHeight w:val="200"/>
        </w:trPr>
        <w:tc>
          <w:tcPr>
            <w:tcW w:w="48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w:t>
            </w:r>
          </w:p>
        </w:tc>
        <w:tc>
          <w:tcPr>
            <w:tcW w:w="1100" w:type="dxa"/>
            <w:vAlign w:val="bottom"/>
            <w:gridSpan w:val="2"/>
            <w:shd w:val="clear" w:color="auto" w:fill="CCEEFF"/>
          </w:tcPr>
          <w:p>
            <w:pPr>
              <w:jc w:val="center"/>
              <w:ind w:left="4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(17,863)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(25,491)</w:t>
            </w:r>
          </w:p>
        </w:tc>
      </w:tr>
      <w:tr>
        <w:trPr>
          <w:trHeight w:val="218"/>
        </w:trPr>
        <w:tc>
          <w:tcPr>
            <w:tcW w:w="4800" w:type="dxa"/>
            <w:vAlign w:val="bottom"/>
          </w:tcPr>
          <w:p>
            <w:pPr>
              <w:ind w:left="20"/>
              <w:spacing w:after="0"/>
              <w:rPr>
                <w:sz w:val="20"/>
                <w:szCs w:val="20"/>
                <w:color w:val="auto"/>
              </w:rPr>
            </w:pPr>
            <w:r>
              <w:rPr>
                <w:rFonts w:ascii="Arial" w:cs="Arial" w:eastAsia="Arial" w:hAnsi="Arial"/>
                <w:sz w:val="17"/>
                <w:szCs w:val="17"/>
                <w:color w:val="auto"/>
              </w:rPr>
              <w:t>Sales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11,888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17,765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27,856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25,289</w:t>
            </w:r>
          </w:p>
        </w:tc>
      </w:tr>
      <w:tr>
        <w:trPr>
          <w:trHeight w:val="826"/>
        </w:trPr>
        <w:tc>
          <w:tcPr>
            <w:tcW w:w="4800" w:type="dxa"/>
            <w:vAlign w:val="bottom"/>
          </w:tcPr>
          <w:p>
            <w:pPr>
              <w:spacing w:after="0"/>
              <w:rPr>
                <w:sz w:val="24"/>
                <w:szCs w:val="24"/>
                <w:color w:val="auto"/>
              </w:rPr>
            </w:pPr>
          </w:p>
        </w:tc>
        <w:tc>
          <w:tcPr>
            <w:tcW w:w="1100" w:type="dxa"/>
            <w:vAlign w:val="bottom"/>
            <w:gridSpan w:val="2"/>
          </w:tcPr>
          <w:p>
            <w:pPr>
              <w:jc w:val="center"/>
              <w:ind w:left="474"/>
              <w:spacing w:after="0"/>
              <w:rPr>
                <w:sz w:val="20"/>
                <w:szCs w:val="20"/>
                <w:color w:val="auto"/>
              </w:rPr>
            </w:pPr>
            <w:r>
              <w:rPr>
                <w:rFonts w:ascii="Arial" w:cs="Arial" w:eastAsia="Arial" w:hAnsi="Arial"/>
                <w:sz w:val="17"/>
                <w:szCs w:val="17"/>
                <w:color w:val="auto"/>
                <w:w w:val="95"/>
              </w:rPr>
              <w:t>- 24 -</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1"/>
        </w:trPr>
        <w:tc>
          <w:tcPr>
            <w:tcW w:w="48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color w:val="auto"/>
        </w:rPr>
        <w:t>Cemetery Perpetual Care Trust Investments</w:t>
      </w:r>
    </w:p>
    <w:p>
      <w:pPr>
        <w:spacing w:after="0" w:line="114" w:lineRule="exact"/>
        <w:rPr>
          <w:sz w:val="20"/>
          <w:szCs w:val="20"/>
          <w:color w:val="auto"/>
        </w:rPr>
      </w:pPr>
    </w:p>
    <w:p>
      <w:pPr>
        <w:ind w:firstLine="387"/>
        <w:spacing w:after="0" w:line="276" w:lineRule="auto"/>
        <w:rPr>
          <w:sz w:val="20"/>
          <w:szCs w:val="20"/>
          <w:color w:val="auto"/>
        </w:rPr>
      </w:pPr>
      <w:r>
        <w:rPr>
          <w:rFonts w:ascii="Arial" w:cs="Arial" w:eastAsia="Arial" w:hAnsi="Arial"/>
          <w:sz w:val="17"/>
          <w:szCs w:val="17"/>
          <w:color w:val="auto"/>
        </w:rPr>
        <w:t xml:space="preserve">Care trusts’ corpus on our Consolidated Balance Sheet represent the corpus of those trusts plus undistributed income. The components of </w:t>
      </w:r>
      <w:r>
        <w:rPr>
          <w:rFonts w:ascii="Arial" w:cs="Arial" w:eastAsia="Arial" w:hAnsi="Arial"/>
          <w:sz w:val="17"/>
          <w:szCs w:val="17"/>
          <w:i w:val="1"/>
          <w:iCs w:val="1"/>
          <w:color w:val="auto"/>
        </w:rPr>
        <w:t>Care trusts’ corpus</w:t>
      </w:r>
      <w:r>
        <w:rPr>
          <w:rFonts w:ascii="Arial" w:cs="Arial" w:eastAsia="Arial" w:hAnsi="Arial"/>
          <w:sz w:val="17"/>
          <w:szCs w:val="17"/>
          <w:color w:val="auto"/>
        </w:rPr>
        <w:t xml:space="preserv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5"/>
                <w:szCs w:val="15"/>
                <w:b w:val="1"/>
                <w:bCs w:val="1"/>
                <w:color w:val="auto"/>
              </w:rPr>
              <w:t>December 31, 2020</w:t>
            </w:r>
          </w:p>
        </w:tc>
        <w:tc>
          <w:tcPr>
            <w:tcW w:w="540" w:type="dxa"/>
            <w:vAlign w:val="bottom"/>
          </w:tcPr>
          <w:p>
            <w:pPr>
              <w:spacing w:after="0"/>
              <w:rPr>
                <w:sz w:val="17"/>
                <w:szCs w:val="17"/>
                <w:color w:val="auto"/>
              </w:rPr>
            </w:pPr>
          </w:p>
        </w:tc>
        <w:tc>
          <w:tcPr>
            <w:tcW w:w="1320" w:type="dxa"/>
            <w:vAlign w:val="bottom"/>
          </w:tcPr>
          <w:p>
            <w:pPr>
              <w:ind w:left="400"/>
              <w:spacing w:after="0"/>
              <w:rPr>
                <w:sz w:val="20"/>
                <w:szCs w:val="20"/>
                <w:color w:val="auto"/>
              </w:rPr>
            </w:pPr>
            <w:r>
              <w:rPr>
                <w:rFonts w:ascii="Arial" w:cs="Arial" w:eastAsia="Arial" w:hAnsi="Arial"/>
                <w:sz w:val="15"/>
                <w:szCs w:val="15"/>
                <w:b w:val="1"/>
                <w:bCs w:val="1"/>
                <w:color w:val="auto"/>
                <w:w w:val="92"/>
              </w:rPr>
              <w:t>June 30, 2021</w:t>
            </w:r>
          </w:p>
        </w:tc>
      </w:tr>
      <w:tr>
        <w:trPr>
          <w:trHeight w:val="215"/>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Cemetery perpetual care trust investments, at market value</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7"/>
                <w:szCs w:val="17"/>
                <w:color w:val="auto"/>
                <w:w w:val="99"/>
              </w:rPr>
              <w:t>70,828</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w w:val="99"/>
              </w:rPr>
              <w:t>75,290</w:t>
            </w:r>
          </w:p>
        </w:tc>
      </w:tr>
      <w:tr>
        <w:trPr>
          <w:trHeight w:val="21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Obligations due from trust</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w w:val="96"/>
              </w:rPr>
              <w:t>(1,121)</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w w:val="92"/>
              </w:rPr>
              <w:t>(1,391)</w:t>
            </w: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Care trusts’ corpus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7"/>
                <w:szCs w:val="17"/>
                <w:color w:val="auto"/>
                <w:w w:val="99"/>
              </w:rPr>
              <w:t>69,707</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w w:val="99"/>
              </w:rPr>
              <w:t>73,899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following table reflects the cost and fair market values associated with the trust investments held in perpetual care trust funds at June 30, 2021 (in thousands):</w:t>
      </w:r>
    </w:p>
    <w:tbl>
      <w:tblPr>
        <w:tblLayout w:type="fixed"/>
        <w:tblInd w:w="0" w:type="dxa"/>
        <w:tblCellMar>
          <w:top w:w="0" w:type="dxa"/>
          <w:left w:w="0" w:type="dxa"/>
          <w:bottom w:w="0" w:type="dxa"/>
          <w:right w:w="0" w:type="dxa"/>
        </w:tblCellMar>
      </w:tblPr>
      <w:tr>
        <w:trPr>
          <w:trHeight w:val="139"/>
        </w:trPr>
        <w:tc>
          <w:tcPr>
            <w:tcW w:w="4260" w:type="dxa"/>
            <w:vAlign w:val="bottom"/>
          </w:tcPr>
          <w:p>
            <w:pPr>
              <w:spacing w:after="0"/>
              <w:rPr>
                <w:sz w:val="12"/>
                <w:szCs w:val="12"/>
                <w:color w:val="auto"/>
              </w:rPr>
            </w:pPr>
          </w:p>
        </w:tc>
        <w:tc>
          <w:tcPr>
            <w:tcW w:w="14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2"/>
                <w:szCs w:val="12"/>
                <w:color w:val="auto"/>
              </w:rPr>
            </w:pPr>
          </w:p>
        </w:tc>
        <w:tc>
          <w:tcPr>
            <w:tcW w:w="9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1060" w:type="dxa"/>
            <w:vAlign w:val="bottom"/>
          </w:tcPr>
          <w:p>
            <w:pPr>
              <w:jc w:val="right"/>
              <w:ind w:right="238"/>
              <w:spacing w:after="0" w:line="13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76"/>
              <w:spacing w:after="0" w:line="139" w:lineRule="exact"/>
              <w:rPr>
                <w:sz w:val="20"/>
                <w:szCs w:val="20"/>
                <w:color w:val="auto"/>
              </w:rPr>
            </w:pPr>
            <w:r>
              <w:rPr>
                <w:rFonts w:ascii="Arial" w:cs="Arial" w:eastAsia="Arial" w:hAnsi="Arial"/>
                <w:sz w:val="14"/>
                <w:szCs w:val="14"/>
                <w:b w:val="1"/>
                <w:bCs w:val="1"/>
                <w:color w:val="auto"/>
              </w:rPr>
              <w:t>Fair Market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Hierarchy Level</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Gains</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money market accounts</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tcPr>
          <w:p>
            <w:pPr>
              <w:ind w:left="20"/>
              <w:spacing w:after="0"/>
              <w:rPr>
                <w:sz w:val="20"/>
                <w:szCs w:val="20"/>
                <w:color w:val="auto"/>
              </w:rPr>
            </w:pPr>
            <w:r>
              <w:rPr>
                <w:rFonts w:ascii="Arial" w:cs="Arial" w:eastAsia="Arial" w:hAnsi="Arial"/>
                <w:sz w:val="17"/>
                <w:szCs w:val="17"/>
                <w:color w:val="auto"/>
              </w:rPr>
              <w:t>Fixed income securities: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debt</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12,824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ind w:left="220"/>
              <w:spacing w:after="0"/>
              <w:rPr>
                <w:sz w:val="20"/>
                <w:szCs w:val="20"/>
                <w:color w:val="auto"/>
              </w:rPr>
            </w:pPr>
            <w:r>
              <w:rPr>
                <w:rFonts w:ascii="Arial" w:cs="Arial" w:eastAsia="Arial" w:hAnsi="Arial"/>
                <w:sz w:val="17"/>
                <w:szCs w:val="17"/>
                <w:color w:val="auto"/>
              </w:rPr>
              <w:t>Corporate debt</w:t>
            </w:r>
          </w:p>
        </w:tc>
        <w:tc>
          <w:tcPr>
            <w:tcW w:w="1260" w:type="dxa"/>
            <w:vAlign w:val="bottom"/>
          </w:tcPr>
          <w:p>
            <w:pPr>
              <w:jc w:val="center"/>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9,551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1,372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10,918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260" w:type="dxa"/>
            <w:vAlign w:val="bottom"/>
          </w:tcPr>
          <w:p>
            <w:pPr>
              <w:jc w:val="center"/>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25,978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4,281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Fixed Income</w:t>
            </w:r>
          </w:p>
        </w:tc>
        <w:tc>
          <w:tcPr>
            <w:tcW w:w="12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Trust securities</w:t>
            </w:r>
          </w:p>
        </w:tc>
        <w:tc>
          <w:tcPr>
            <w:tcW w:w="1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67,865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(2,669)</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Accrued investment income</w:t>
            </w: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6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608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gridSpan w:val="3"/>
          </w:tcPr>
          <w:p>
            <w:pPr>
              <w:jc w:val="right"/>
              <w:ind w:right="80"/>
              <w:spacing w:after="0" w:line="191"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91" w:lineRule="exact"/>
              <w:rPr>
                <w:sz w:val="20"/>
                <w:szCs w:val="20"/>
                <w:color w:val="auto"/>
              </w:rPr>
            </w:pPr>
            <w:r>
              <w:rPr>
                <w:rFonts w:ascii="Arial" w:cs="Arial" w:eastAsia="Arial" w:hAnsi="Arial"/>
                <w:sz w:val="17"/>
                <w:szCs w:val="17"/>
                <w:color w:val="auto"/>
              </w:rPr>
              <w:t>608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26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tcBorders>
            <w:shd w:val="clear" w:color="auto" w:fill="CCEEFF"/>
          </w:tcPr>
          <w:p>
            <w:pPr>
              <w:ind w:left="20"/>
              <w:spacing w:after="0" w:line="177" w:lineRule="exact"/>
              <w:rPr>
                <w:sz w:val="20"/>
                <w:szCs w:val="20"/>
                <w:color w:val="auto"/>
              </w:rPr>
            </w:pPr>
            <w:r>
              <w:rPr>
                <w:rFonts w:ascii="Arial" w:cs="Arial" w:eastAsia="Arial" w:hAnsi="Arial"/>
                <w:sz w:val="17"/>
                <w:szCs w:val="17"/>
                <w:color w:val="auto"/>
              </w:rPr>
              <w:t>Cemetery perpetual care investments</w:t>
            </w:r>
          </w:p>
        </w:tc>
        <w:tc>
          <w:tcPr>
            <w:tcW w:w="1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gridSpan w:val="3"/>
            <w:shd w:val="clear" w:color="auto" w:fill="CCEEFF"/>
          </w:tcPr>
          <w:p>
            <w:pPr>
              <w:jc w:val="right"/>
              <w:ind w:right="80"/>
              <w:spacing w:after="0" w:line="177"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CCEEFF"/>
            </w:tcBorders>
            <w:shd w:val="clear" w:color="auto" w:fill="CCEEFF"/>
          </w:tcPr>
          <w:p>
            <w:pPr>
              <w:jc w:val="right"/>
              <w:spacing w:after="0" w:line="177" w:lineRule="exact"/>
              <w:rPr>
                <w:sz w:val="20"/>
                <w:szCs w:val="20"/>
                <w:color w:val="auto"/>
              </w:rPr>
            </w:pPr>
            <w:r>
              <w:rPr>
                <w:rFonts w:ascii="Arial" w:cs="Arial" w:eastAsia="Arial" w:hAnsi="Arial"/>
                <w:sz w:val="17"/>
                <w:szCs w:val="17"/>
                <w:color w:val="auto"/>
              </w:rPr>
              <w:t>75,290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Market value as a percentage of cost</w:t>
            </w: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6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
              <w:spacing w:after="0" w:line="190" w:lineRule="exact"/>
              <w:rPr>
                <w:sz w:val="20"/>
                <w:szCs w:val="20"/>
                <w:color w:val="auto"/>
              </w:rPr>
            </w:pPr>
            <w:r>
              <w:rPr>
                <w:rFonts w:ascii="Arial" w:cs="Arial" w:eastAsia="Arial" w:hAnsi="Arial"/>
                <w:sz w:val="17"/>
                <w:szCs w:val="17"/>
                <w:color w:val="auto"/>
              </w:rPr>
              <w:t>110.0%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780" w:type="dxa"/>
            <w:vAlign w:val="bottom"/>
            <w:gridSpan w:val="11"/>
            <w:vMerge w:val="restart"/>
          </w:tcPr>
          <w:p>
            <w:pPr>
              <w:ind w:left="400"/>
              <w:spacing w:after="0"/>
              <w:rPr>
                <w:sz w:val="20"/>
                <w:szCs w:val="20"/>
                <w:color w:val="auto"/>
              </w:rPr>
            </w:pPr>
            <w:r>
              <w:rPr>
                <w:rFonts w:ascii="Arial" w:cs="Arial" w:eastAsia="Arial" w:hAnsi="Arial"/>
                <w:sz w:val="17"/>
                <w:szCs w:val="17"/>
                <w:color w:val="auto"/>
                <w:w w:val="99"/>
              </w:rPr>
              <w:t>The estimated maturities of the fixed income securities (excluding mutual funds) included above are as follows (in thousands):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8"/>
        </w:trPr>
        <w:tc>
          <w:tcPr>
            <w:tcW w:w="9780" w:type="dxa"/>
            <w:vAlign w:val="bottom"/>
            <w:gridSpan w:val="11"/>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one year or less</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ind w:left="20"/>
              <w:spacing w:after="0"/>
              <w:rPr>
                <w:sz w:val="20"/>
                <w:szCs w:val="20"/>
                <w:color w:val="auto"/>
              </w:rPr>
            </w:pPr>
            <w:r>
              <w:rPr>
                <w:rFonts w:ascii="Arial" w:cs="Arial" w:eastAsia="Arial" w:hAnsi="Arial"/>
                <w:sz w:val="17"/>
                <w:szCs w:val="17"/>
                <w:color w:val="auto"/>
              </w:rPr>
              <w:t>Due in one to five years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five to ten years</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2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21,511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fixed income securities</w:t>
            </w:r>
          </w:p>
        </w:tc>
        <w:tc>
          <w:tcPr>
            <w:tcW w:w="1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35,985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following table reflects the cost and fair market values associated with the trust investments held in perpetual care trust funds at December 31, 2020 (in thousands):</w:t>
      </w:r>
    </w:p>
    <w:tbl>
      <w:tblPr>
        <w:tblLayout w:type="fixed"/>
        <w:tblInd w:w="0" w:type="dxa"/>
        <w:tblCellMar>
          <w:top w:w="0" w:type="dxa"/>
          <w:left w:w="0" w:type="dxa"/>
          <w:bottom w:w="0" w:type="dxa"/>
          <w:right w:w="0" w:type="dxa"/>
        </w:tblCellMar>
      </w:tblPr>
      <w:tr>
        <w:trPr>
          <w:trHeight w:val="139"/>
        </w:trPr>
        <w:tc>
          <w:tcPr>
            <w:tcW w:w="4280" w:type="dxa"/>
            <w:vAlign w:val="bottom"/>
          </w:tcPr>
          <w:p>
            <w:pPr>
              <w:spacing w:after="0"/>
              <w:rPr>
                <w:sz w:val="12"/>
                <w:szCs w:val="12"/>
                <w:color w:val="auto"/>
              </w:rPr>
            </w:pPr>
          </w:p>
        </w:tc>
        <w:tc>
          <w:tcPr>
            <w:tcW w:w="1120" w:type="dxa"/>
            <w:vAlign w:val="bottom"/>
          </w:tcPr>
          <w:p>
            <w:pPr>
              <w:jc w:val="center"/>
              <w:ind w:left="38"/>
              <w:spacing w:after="0" w:line="139" w:lineRule="exact"/>
              <w:rPr>
                <w:sz w:val="20"/>
                <w:szCs w:val="20"/>
                <w:color w:val="auto"/>
              </w:rPr>
            </w:pPr>
            <w:r>
              <w:rPr>
                <w:rFonts w:ascii="Arial" w:cs="Arial" w:eastAsia="Arial" w:hAnsi="Arial"/>
                <w:sz w:val="14"/>
                <w:szCs w:val="14"/>
                <w:b w:val="1"/>
                <w:bCs w:val="1"/>
                <w:color w:val="auto"/>
                <w:w w:val="89"/>
              </w:rPr>
              <w:t>Fair Value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124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1040" w:type="dxa"/>
            <w:vAlign w:val="bottom"/>
          </w:tcPr>
          <w:p>
            <w:pPr>
              <w:jc w:val="right"/>
              <w:ind w:right="157"/>
              <w:spacing w:after="0" w:line="139"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92"/>
              </w:rPr>
              <w:t>Hierarchy Level</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money market accounts</w:t>
            </w:r>
          </w:p>
        </w:tc>
        <w:tc>
          <w:tcPr>
            <w:tcW w:w="11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4"/>
              </w:rPr>
              <w:t>1</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Fixed income securities: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debt</w:t>
            </w:r>
          </w:p>
        </w:tc>
        <w:tc>
          <w:tcPr>
            <w:tcW w:w="11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13,598</w:t>
            </w: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Corporate debt</w:t>
            </w:r>
          </w:p>
        </w:tc>
        <w:tc>
          <w:tcPr>
            <w:tcW w:w="1120" w:type="dxa"/>
            <w:vAlign w:val="bottom"/>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11,684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12,950</w:t>
            </w: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w:t>
            </w:r>
          </w:p>
        </w:tc>
        <w:tc>
          <w:tcPr>
            <w:tcW w:w="11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10,908</w:t>
            </w: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Mortgage-backed securities</w:t>
            </w:r>
          </w:p>
        </w:tc>
        <w:tc>
          <w:tcPr>
            <w:tcW w:w="1120" w:type="dxa"/>
            <w:vAlign w:val="bottom"/>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1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23,662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24,515</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Mutual funds: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Fixed income</w:t>
            </w:r>
          </w:p>
        </w:tc>
        <w:tc>
          <w:tcPr>
            <w:tcW w:w="11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6,444</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7,278</w:t>
            </w: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7"/>
                <w:szCs w:val="17"/>
                <w:color w:val="auto"/>
              </w:rPr>
              <w:t>Trust securities</w:t>
            </w:r>
          </w:p>
        </w:tc>
        <w:tc>
          <w:tcPr>
            <w:tcW w:w="112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65,665</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11,128</w:t>
            </w:r>
          </w:p>
        </w:tc>
        <w:tc>
          <w:tcPr>
            <w:tcW w:w="2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(6,773)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70,020</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112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0" w:type="dxa"/>
            <w:vAlign w:val="bottom"/>
          </w:tcPr>
          <w:p>
            <w:pPr>
              <w:spacing w:after="0"/>
              <w:rPr>
                <w:sz w:val="1"/>
                <w:szCs w:val="1"/>
                <w:color w:val="auto"/>
              </w:rPr>
            </w:pPr>
          </w:p>
        </w:tc>
      </w:tr>
      <w:tr>
        <w:trPr>
          <w:trHeight w:val="177"/>
        </w:trPr>
        <w:tc>
          <w:tcPr>
            <w:tcW w:w="4280" w:type="dxa"/>
            <w:vAlign w:val="bottom"/>
            <w:tcBorders>
              <w:top w:val="single" w:sz="8" w:color="CCEEFF"/>
            </w:tcBorders>
          </w:tcPr>
          <w:p>
            <w:pPr>
              <w:ind w:left="20"/>
              <w:spacing w:after="0" w:line="177" w:lineRule="exact"/>
              <w:rPr>
                <w:sz w:val="20"/>
                <w:szCs w:val="20"/>
                <w:color w:val="auto"/>
              </w:rPr>
            </w:pPr>
            <w:r>
              <w:rPr>
                <w:rFonts w:ascii="Arial" w:cs="Arial" w:eastAsia="Arial" w:hAnsi="Arial"/>
                <w:sz w:val="17"/>
                <w:szCs w:val="17"/>
                <w:color w:val="auto"/>
              </w:rPr>
              <w:t>Cemetery perpetual care investments</w:t>
            </w:r>
          </w:p>
        </w:tc>
        <w:tc>
          <w:tcPr>
            <w:tcW w:w="1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70,828</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 value as a percentage of cost</w:t>
            </w: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106.6%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200"/>
              <w:spacing w:after="0"/>
              <w:rPr>
                <w:sz w:val="20"/>
                <w:szCs w:val="20"/>
                <w:color w:val="auto"/>
              </w:rPr>
            </w:pPr>
            <w:r>
              <w:rPr>
                <w:rFonts w:ascii="Arial" w:cs="Arial" w:eastAsia="Arial" w:hAnsi="Arial"/>
                <w:sz w:val="17"/>
                <w:szCs w:val="17"/>
                <w:color w:val="auto"/>
              </w:rPr>
              <w:t>- 25 -</w:t>
            </w: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3" w:name="page24"/>
    <w:bookmarkEnd w:id="23"/>
    <w:p>
      <w:pPr>
        <w:ind w:firstLine="387"/>
        <w:spacing w:after="0" w:line="276" w:lineRule="auto"/>
        <w:rPr>
          <w:sz w:val="20"/>
          <w:szCs w:val="20"/>
          <w:color w:val="auto"/>
        </w:rPr>
      </w:pPr>
      <w:r>
        <w:rPr>
          <w:rFonts w:ascii="Arial" w:cs="Arial" w:eastAsia="Arial" w:hAnsi="Arial"/>
          <w:sz w:val="17"/>
          <w:szCs w:val="17"/>
          <w:color w:val="auto"/>
        </w:rPr>
        <w:t>The following table summarized our fixed income securities (excluding mutual funds) within our perpetual care trust investment in an unrealized loss position at June 30,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520"/>
              <w:spacing w:after="0"/>
              <w:rPr>
                <w:sz w:val="20"/>
                <w:szCs w:val="20"/>
                <w:color w:val="auto"/>
              </w:rPr>
            </w:pPr>
            <w:r>
              <w:rPr>
                <w:rFonts w:ascii="Arial" w:cs="Arial" w:eastAsia="Arial" w:hAnsi="Arial"/>
                <w:sz w:val="15"/>
                <w:szCs w:val="15"/>
                <w:b w:val="1"/>
                <w:bCs w:val="1"/>
                <w:color w:val="auto"/>
              </w:rPr>
              <w:t>June 30, 2021</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40"/>
              <w:spacing w:after="0" w:line="151" w:lineRule="exact"/>
              <w:rPr>
                <w:sz w:val="20"/>
                <w:szCs w:val="20"/>
                <w:color w:val="auto"/>
              </w:rPr>
            </w:pPr>
            <w:r>
              <w:rPr>
                <w:rFonts w:ascii="Arial" w:cs="Arial" w:eastAsia="Arial" w:hAnsi="Arial"/>
                <w:sz w:val="15"/>
                <w:szCs w:val="15"/>
                <w:b w:val="1"/>
                <w:bCs w:val="1"/>
                <w:color w:val="auto"/>
              </w:rPr>
              <w:t>In Loss Position Less than 12</w:t>
            </w:r>
          </w:p>
        </w:tc>
        <w:tc>
          <w:tcPr>
            <w:tcW w:w="2440" w:type="dxa"/>
            <w:vAlign w:val="bottom"/>
            <w:gridSpan w:val="6"/>
          </w:tcPr>
          <w:p>
            <w:pPr>
              <w:ind w:left="40"/>
              <w:spacing w:after="0" w:line="151" w:lineRule="exact"/>
              <w:rPr>
                <w:sz w:val="20"/>
                <w:szCs w:val="20"/>
                <w:color w:val="auto"/>
              </w:rPr>
            </w:pPr>
            <w:r>
              <w:rPr>
                <w:rFonts w:ascii="Arial" w:cs="Arial" w:eastAsia="Arial" w:hAnsi="Arial"/>
                <w:sz w:val="15"/>
                <w:szCs w:val="15"/>
                <w:b w:val="1"/>
                <w:bCs w:val="1"/>
                <w:color w:val="auto"/>
              </w:rPr>
              <w:t>In Loss Position Greater than 12</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89"/>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80"/>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80"/>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4"/>
                <w:szCs w:val="14"/>
                <w:color w:val="auto"/>
              </w:rPr>
              <w:t>Fair market value</w:t>
            </w:r>
          </w:p>
        </w:tc>
        <w:tc>
          <w:tcPr>
            <w:tcW w:w="860" w:type="dxa"/>
            <w:vAlign w:val="bottom"/>
          </w:tcPr>
          <w:p>
            <w:pPr>
              <w:jc w:val="right"/>
              <w:ind w:right="120"/>
              <w:spacing w:after="0" w:line="125"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380" w:type="dxa"/>
            <w:vAlign w:val="bottom"/>
            <w:gridSpan w:val="5"/>
            <w:vMerge w:val="continue"/>
          </w:tcPr>
          <w:p>
            <w:pPr>
              <w:spacing w:after="0"/>
              <w:rPr>
                <w:sz w:val="15"/>
                <w:szCs w:val="15"/>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2,968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(132)</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580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(242)</w:t>
            </w:r>
          </w:p>
        </w:tc>
        <w:tc>
          <w:tcPr>
            <w:tcW w:w="2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3,548</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9"/>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2,878</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2,878</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fixed income securities with an unrealized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6,691</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firstLine="387"/>
        <w:spacing w:after="0" w:line="276" w:lineRule="auto"/>
        <w:rPr>
          <w:sz w:val="20"/>
          <w:szCs w:val="20"/>
          <w:color w:val="auto"/>
        </w:rPr>
      </w:pPr>
      <w:r>
        <w:rPr>
          <w:rFonts w:ascii="Arial" w:cs="Arial" w:eastAsia="Arial" w:hAnsi="Arial"/>
          <w:sz w:val="17"/>
          <w:szCs w:val="17"/>
          <w:color w:val="auto"/>
        </w:rPr>
        <w:t>The following table summarized our fixed income securities (excluding mutual funds) within our perpetual care trust investment in an unrealized loss position at December 31, 2020,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60"/>
              <w:spacing w:after="0"/>
              <w:rPr>
                <w:sz w:val="20"/>
                <w:szCs w:val="20"/>
                <w:color w:val="auto"/>
              </w:rPr>
            </w:pPr>
            <w:r>
              <w:rPr>
                <w:rFonts w:ascii="Arial" w:cs="Arial" w:eastAsia="Arial" w:hAnsi="Arial"/>
                <w:sz w:val="15"/>
                <w:szCs w:val="15"/>
                <w:b w:val="1"/>
                <w:bCs w:val="1"/>
                <w:color w:val="auto"/>
              </w:rPr>
              <w:t>December 31, 2020</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40"/>
              <w:spacing w:after="0" w:line="151" w:lineRule="exact"/>
              <w:rPr>
                <w:sz w:val="20"/>
                <w:szCs w:val="20"/>
                <w:color w:val="auto"/>
              </w:rPr>
            </w:pPr>
            <w:r>
              <w:rPr>
                <w:rFonts w:ascii="Arial" w:cs="Arial" w:eastAsia="Arial" w:hAnsi="Arial"/>
                <w:sz w:val="15"/>
                <w:szCs w:val="15"/>
                <w:b w:val="1"/>
                <w:bCs w:val="1"/>
                <w:color w:val="auto"/>
              </w:rPr>
              <w:t>In Loss Position Less than 12</w:t>
            </w:r>
          </w:p>
        </w:tc>
        <w:tc>
          <w:tcPr>
            <w:tcW w:w="2440" w:type="dxa"/>
            <w:vAlign w:val="bottom"/>
            <w:gridSpan w:val="6"/>
          </w:tcPr>
          <w:p>
            <w:pPr>
              <w:ind w:left="40"/>
              <w:spacing w:after="0" w:line="151" w:lineRule="exact"/>
              <w:rPr>
                <w:sz w:val="20"/>
                <w:szCs w:val="20"/>
                <w:color w:val="auto"/>
              </w:rPr>
            </w:pPr>
            <w:r>
              <w:rPr>
                <w:rFonts w:ascii="Arial" w:cs="Arial" w:eastAsia="Arial" w:hAnsi="Arial"/>
                <w:sz w:val="15"/>
                <w:szCs w:val="15"/>
                <w:b w:val="1"/>
                <w:bCs w:val="1"/>
                <w:color w:val="auto"/>
              </w:rPr>
              <w:t>In Loss Position Greater than 12</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89"/>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4"/>
                <w:szCs w:val="14"/>
                <w:color w:val="auto"/>
              </w:rPr>
              <w:t>Fair market value</w:t>
            </w:r>
          </w:p>
        </w:tc>
        <w:tc>
          <w:tcPr>
            <w:tcW w:w="860" w:type="dxa"/>
            <w:vAlign w:val="bottom"/>
          </w:tcPr>
          <w:p>
            <w:pPr>
              <w:jc w:val="right"/>
              <w:ind w:right="119"/>
              <w:spacing w:after="0" w:line="125"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380" w:type="dxa"/>
            <w:vAlign w:val="bottom"/>
            <w:gridSpan w:val="5"/>
            <w:vMerge w:val="continue"/>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1,728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(43)</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312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(539)</w:t>
            </w:r>
          </w:p>
        </w:tc>
        <w:tc>
          <w:tcPr>
            <w:tcW w:w="2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2,040</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(582)</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4,202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Mortgage-backed securities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12"/>
        </w:trPr>
        <w:tc>
          <w:tcPr>
            <w:tcW w:w="4080" w:type="dxa"/>
            <w:vAlign w:val="bottom"/>
          </w:tcPr>
          <w:p>
            <w:pPr>
              <w:ind w:left="20"/>
              <w:spacing w:after="0"/>
              <w:rPr>
                <w:sz w:val="20"/>
                <w:szCs w:val="20"/>
                <w:color w:val="auto"/>
              </w:rPr>
            </w:pPr>
            <w:r>
              <w:rPr>
                <w:rFonts w:ascii="Arial" w:cs="Arial" w:eastAsia="Arial" w:hAnsi="Arial"/>
                <w:sz w:val="17"/>
                <w:szCs w:val="17"/>
                <w:color w:val="auto"/>
              </w:rPr>
              <w:t>Total fixed income securities with an unrealized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3,462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(308)</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3,867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(990)</w:t>
            </w:r>
          </w:p>
        </w:tc>
        <w:tc>
          <w:tcPr>
            <w:tcW w:w="2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7,329</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(1,298)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Perpetual care trust investment security transactions recorded in </w:t>
      </w:r>
      <w:r>
        <w:rPr>
          <w:rFonts w:ascii="Arial" w:cs="Arial" w:eastAsia="Arial" w:hAnsi="Arial"/>
          <w:sz w:val="16"/>
          <w:szCs w:val="16"/>
          <w:i w:val="1"/>
          <w:iCs w:val="1"/>
          <w:color w:val="auto"/>
        </w:rPr>
        <w:t>Other, net</w:t>
      </w:r>
      <w:r>
        <w:rPr>
          <w:rFonts w:ascii="Arial" w:cs="Arial" w:eastAsia="Arial" w:hAnsi="Arial"/>
          <w:sz w:val="16"/>
          <w:szCs w:val="16"/>
          <w:color w:val="auto"/>
        </w:rPr>
        <w:t xml:space="preserve"> on our Consolidated Statements of Operations are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June 30,</w:t>
            </w:r>
          </w:p>
        </w:tc>
        <w:tc>
          <w:tcPr>
            <w:tcW w:w="300" w:type="dxa"/>
            <w:vAlign w:val="bottom"/>
          </w:tcPr>
          <w:p>
            <w:pPr>
              <w:spacing w:after="0"/>
              <w:rPr>
                <w:sz w:val="17"/>
                <w:szCs w:val="17"/>
                <w:color w:val="auto"/>
              </w:rPr>
            </w:pPr>
          </w:p>
        </w:tc>
        <w:tc>
          <w:tcPr>
            <w:tcW w:w="2400" w:type="dxa"/>
            <w:vAlign w:val="bottom"/>
            <w:gridSpan w:val="4"/>
          </w:tcPr>
          <w:p>
            <w:pPr>
              <w:jc w:val="right"/>
              <w:ind w:right="375"/>
              <w:spacing w:after="0"/>
              <w:rPr>
                <w:sz w:val="20"/>
                <w:szCs w:val="20"/>
                <w:color w:val="auto"/>
              </w:rPr>
            </w:pPr>
            <w:r>
              <w:rPr>
                <w:rFonts w:ascii="Arial" w:cs="Arial" w:eastAsia="Arial" w:hAnsi="Arial"/>
                <w:sz w:val="15"/>
                <w:szCs w:val="15"/>
                <w:b w:val="1"/>
                <w:bCs w:val="1"/>
                <w:color w:val="auto"/>
                <w:w w:val="99"/>
              </w:rPr>
              <w:t>Six months ended June 30,</w:t>
            </w:r>
          </w:p>
        </w:tc>
      </w:tr>
      <w:tr>
        <w:trPr>
          <w:trHeight w:val="200"/>
        </w:trPr>
        <w:tc>
          <w:tcPr>
            <w:tcW w:w="55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gains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1,949</w:t>
            </w: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color w:val="auto"/>
              </w:rPr>
              <w:t>Realized losses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(606)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(1,285)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(916)</w:t>
            </w:r>
          </w:p>
        </w:tc>
      </w:tr>
      <w:tr>
        <w:trPr>
          <w:trHeight w:val="220"/>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gains (losses), net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10,068</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6,817</w:t>
            </w:r>
          </w:p>
        </w:tc>
      </w:tr>
      <w:tr>
        <w:trPr>
          <w:trHeight w:val="21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change in Care trusts’ corpus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(9,901)</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3,594</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(7,850)</w:t>
            </w:r>
          </w:p>
        </w:tc>
      </w:tr>
      <w:tr>
        <w:trPr>
          <w:trHeight w:val="232"/>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Perpetual care trust investment security transactions recorded in </w:t>
      </w:r>
      <w:r>
        <w:rPr>
          <w:rFonts w:ascii="Arial" w:cs="Arial" w:eastAsia="Arial" w:hAnsi="Arial"/>
          <w:sz w:val="15"/>
          <w:szCs w:val="15"/>
          <w:i w:val="1"/>
          <w:iCs w:val="1"/>
          <w:color w:val="auto"/>
        </w:rPr>
        <w:t>Other revenue</w:t>
      </w:r>
      <w:r>
        <w:rPr>
          <w:rFonts w:ascii="Arial" w:cs="Arial" w:eastAsia="Arial" w:hAnsi="Arial"/>
          <w:sz w:val="15"/>
          <w:szCs w:val="15"/>
          <w:color w:val="auto"/>
        </w:rPr>
        <w:t xml:space="preserve"> on our Consolidated Statements of Operations are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7"/>
          </w:tcPr>
          <w:p>
            <w:pPr>
              <w:ind w:left="100"/>
              <w:spacing w:after="0"/>
              <w:rPr>
                <w:sz w:val="20"/>
                <w:szCs w:val="20"/>
                <w:color w:val="auto"/>
              </w:rPr>
            </w:pPr>
            <w:r>
              <w:rPr>
                <w:rFonts w:ascii="Arial" w:cs="Arial" w:eastAsia="Arial" w:hAnsi="Arial"/>
                <w:sz w:val="15"/>
                <w:szCs w:val="15"/>
                <w:b w:val="1"/>
                <w:bCs w:val="1"/>
                <w:color w:val="auto"/>
              </w:rPr>
              <w:t>Three months ended June 30,</w:t>
            </w:r>
          </w:p>
        </w:tc>
        <w:tc>
          <w:tcPr>
            <w:tcW w:w="300" w:type="dxa"/>
            <w:vAlign w:val="bottom"/>
          </w:tcPr>
          <w:p>
            <w:pPr>
              <w:spacing w:after="0"/>
              <w:rPr>
                <w:sz w:val="17"/>
                <w:szCs w:val="17"/>
                <w:color w:val="auto"/>
              </w:rPr>
            </w:pPr>
          </w:p>
        </w:tc>
        <w:tc>
          <w:tcPr>
            <w:tcW w:w="2400" w:type="dxa"/>
            <w:vAlign w:val="bottom"/>
            <w:gridSpan w:val="4"/>
          </w:tcPr>
          <w:p>
            <w:pPr>
              <w:jc w:val="right"/>
              <w:ind w:right="376"/>
              <w:spacing w:after="0"/>
              <w:rPr>
                <w:sz w:val="20"/>
                <w:szCs w:val="20"/>
                <w:color w:val="auto"/>
              </w:rPr>
            </w:pPr>
            <w:r>
              <w:rPr>
                <w:rFonts w:ascii="Arial" w:cs="Arial" w:eastAsia="Arial" w:hAnsi="Arial"/>
                <w:sz w:val="15"/>
                <w:szCs w:val="15"/>
                <w:b w:val="1"/>
                <w:bCs w:val="1"/>
                <w:color w:val="auto"/>
                <w:w w:val="99"/>
              </w:rPr>
              <w:t>Six months ended June 30,</w:t>
            </w:r>
          </w:p>
        </w:tc>
      </w:tr>
      <w:tr>
        <w:trPr>
          <w:trHeight w:val="200"/>
        </w:trPr>
        <w:tc>
          <w:tcPr>
            <w:tcW w:w="340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income</w:t>
            </w:r>
          </w:p>
        </w:tc>
        <w:tc>
          <w:tcPr>
            <w:tcW w:w="2500" w:type="dxa"/>
            <w:vAlign w:val="bottom"/>
            <w:gridSpan w:val="2"/>
            <w:shd w:val="clear" w:color="auto" w:fill="CCEEFF"/>
          </w:tcPr>
          <w:p>
            <w:pPr>
              <w:jc w:val="center"/>
              <w:ind w:left="18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w:t>
            </w: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5,223</w:t>
            </w:r>
          </w:p>
        </w:tc>
      </w:tr>
      <w:tr>
        <w:trPr>
          <w:trHeight w:val="219"/>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Realized losses, net</w:t>
            </w:r>
          </w:p>
        </w:tc>
        <w:tc>
          <w:tcPr>
            <w:tcW w:w="2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w:t>
            </w:r>
          </w:p>
        </w:tc>
      </w:tr>
      <w:tr>
        <w:trPr>
          <w:trHeight w:val="232"/>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500" w:type="dxa"/>
            <w:vAlign w:val="bottom"/>
            <w:gridSpan w:val="2"/>
            <w:shd w:val="clear" w:color="auto" w:fill="CCEEFF"/>
          </w:tcPr>
          <w:p>
            <w:pPr>
              <w:jc w:val="center"/>
              <w:ind w:left="18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4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2,569</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3,338</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4,944</w:t>
            </w:r>
          </w:p>
        </w:tc>
      </w:tr>
      <w:tr>
        <w:trPr>
          <w:trHeight w:val="20"/>
        </w:trPr>
        <w:tc>
          <w:tcPr>
            <w:tcW w:w="558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71"/>
        </w:trPr>
        <w:tc>
          <w:tcPr>
            <w:tcW w:w="6940" w:type="dxa"/>
            <w:vAlign w:val="bottom"/>
            <w:gridSpan w:val="5"/>
          </w:tcPr>
          <w:p>
            <w:pPr>
              <w:ind w:left="400"/>
              <w:spacing w:after="0"/>
              <w:rPr>
                <w:sz w:val="20"/>
                <w:szCs w:val="20"/>
                <w:color w:val="auto"/>
              </w:rPr>
            </w:pPr>
            <w:r>
              <w:rPr>
                <w:rFonts w:ascii="Arial" w:cs="Arial" w:eastAsia="Arial" w:hAnsi="Arial"/>
                <w:sz w:val="17"/>
                <w:szCs w:val="17"/>
                <w:color w:val="auto"/>
                <w:w w:val="92"/>
              </w:rPr>
              <w:t>Purchases and sales of investments in the perpetual care trusts are as follows (in thousands):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1"/>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7"/>
          </w:tcPr>
          <w:p>
            <w:pPr>
              <w:ind w:left="100"/>
              <w:spacing w:after="0"/>
              <w:rPr>
                <w:sz w:val="20"/>
                <w:szCs w:val="20"/>
                <w:color w:val="auto"/>
              </w:rPr>
            </w:pPr>
            <w:r>
              <w:rPr>
                <w:rFonts w:ascii="Arial" w:cs="Arial" w:eastAsia="Arial" w:hAnsi="Arial"/>
                <w:sz w:val="15"/>
                <w:szCs w:val="15"/>
                <w:b w:val="1"/>
                <w:bCs w:val="1"/>
                <w:color w:val="auto"/>
              </w:rPr>
              <w:t>Three months ended June 30,</w:t>
            </w:r>
          </w:p>
        </w:tc>
        <w:tc>
          <w:tcPr>
            <w:tcW w:w="300" w:type="dxa"/>
            <w:vAlign w:val="bottom"/>
          </w:tcPr>
          <w:p>
            <w:pPr>
              <w:spacing w:after="0"/>
              <w:rPr>
                <w:sz w:val="20"/>
                <w:szCs w:val="20"/>
                <w:color w:val="auto"/>
              </w:rPr>
            </w:pPr>
          </w:p>
        </w:tc>
        <w:tc>
          <w:tcPr>
            <w:tcW w:w="2400" w:type="dxa"/>
            <w:vAlign w:val="bottom"/>
            <w:gridSpan w:val="4"/>
          </w:tcPr>
          <w:p>
            <w:pPr>
              <w:jc w:val="right"/>
              <w:ind w:right="376"/>
              <w:spacing w:after="0"/>
              <w:rPr>
                <w:sz w:val="20"/>
                <w:szCs w:val="20"/>
                <w:color w:val="auto"/>
              </w:rPr>
            </w:pPr>
            <w:r>
              <w:rPr>
                <w:rFonts w:ascii="Arial" w:cs="Arial" w:eastAsia="Arial" w:hAnsi="Arial"/>
                <w:sz w:val="15"/>
                <w:szCs w:val="15"/>
                <w:b w:val="1"/>
                <w:bCs w:val="1"/>
                <w:color w:val="auto"/>
                <w:w w:val="99"/>
              </w:rPr>
              <w:t>Six months ended June 30,</w:t>
            </w:r>
          </w:p>
        </w:tc>
      </w:tr>
      <w:tr>
        <w:trPr>
          <w:trHeight w:val="200"/>
        </w:trPr>
        <w:tc>
          <w:tcPr>
            <w:tcW w:w="340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w:t>
            </w:r>
          </w:p>
        </w:tc>
        <w:tc>
          <w:tcPr>
            <w:tcW w:w="2500" w:type="dxa"/>
            <w:vAlign w:val="bottom"/>
            <w:gridSpan w:val="2"/>
            <w:shd w:val="clear" w:color="auto" w:fill="CCEEFF"/>
          </w:tcPr>
          <w:p>
            <w:pPr>
              <w:jc w:val="center"/>
              <w:ind w:left="18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(11,066)</w:t>
            </w: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(25,678)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(19,056)</w:t>
            </w:r>
          </w:p>
        </w:tc>
      </w:tr>
      <w:tr>
        <w:trPr>
          <w:trHeight w:val="218"/>
        </w:trPr>
        <w:tc>
          <w:tcPr>
            <w:tcW w:w="3400" w:type="dxa"/>
            <w:vAlign w:val="bottom"/>
          </w:tcPr>
          <w:p>
            <w:pPr>
              <w:ind w:left="20"/>
              <w:spacing w:after="0"/>
              <w:rPr>
                <w:sz w:val="20"/>
                <w:szCs w:val="20"/>
                <w:color w:val="auto"/>
              </w:rPr>
            </w:pPr>
            <w:r>
              <w:rPr>
                <w:rFonts w:ascii="Arial" w:cs="Arial" w:eastAsia="Arial" w:hAnsi="Arial"/>
                <w:sz w:val="17"/>
                <w:szCs w:val="17"/>
                <w:color w:val="auto"/>
              </w:rPr>
              <w:t>Sales</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13,307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22,152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19,263</w:t>
            </w:r>
          </w:p>
        </w:tc>
      </w:tr>
      <w:tr>
        <w:trPr>
          <w:trHeight w:val="813"/>
        </w:trPr>
        <w:tc>
          <w:tcPr>
            <w:tcW w:w="3400" w:type="dxa"/>
            <w:vAlign w:val="bottom"/>
          </w:tcPr>
          <w:p>
            <w:pPr>
              <w:spacing w:after="0"/>
              <w:rPr>
                <w:sz w:val="24"/>
                <w:szCs w:val="24"/>
                <w:color w:val="auto"/>
              </w:rPr>
            </w:pPr>
          </w:p>
        </w:tc>
        <w:tc>
          <w:tcPr>
            <w:tcW w:w="2500" w:type="dxa"/>
            <w:vAlign w:val="bottom"/>
            <w:gridSpan w:val="2"/>
          </w:tcPr>
          <w:p>
            <w:pPr>
              <w:jc w:val="center"/>
              <w:ind w:left="1874"/>
              <w:spacing w:after="0"/>
              <w:rPr>
                <w:sz w:val="20"/>
                <w:szCs w:val="20"/>
                <w:color w:val="auto"/>
              </w:rPr>
            </w:pPr>
            <w:r>
              <w:rPr>
                <w:rFonts w:ascii="Arial" w:cs="Arial" w:eastAsia="Arial" w:hAnsi="Arial"/>
                <w:sz w:val="17"/>
                <w:szCs w:val="17"/>
                <w:color w:val="auto"/>
                <w:w w:val="95"/>
              </w:rPr>
              <w:t>- 26 -</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1"/>
        </w:trPr>
        <w:tc>
          <w:tcPr>
            <w:tcW w:w="34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4" w:name="page25"/>
    <w:bookmarkEnd w:id="24"/>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RECEIVABLES FROM PRENEED FUNERAL TRUSTS</w:t>
      </w:r>
    </w:p>
    <w:p>
      <w:pPr>
        <w:spacing w:after="0" w:line="120"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5"/>
                <w:szCs w:val="15"/>
                <w:b w:val="1"/>
                <w:bCs w:val="1"/>
                <w:color w:val="auto"/>
              </w:rPr>
              <w:t>December 31, 2020</w:t>
            </w:r>
          </w:p>
        </w:tc>
        <w:tc>
          <w:tcPr>
            <w:tcW w:w="5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June 30, 2021</w:t>
            </w:r>
          </w:p>
        </w:tc>
      </w:tr>
      <w:tr>
        <w:trPr>
          <w:trHeight w:val="215"/>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Preneed trust funeral funds, at cost</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17,365</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18,308</w:t>
            </w:r>
          </w:p>
        </w:tc>
      </w:tr>
      <w:tr>
        <w:trPr>
          <w:trHeight w:val="21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contract cancellation</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w:t>
            </w: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Receivables from preneed funeral trusts, net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16,844</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17,758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following summary reflects the composition of the assets held in trust and controlled by third parties to satisfy our future obligations under preneed arrangements related to the preceding contracts at December 31, 2020 and June 30, 2021. The cost basis includes reinvested interest and dividends that have been earned on the trust assets. Fair value includes unrealized gains and losses on trust assets.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composition of the preneed funeral trust funds at June 30, 2021 is as follows (in thousands):</w:t>
      </w:r>
    </w:p>
    <w:p>
      <w:pPr>
        <w:spacing w:after="0" w:line="32" w:lineRule="exact"/>
        <w:rPr>
          <w:sz w:val="20"/>
          <w:szCs w:val="20"/>
          <w:color w:val="auto"/>
        </w:rPr>
      </w:pPr>
    </w:p>
    <w:tbl>
      <w:tblPr>
        <w:tblLayout w:type="fixed"/>
        <w:tblInd w:w="1420" w:type="dxa"/>
        <w:tblCellMar>
          <w:top w:w="0" w:type="dxa"/>
          <w:left w:w="0" w:type="dxa"/>
          <w:bottom w:w="0" w:type="dxa"/>
          <w:right w:w="0" w:type="dxa"/>
        </w:tblCellMar>
      </w:tblPr>
      <w:tr>
        <w:trPr>
          <w:trHeight w:val="172"/>
        </w:trPr>
        <w:tc>
          <w:tcPr>
            <w:tcW w:w="4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gridSpan w:val="2"/>
          </w:tcPr>
          <w:p>
            <w:pPr>
              <w:ind w:left="460"/>
              <w:spacing w:after="0"/>
              <w:rPr>
                <w:sz w:val="20"/>
                <w:szCs w:val="20"/>
                <w:color w:val="auto"/>
              </w:rPr>
            </w:pPr>
            <w:r>
              <w:rPr>
                <w:rFonts w:ascii="Arial" w:cs="Arial" w:eastAsia="Arial" w:hAnsi="Arial"/>
                <w:sz w:val="15"/>
                <w:szCs w:val="15"/>
                <w:b w:val="1"/>
                <w:bCs w:val="1"/>
                <w:color w:val="auto"/>
              </w:rPr>
              <w:t>Historical</w:t>
            </w:r>
          </w:p>
        </w:tc>
        <w:tc>
          <w:tcPr>
            <w:tcW w:w="740" w:type="dxa"/>
            <w:vAlign w:val="bottom"/>
          </w:tcPr>
          <w:p>
            <w:pPr>
              <w:spacing w:after="0"/>
              <w:rPr>
                <w:sz w:val="14"/>
                <w:szCs w:val="14"/>
                <w:color w:val="auto"/>
              </w:rPr>
            </w:pPr>
          </w:p>
        </w:tc>
        <w:tc>
          <w:tcPr>
            <w:tcW w:w="122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4"/>
        </w:trPr>
        <w:tc>
          <w:tcPr>
            <w:tcW w:w="4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Arial" w:cs="Arial" w:eastAsia="Arial" w:hAnsi="Arial"/>
                <w:sz w:val="15"/>
                <w:szCs w:val="15"/>
                <w:b w:val="1"/>
                <w:bCs w:val="1"/>
                <w:color w:val="auto"/>
              </w:rPr>
              <w:t>Cost Basis</w:t>
            </w:r>
          </w:p>
        </w:tc>
        <w:tc>
          <w:tcPr>
            <w:tcW w:w="7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4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Cash and cash equivalents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5,066</w:t>
            </w: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5,066</w:t>
            </w:r>
          </w:p>
        </w:tc>
        <w:tc>
          <w:tcPr>
            <w:tcW w:w="0" w:type="dxa"/>
            <w:vAlign w:val="bottom"/>
          </w:tcPr>
          <w:p>
            <w:pPr>
              <w:spacing w:after="0"/>
              <w:rPr>
                <w:sz w:val="1"/>
                <w:szCs w:val="1"/>
                <w:color w:val="auto"/>
              </w:rPr>
            </w:pPr>
          </w:p>
        </w:tc>
      </w:tr>
      <w:tr>
        <w:trPr>
          <w:trHeight w:val="244"/>
        </w:trPr>
        <w:tc>
          <w:tcPr>
            <w:tcW w:w="4640" w:type="dxa"/>
            <w:vAlign w:val="bottom"/>
          </w:tcPr>
          <w:p>
            <w:pPr>
              <w:ind w:left="400"/>
              <w:spacing w:after="0"/>
              <w:rPr>
                <w:sz w:val="20"/>
                <w:szCs w:val="20"/>
                <w:color w:val="auto"/>
              </w:rPr>
            </w:pPr>
            <w:r>
              <w:rPr>
                <w:rFonts w:ascii="Arial" w:cs="Arial" w:eastAsia="Arial" w:hAnsi="Arial"/>
                <w:sz w:val="17"/>
                <w:szCs w:val="17"/>
                <w:color w:val="auto"/>
              </w:rPr>
              <w:t>Fixed income investments</w:t>
            </w: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10,843</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10,843</w:t>
            </w:r>
          </w:p>
        </w:tc>
        <w:tc>
          <w:tcPr>
            <w:tcW w:w="0" w:type="dxa"/>
            <w:vAlign w:val="bottom"/>
          </w:tcPr>
          <w:p>
            <w:pPr>
              <w:spacing w:after="0"/>
              <w:rPr>
                <w:sz w:val="1"/>
                <w:szCs w:val="1"/>
                <w:color w:val="auto"/>
              </w:rPr>
            </w:pPr>
          </w:p>
        </w:tc>
      </w:tr>
      <w:tr>
        <w:trPr>
          <w:trHeight w:val="246"/>
        </w:trPr>
        <w:tc>
          <w:tcPr>
            <w:tcW w:w="4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Mutual funds and common stocks</w:t>
            </w:r>
          </w:p>
        </w:tc>
        <w:tc>
          <w:tcPr>
            <w:tcW w:w="5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2,508</w:t>
            </w: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tcPr>
          <w:p>
            <w:pPr>
              <w:ind w:left="400"/>
              <w:spacing w:after="0"/>
              <w:rPr>
                <w:sz w:val="20"/>
                <w:szCs w:val="20"/>
                <w:color w:val="auto"/>
              </w:rPr>
            </w:pPr>
            <w:r>
              <w:rPr>
                <w:rFonts w:ascii="Arial" w:cs="Arial" w:eastAsia="Arial" w:hAnsi="Arial"/>
                <w:sz w:val="17"/>
                <w:szCs w:val="17"/>
                <w:color w:val="auto"/>
              </w:rPr>
              <w:t>Annuities</w:t>
            </w:r>
          </w:p>
        </w:tc>
        <w:tc>
          <w:tcPr>
            <w:tcW w:w="5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18,308</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18,422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composition of the preneed funeral trust funds at December 31, 2020 is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ind w:left="280"/>
              <w:spacing w:after="0"/>
              <w:rPr>
                <w:sz w:val="20"/>
                <w:szCs w:val="20"/>
                <w:color w:val="auto"/>
              </w:rPr>
            </w:pPr>
            <w:r>
              <w:rPr>
                <w:rFonts w:ascii="Arial" w:cs="Arial" w:eastAsia="Arial" w:hAnsi="Arial"/>
                <w:sz w:val="15"/>
                <w:szCs w:val="15"/>
                <w:b w:val="1"/>
                <w:bCs w:val="1"/>
                <w:color w:val="auto"/>
              </w:rPr>
              <w:t>Historical</w:t>
            </w:r>
          </w:p>
        </w:tc>
        <w:tc>
          <w:tcPr>
            <w:tcW w:w="360" w:type="dxa"/>
            <w:vAlign w:val="bottom"/>
          </w:tcPr>
          <w:p>
            <w:pPr>
              <w:spacing w:after="0"/>
              <w:rPr>
                <w:sz w:val="14"/>
                <w:szCs w:val="14"/>
                <w:color w:val="auto"/>
              </w:rPr>
            </w:pPr>
          </w:p>
        </w:tc>
        <w:tc>
          <w:tcPr>
            <w:tcW w:w="122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4"/>
        </w:trPr>
        <w:tc>
          <w:tcPr>
            <w:tcW w:w="5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ind w:left="280"/>
              <w:spacing w:after="0"/>
              <w:rPr>
                <w:sz w:val="20"/>
                <w:szCs w:val="20"/>
                <w:color w:val="auto"/>
              </w:rPr>
            </w:pPr>
            <w:r>
              <w:rPr>
                <w:rFonts w:ascii="Arial" w:cs="Arial" w:eastAsia="Arial" w:hAnsi="Arial"/>
                <w:sz w:val="15"/>
                <w:szCs w:val="15"/>
                <w:b w:val="1"/>
                <w:bCs w:val="1"/>
                <w:color w:val="auto"/>
              </w:rPr>
              <w:t>Cost Basis</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4,604</w:t>
            </w:r>
          </w:p>
        </w:tc>
        <w:tc>
          <w:tcPr>
            <w:tcW w:w="2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4,604</w:t>
            </w:r>
          </w:p>
        </w:tc>
        <w:tc>
          <w:tcPr>
            <w:tcW w:w="0" w:type="dxa"/>
            <w:vAlign w:val="bottom"/>
          </w:tcPr>
          <w:p>
            <w:pPr>
              <w:spacing w:after="0"/>
              <w:rPr>
                <w:sz w:val="1"/>
                <w:szCs w:val="1"/>
                <w:color w:val="auto"/>
              </w:rPr>
            </w:pPr>
          </w:p>
        </w:tc>
      </w:tr>
      <w:tr>
        <w:trPr>
          <w:trHeight w:val="244"/>
        </w:trPr>
        <w:tc>
          <w:tcPr>
            <w:tcW w:w="5400" w:type="dxa"/>
            <w:vAlign w:val="bottom"/>
          </w:tcPr>
          <w:p>
            <w:pPr>
              <w:ind w:left="20"/>
              <w:spacing w:after="0"/>
              <w:rPr>
                <w:sz w:val="20"/>
                <w:szCs w:val="20"/>
                <w:color w:val="auto"/>
              </w:rPr>
            </w:pPr>
            <w:r>
              <w:rPr>
                <w:rFonts w:ascii="Arial" w:cs="Arial" w:eastAsia="Arial" w:hAnsi="Arial"/>
                <w:sz w:val="17"/>
                <w:szCs w:val="17"/>
                <w:color w:val="auto"/>
              </w:rPr>
              <w:t>Fixed income investments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10,355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10,355</w:t>
            </w:r>
          </w:p>
        </w:tc>
        <w:tc>
          <w:tcPr>
            <w:tcW w:w="0" w:type="dxa"/>
            <w:vAlign w:val="bottom"/>
          </w:tcPr>
          <w:p>
            <w:pPr>
              <w:spacing w:after="0"/>
              <w:rPr>
                <w:sz w:val="1"/>
                <w:szCs w:val="1"/>
                <w:color w:val="auto"/>
              </w:rPr>
            </w:pPr>
          </w:p>
        </w:tc>
      </w:tr>
      <w:tr>
        <w:trPr>
          <w:trHeight w:val="246"/>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 and common stocks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2,402</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2,569</w:t>
            </w: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Annuities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17,365</w:t>
            </w: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17,532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ind w:left="620" w:hanging="617"/>
        <w:spacing w:after="0"/>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20"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We evaluated our financial assets and liabilities for those financial assets and liabilities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New Credit Facility (as defined in Note 10) and New Senior Notes (as defined in Note 11) are classified within Level 2 of the Fair Value Measurements hierarchy.</w:t>
      </w:r>
    </w:p>
    <w:p>
      <w:pPr>
        <w:spacing w:after="0" w:line="63"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At June 30, 2021, the carrying value and fair value of our New Credit Facility was $60.5 million. We believe that our New Credit Facility bears interest at a rate that approximates prevailing market rates for instruments with similar characteristics and therefore, the carrying value of our New Credit Facility approximates fair value. We estimate the fair value of our acquisition debt utilizing an income approach, which uses a present value calculation to discount payments based on current market rates as of the reporting date. At June 30, 2021, the carrying value of our acquisition debt was $5.2 million, which approximated its fair value. The fair value of our New Senior Notes was approximately $399.5 million at June 30, 2021 based on the last traded or broker quoted price.</w:t>
      </w:r>
    </w:p>
    <w:p>
      <w:pPr>
        <w:spacing w:after="0" w:line="81"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At December 31, 2020 and June 30, 2021, we did not have any assets that had fair values determined by Level 3 inputs and no liabilities measured at fair value.</w:t>
      </w:r>
    </w:p>
    <w:p>
      <w:pPr>
        <w:spacing w:after="0" w:line="60" w:lineRule="exact"/>
        <w:rPr>
          <w:sz w:val="20"/>
          <w:szCs w:val="20"/>
          <w:color w:val="auto"/>
        </w:rPr>
      </w:pPr>
    </w:p>
    <w:p>
      <w:pPr>
        <w:jc w:val="both"/>
        <w:ind w:firstLine="387"/>
        <w:spacing w:after="0" w:line="308" w:lineRule="auto"/>
        <w:rPr>
          <w:sz w:val="20"/>
          <w:szCs w:val="20"/>
          <w:color w:val="auto"/>
        </w:rPr>
      </w:pPr>
      <w:r>
        <w:rPr>
          <w:rFonts w:ascii="Arial" w:cs="Arial" w:eastAsia="Arial" w:hAnsi="Arial"/>
          <w:sz w:val="15"/>
          <w:szCs w:val="15"/>
          <w:color w:val="auto"/>
        </w:rPr>
        <w:t>We identified investments in fixed income securities, common stock and mutual funds presented within the preneed and perpetual care trust investments categories on our Consolidated Balance Sheet as having met the criteria for fair value measurement. Our receivables from preneed funeral trusts represent assets in trusts which are controlled and operated by third parties in which we do not have a controlling financial interest (less than 50%) in the trust assets. We account for these investments at cost. See Notes 6 and 7 to our Consolidated Financial Statements herein for the fair value hierarchy levels of our trust investments.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3"/>
        </w:trPr>
        <w:tc>
          <w:tcPr>
            <w:tcW w:w="260" w:type="dxa"/>
            <w:vAlign w:val="bottom"/>
          </w:tcPr>
          <w:p>
            <w:pPr>
              <w:spacing w:after="0"/>
              <w:rPr>
                <w:sz w:val="20"/>
                <w:szCs w:val="20"/>
                <w:color w:val="auto"/>
              </w:rPr>
            </w:pPr>
            <w:r>
              <w:rPr>
                <w:rFonts w:ascii="Arial" w:cs="Arial" w:eastAsia="Arial" w:hAnsi="Arial"/>
                <w:sz w:val="17"/>
                <w:szCs w:val="17"/>
                <w:b w:val="1"/>
                <w:bCs w:val="1"/>
                <w:color w:val="auto"/>
              </w:rPr>
              <w:t>9.</w:t>
            </w:r>
          </w:p>
        </w:tc>
        <w:tc>
          <w:tcPr>
            <w:tcW w:w="7080" w:type="dxa"/>
            <w:vAlign w:val="bottom"/>
          </w:tcPr>
          <w:p>
            <w:pPr>
              <w:ind w:left="360"/>
              <w:spacing w:after="0"/>
              <w:rPr>
                <w:sz w:val="20"/>
                <w:szCs w:val="20"/>
                <w:color w:val="auto"/>
              </w:rPr>
            </w:pPr>
            <w:r>
              <w:rPr>
                <w:rFonts w:ascii="Arial" w:cs="Arial" w:eastAsia="Arial" w:hAnsi="Arial"/>
                <w:sz w:val="17"/>
                <w:szCs w:val="17"/>
                <w:b w:val="1"/>
                <w:bCs w:val="1"/>
                <w:color w:val="auto"/>
              </w:rPr>
              <w:t>INTANGIBLE AND OTHER NON-CURRENT ASSETS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10"/>
        </w:trPr>
        <w:tc>
          <w:tcPr>
            <w:tcW w:w="260" w:type="dxa"/>
            <w:vAlign w:val="bottom"/>
          </w:tcPr>
          <w:p>
            <w:pPr>
              <w:spacing w:after="0"/>
              <w:rPr>
                <w:sz w:val="24"/>
                <w:szCs w:val="24"/>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Intangible and other non-current assets are as follows (in thousands):</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1"/>
        </w:trPr>
        <w:tc>
          <w:tcPr>
            <w:tcW w:w="2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ind w:left="220"/>
              <w:spacing w:after="0"/>
              <w:rPr>
                <w:sz w:val="20"/>
                <w:szCs w:val="20"/>
                <w:color w:val="auto"/>
              </w:rPr>
            </w:pPr>
            <w:r>
              <w:rPr>
                <w:rFonts w:ascii="Arial" w:cs="Arial" w:eastAsia="Arial" w:hAnsi="Arial"/>
                <w:sz w:val="15"/>
                <w:szCs w:val="15"/>
                <w:b w:val="1"/>
                <w:bCs w:val="1"/>
                <w:color w:val="auto"/>
              </w:rPr>
              <w:t>December 31, 2020</w:t>
            </w:r>
          </w:p>
        </w:tc>
        <w:tc>
          <w:tcPr>
            <w:tcW w:w="5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June 30, 2021</w:t>
            </w:r>
          </w:p>
        </w:tc>
      </w:tr>
      <w:tr>
        <w:trPr>
          <w:trHeight w:val="215"/>
        </w:trPr>
        <w:tc>
          <w:tcPr>
            <w:tcW w:w="7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Tradenames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23,565</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23,565</w:t>
            </w:r>
          </w:p>
        </w:tc>
      </w:tr>
      <w:tr>
        <w:trPr>
          <w:trHeight w:val="219"/>
        </w:trPr>
        <w:tc>
          <w:tcPr>
            <w:tcW w:w="7340" w:type="dxa"/>
            <w:vAlign w:val="bottom"/>
            <w:gridSpan w:val="2"/>
          </w:tcPr>
          <w:p>
            <w:pPr>
              <w:ind w:left="20"/>
              <w:spacing w:after="0"/>
              <w:rPr>
                <w:sz w:val="20"/>
                <w:szCs w:val="20"/>
                <w:color w:val="auto"/>
              </w:rPr>
            </w:pPr>
            <w:r>
              <w:rPr>
                <w:rFonts w:ascii="Arial" w:cs="Arial" w:eastAsia="Arial" w:hAnsi="Arial"/>
                <w:sz w:val="17"/>
                <w:szCs w:val="17"/>
                <w:color w:val="auto"/>
                <w:w w:val="92"/>
              </w:rPr>
              <w:t>Prepaid agreements not-to-compete, net of accumulated amortization of $3,193 and $3,530, respectively</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2,785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2,515</w:t>
            </w:r>
          </w:p>
        </w:tc>
      </w:tr>
      <w:tr>
        <w:trPr>
          <w:trHeight w:val="169"/>
        </w:trPr>
        <w:tc>
          <w:tcPr>
            <w:tcW w:w="73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7"/>
                <w:szCs w:val="17"/>
                <w:color w:val="auto"/>
                <w:w w:val="94"/>
              </w:rPr>
              <w:t>Capitalized commissions on preneed contracts, net of accumulated amortization of $1,594 and $1,902,</w:t>
            </w: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3,141</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3,384</w:t>
            </w:r>
          </w:p>
        </w:tc>
      </w:tr>
      <w:tr>
        <w:trPr>
          <w:trHeight w:val="21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respectively</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Intangible and other non-current assets,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29,542</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29,464</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Tradenames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tradenames have indefinite lives and therefore are not amortized.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Prepaid Agreements</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Prepaid agreements not-to-compete are amortized over the term of the respective agreements, ranging generally from one to ten years. Amortization expense was $166,000 and $169,000 for the three months ended June 30, 2020 and 2021, respectively and $353,000 and $337,000 for the six months ended June 30, 2020 </w:t>
      </w:r>
      <w:r>
        <w:rPr>
          <w:rFonts w:ascii="Arial" w:cs="Arial" w:eastAsia="Arial" w:hAnsi="Arial"/>
          <w:sz w:val="15"/>
          <w:szCs w:val="15"/>
          <w:color w:val="auto"/>
        </w:rPr>
        <w:t xml:space="preserve">and </w:t>
      </w:r>
      <w:r>
        <w:rPr>
          <w:rFonts w:ascii="Arial" w:cs="Arial" w:eastAsia="Arial" w:hAnsi="Arial"/>
          <w:sz w:val="17"/>
          <w:szCs w:val="17"/>
          <w:color w:val="auto"/>
        </w:rPr>
        <w:t>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Capitalized Commissions</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 xml:space="preserve">We capitalize our selling costs related to preneed cemetery merchandise and services and preneed funeral trust contracts. These costs are amortized on a straight-line basis over the average maturity period for our preneed cemetery merchandise and services contracts and preneed funeral trust contracts, of eight and ten years, respectively. Amortization expense was $144,000 and $156,000 for the three months ended June 30, 2020 and 2021, respectively and $285,000 and $308,000 for the six months ended June 30, 2020 </w:t>
      </w:r>
      <w:r>
        <w:rPr>
          <w:rFonts w:ascii="Arial" w:cs="Arial" w:eastAsia="Arial" w:hAnsi="Arial"/>
          <w:sz w:val="15"/>
          <w:szCs w:val="15"/>
          <w:color w:val="auto"/>
        </w:rPr>
        <w:t>and</w:t>
      </w:r>
      <w:r>
        <w:rPr>
          <w:rFonts w:ascii="Arial" w:cs="Arial" w:eastAsia="Arial" w:hAnsi="Arial"/>
          <w:sz w:val="17"/>
          <w:szCs w:val="17"/>
          <w:color w:val="auto"/>
        </w:rPr>
        <w:t xml:space="preserve"> 2021, respectively.</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aggregate amortization expense for our non-compete agreements and capitalized commissions as of June 30, 2021 is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Prepaid Agreements</w:t>
            </w:r>
          </w:p>
        </w:tc>
        <w:tc>
          <w:tcPr>
            <w:tcW w:w="4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Capitalized</w:t>
            </w:r>
          </w:p>
        </w:tc>
        <w:tc>
          <w:tcPr>
            <w:tcW w:w="0" w:type="dxa"/>
            <w:vAlign w:val="bottom"/>
          </w:tcPr>
          <w:p>
            <w:pPr>
              <w:spacing w:after="0"/>
              <w:rPr>
                <w:sz w:val="1"/>
                <w:szCs w:val="1"/>
                <w:color w:val="auto"/>
              </w:rPr>
            </w:pPr>
          </w:p>
        </w:tc>
      </w:tr>
      <w:tr>
        <w:trPr>
          <w:trHeight w:val="219"/>
        </w:trPr>
        <w:tc>
          <w:tcPr>
            <w:tcW w:w="7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Commissions</w:t>
            </w:r>
          </w:p>
        </w:tc>
        <w:tc>
          <w:tcPr>
            <w:tcW w:w="0" w:type="dxa"/>
            <w:vAlign w:val="bottom"/>
          </w:tcPr>
          <w:p>
            <w:pPr>
              <w:spacing w:after="0"/>
              <w:rPr>
                <w:sz w:val="1"/>
                <w:szCs w:val="1"/>
                <w:color w:val="auto"/>
              </w:rPr>
            </w:pPr>
          </w:p>
        </w:tc>
      </w:tr>
      <w:tr>
        <w:trPr>
          <w:trHeight w:val="199"/>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Years ending December 31,</w:t>
            </w:r>
          </w:p>
        </w:tc>
        <w:tc>
          <w:tcPr>
            <w:tcW w:w="2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20" w:type="dxa"/>
            <w:vAlign w:val="bottom"/>
          </w:tcPr>
          <w:p>
            <w:pPr>
              <w:ind w:left="120"/>
              <w:spacing w:after="0"/>
              <w:rPr>
                <w:sz w:val="20"/>
                <w:szCs w:val="20"/>
                <w:color w:val="auto"/>
              </w:rPr>
            </w:pPr>
            <w:r>
              <w:rPr>
                <w:rFonts w:ascii="Arial" w:cs="Arial" w:eastAsia="Arial" w:hAnsi="Arial"/>
                <w:sz w:val="17"/>
                <w:szCs w:val="17"/>
                <w:color w:val="auto"/>
              </w:rPr>
              <w:t>Remainder of 2021</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298</w:t>
            </w:r>
          </w:p>
        </w:tc>
        <w:tc>
          <w:tcPr>
            <w:tcW w:w="24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2022</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19"/>
        </w:trPr>
        <w:tc>
          <w:tcPr>
            <w:tcW w:w="7420" w:type="dxa"/>
            <w:vAlign w:val="bottom"/>
          </w:tcPr>
          <w:p>
            <w:pPr>
              <w:ind w:left="1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446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2024</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19"/>
        </w:trPr>
        <w:tc>
          <w:tcPr>
            <w:tcW w:w="7420" w:type="dxa"/>
            <w:vAlign w:val="bottom"/>
          </w:tcPr>
          <w:p>
            <w:pPr>
              <w:ind w:left="120"/>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373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7"/>
                <w:szCs w:val="17"/>
                <w:color w:val="auto"/>
              </w:rPr>
              <w:t>Total amortization expense</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2,515</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620" w:hanging="617"/>
        <w:spacing w:after="0"/>
        <w:tabs>
          <w:tab w:leader="none" w:pos="6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CREDIT FACILITY AND ACQUISITION DEBT</w:t>
      </w:r>
    </w:p>
    <w:p>
      <w:pPr>
        <w:spacing w:after="0" w:line="12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At December 31, 2020, our senior secured revolving credit facility (the “Former Credit Facility”) was comprised of: (i) a $190.0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Former Credit Facility will occur on May 31, 2023.</w:t>
      </w:r>
    </w:p>
    <w:p>
      <w:pPr>
        <w:spacing w:after="0" w:line="76"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On May 13, 2021, in connection with the issuance of the New Senior Notes (defined in Note 11), we entered into an amended and restated $150.0 million senior secured revolving credit facility (the “New Credit Facility”) with the New Credit Facility Subsidiary Guarantors (as defined below), the financial institutions party thereto, as lenders, and Bank of America, N.A., as administrative agent. We incurred $0.8 million in transactions costs related to the New Credit Facility, which were capitalized and will be amortized over the remaining term of the related debt using the straight-line method.</w:t>
      </w:r>
    </w:p>
    <w:p>
      <w:pPr>
        <w:spacing w:after="0" w:line="6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On May 13, 2021, we used approximately $21.4 million of the availability under the New Credit Facility to repay the outstanding balances under our Former Credit Facility and all commitments thereunder were terminated. In connection with the repayment in full of all amounts due thereunder, the Former Credit Facility was retired and $2.1 million of letters of credit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26" w:name="page27"/>
    <w:bookmarkEnd w:id="26"/>
    <w:p>
      <w:pPr>
        <w:jc w:val="both"/>
        <w:spacing w:after="0" w:line="266" w:lineRule="auto"/>
        <w:rPr>
          <w:sz w:val="20"/>
          <w:szCs w:val="20"/>
          <w:color w:val="auto"/>
        </w:rPr>
      </w:pPr>
      <w:r>
        <w:rPr>
          <w:rFonts w:ascii="Arial" w:cs="Arial" w:eastAsia="Arial" w:hAnsi="Arial"/>
          <w:sz w:val="17"/>
          <w:szCs w:val="17"/>
          <w:color w:val="auto"/>
        </w:rPr>
        <w:t xml:space="preserve">previously issued under the Former Credit Facility were deemed issued under (and remain outstanding under) the New Credit Facility. In connection with the termination of the Former Credit Facility, for the three and six months ended June 30, 2021, we recognized a loss on the write-off of $0.1 million in unamortized debt issuance costs, which was recorded in </w:t>
      </w:r>
      <w:r>
        <w:rPr>
          <w:rFonts w:ascii="Arial" w:cs="Arial" w:eastAsia="Arial" w:hAnsi="Arial"/>
          <w:sz w:val="17"/>
          <w:szCs w:val="17"/>
          <w:i w:val="1"/>
          <w:iCs w:val="1"/>
          <w:color w:val="auto"/>
        </w:rPr>
        <w:t>Net loss on extinguishment of debt</w:t>
      </w:r>
      <w:r>
        <w:rPr>
          <w:rFonts w:ascii="Arial" w:cs="Arial" w:eastAsia="Arial" w:hAnsi="Arial"/>
          <w:sz w:val="17"/>
          <w:szCs w:val="17"/>
          <w:color w:val="auto"/>
        </w:rPr>
        <w:t>.</w:t>
      </w:r>
    </w:p>
    <w:p>
      <w:pPr>
        <w:spacing w:after="0" w:line="73"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Immediately following the issuance of the New Senior Notes, we had outstanding borrowings under the New Credit Facility of $58.8 million and $89.1 million available for additional borrowings after giving effect to the $2.1 million of outstanding letters of credit.</w:t>
      </w:r>
    </w:p>
    <w:p>
      <w:pPr>
        <w:spacing w:after="0" w:line="60"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Our obligations under the New Credit Facility are unconditionally guaranteed on a joint and several basis by the same subsidiaries which guarantee the New Senior Notes and certain of our subsequently acquired or organized domestic subsidiaries (collectively, the “Subsidiary Guarantors”). The New Credit Facility allows for future increases in the facility size in the form of increased revolving commitments or new incremental term loans by an additional amount of up to $75.0 million in the aggregate. The final maturity of the New Credit Facility will occur on May 13, 2026.</w:t>
      </w:r>
    </w:p>
    <w:p>
      <w:pPr>
        <w:spacing w:after="0" w:line="6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New Credit Facility is secured by a first-priority perfected security interest in and lien on substantially all of the Company’s personal property assets and those of the Subsidiary Guarantors. In addition, the New Credit Facility includes provisions which require the Company and the Subsidiary Guarantors, upon the occurrence of an event of default or in the event the Company’s actual Total Leverage Ratio is not at least 0.25 less than the required Total Leverage Ratio covenant level under the New Credit Facility, to grant additional liens on real property assets accounting for no less than 50% of the Company’s and the Subsidiary Guarantors’ funeral operations if requested by the administrative agent.</w:t>
      </w:r>
    </w:p>
    <w:p>
      <w:pPr>
        <w:spacing w:after="0" w:line="7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New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3"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In addition, the New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June 30, 2021, we were subject to the following financial covenants under our New Credit Facility: (A) a Total Leverage Ratio not to exceed 5.00 to 1.00 and (B) a Fixed Charge Coverage Ratio (as defined in the New Credit Facility) of not less than 1.20 to 1.00 as of the end of any period of four consecutive fiscal quarters. These financial maintenance covenants are calculated for the Company and its subsidiaries on a consolidated basis.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were in compliance with all of the covenants contained in our New Credit Facility as of June 30, 2021.</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Credit Facility and Acquisition debt consisted of the following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ind w:left="220"/>
              <w:spacing w:after="0"/>
              <w:rPr>
                <w:sz w:val="20"/>
                <w:szCs w:val="20"/>
                <w:color w:val="auto"/>
              </w:rPr>
            </w:pPr>
            <w:r>
              <w:rPr>
                <w:rFonts w:ascii="Arial" w:cs="Arial" w:eastAsia="Arial" w:hAnsi="Arial"/>
                <w:sz w:val="15"/>
                <w:szCs w:val="15"/>
                <w:b w:val="1"/>
                <w:bCs w:val="1"/>
                <w:color w:val="auto"/>
              </w:rPr>
              <w:t>December 31, 2020</w:t>
            </w:r>
          </w:p>
        </w:tc>
        <w:tc>
          <w:tcPr>
            <w:tcW w:w="4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June 30, 2021</w:t>
            </w:r>
          </w:p>
        </w:tc>
      </w:tr>
      <w:tr>
        <w:trPr>
          <w:trHeight w:val="215"/>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Credit Facility</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47,200</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60,500</w:t>
            </w:r>
          </w:p>
        </w:tc>
      </w:tr>
      <w:tr>
        <w:trPr>
          <w:trHeight w:val="21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Debt issuance costs, net of accumulated amortization of $819 and $1,161, respectively</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(1,563)</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Credit Facility</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46,064</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58,937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7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debt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5,509</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5,215</w:t>
            </w:r>
          </w:p>
        </w:tc>
      </w:tr>
      <w:tr>
        <w:trPr>
          <w:trHeight w:val="21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acquisition debt, net of current portion</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4,482</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At June 30, 2021, we had outstanding borrowings under the New Credit Facility of $60.5 million. We also had one letter of credit for $2.1 million outstanding under the New Credit Facility, which will expire on November 25, 2021. This letter of credit is expected to automatically renew annually and secures our obligations under our various self-insured policies. At June 30, 2021, we had $87.4 million of availability under the New Credit Facility.</w:t>
      </w:r>
    </w:p>
    <w:p>
      <w:pPr>
        <w:spacing w:after="0" w:line="5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Outstanding borrowings under our New Credit Facility bear interest at either a prime rate or a LIBOR rate, plus an applicable margin based upon our leverage ratio. At June 30, 2021, the prime rate margin was equivalent to 0.75% and the LIBOR rate margin was 1.75%. The weighted average interest rate on our New Credit Facility was 2.5% and 2.8% and for the three and six months ended June 30, 2021, respectively. The weighted average interest rate on our Former Credit Facility was 3.6% and 3.9% for the three and six months ended June 30, 2020, respectively.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7" w:name="page28"/>
    <w:bookmarkEnd w:id="27"/>
    <w:p>
      <w:pPr>
        <w:ind w:left="400"/>
        <w:spacing w:after="0"/>
        <w:rPr>
          <w:sz w:val="20"/>
          <w:szCs w:val="20"/>
          <w:color w:val="auto"/>
        </w:rPr>
      </w:pPr>
      <w:r>
        <w:rPr>
          <w:rFonts w:ascii="Arial" w:cs="Arial" w:eastAsia="Arial" w:hAnsi="Arial"/>
          <w:sz w:val="17"/>
          <w:szCs w:val="17"/>
          <w:color w:val="auto"/>
        </w:rPr>
        <w:t>The interest expense and amortization of debt issuance costs related to our Credit Facility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9"/>
              </w:rPr>
              <w:t>Three months ended June 30,</w:t>
            </w:r>
          </w:p>
        </w:tc>
        <w:tc>
          <w:tcPr>
            <w:tcW w:w="3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9"/>
              </w:rPr>
              <w:t>Six months ended June 30,</w:t>
            </w:r>
          </w:p>
        </w:tc>
        <w:tc>
          <w:tcPr>
            <w:tcW w:w="400" w:type="dxa"/>
            <w:vAlign w:val="bottom"/>
            <w:tcBorders>
              <w:bottom w:val="single" w:sz="8" w:color="auto"/>
            </w:tcBorders>
          </w:tcPr>
          <w:p>
            <w:pPr>
              <w:spacing w:after="0"/>
              <w:rPr>
                <w:sz w:val="17"/>
                <w:szCs w:val="17"/>
                <w:color w:val="auto"/>
              </w:rPr>
            </w:pPr>
          </w:p>
        </w:tc>
      </w:tr>
      <w:tr>
        <w:trPr>
          <w:trHeight w:val="200"/>
        </w:trPr>
        <w:tc>
          <w:tcPr>
            <w:tcW w:w="55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w w:val="89"/>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Credit Facility interest expense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7"/>
                <w:szCs w:val="17"/>
                <w:color w:val="auto"/>
              </w:rPr>
              <w:t>817</w:t>
            </w:r>
          </w:p>
        </w:tc>
      </w:tr>
      <w:tr>
        <w:trPr>
          <w:trHeight w:val="218"/>
        </w:trPr>
        <w:tc>
          <w:tcPr>
            <w:tcW w:w="5580" w:type="dxa"/>
            <w:vAlign w:val="bottom"/>
          </w:tcPr>
          <w:p>
            <w:pPr>
              <w:ind w:left="20"/>
              <w:spacing w:after="0"/>
              <w:rPr>
                <w:sz w:val="20"/>
                <w:szCs w:val="20"/>
                <w:color w:val="auto"/>
              </w:rPr>
            </w:pPr>
            <w:r>
              <w:rPr>
                <w:rFonts w:ascii="Arial" w:cs="Arial" w:eastAsia="Arial" w:hAnsi="Arial"/>
                <w:sz w:val="17"/>
                <w:szCs w:val="17"/>
                <w:color w:val="auto"/>
              </w:rPr>
              <w:t>Credit Facility amortization of debt issuance costs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7"/>
                <w:szCs w:val="17"/>
                <w:color w:val="auto"/>
              </w:rPr>
              <w:t>217</w:t>
            </w:r>
          </w:p>
        </w:tc>
      </w:tr>
    </w:tbl>
    <w:p>
      <w:pPr>
        <w:spacing w:after="0" w:line="183"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imputed interest expense related to our acquisition debt is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160"/>
              <w:spacing w:after="0"/>
              <w:rPr>
                <w:sz w:val="20"/>
                <w:szCs w:val="20"/>
                <w:color w:val="auto"/>
              </w:rPr>
            </w:pPr>
            <w:r>
              <w:rPr>
                <w:rFonts w:ascii="Arial" w:cs="Arial" w:eastAsia="Arial" w:hAnsi="Arial"/>
                <w:sz w:val="15"/>
                <w:szCs w:val="15"/>
                <w:b w:val="1"/>
                <w:bCs w:val="1"/>
                <w:color w:val="auto"/>
                <w:w w:val="93"/>
              </w:rPr>
              <w:t>Three months ended June 30,</w:t>
            </w:r>
          </w:p>
        </w:tc>
        <w:tc>
          <w:tcPr>
            <w:tcW w:w="3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180"/>
              <w:spacing w:after="0"/>
              <w:rPr>
                <w:sz w:val="20"/>
                <w:szCs w:val="20"/>
                <w:color w:val="auto"/>
              </w:rPr>
            </w:pPr>
            <w:r>
              <w:rPr>
                <w:rFonts w:ascii="Arial" w:cs="Arial" w:eastAsia="Arial" w:hAnsi="Arial"/>
                <w:sz w:val="15"/>
                <w:szCs w:val="15"/>
                <w:b w:val="1"/>
                <w:bCs w:val="1"/>
                <w:color w:val="auto"/>
                <w:w w:val="93"/>
              </w:rPr>
              <w:t>Six months ended June 30,</w:t>
            </w:r>
          </w:p>
        </w:tc>
        <w:tc>
          <w:tcPr>
            <w:tcW w:w="400" w:type="dxa"/>
            <w:vAlign w:val="bottom"/>
            <w:tcBorders>
              <w:bottom w:val="single" w:sz="8" w:color="auto"/>
            </w:tcBorders>
          </w:tcPr>
          <w:p>
            <w:pPr>
              <w:spacing w:after="0"/>
              <w:rPr>
                <w:sz w:val="17"/>
                <w:szCs w:val="17"/>
                <w:color w:val="auto"/>
              </w:rPr>
            </w:pPr>
          </w:p>
        </w:tc>
      </w:tr>
      <w:tr>
        <w:trPr>
          <w:trHeight w:val="200"/>
        </w:trPr>
        <w:tc>
          <w:tcPr>
            <w:tcW w:w="55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720"/>
              <w:spacing w:after="0"/>
              <w:rPr>
                <w:sz w:val="20"/>
                <w:szCs w:val="20"/>
                <w:color w:val="auto"/>
              </w:rPr>
            </w:pPr>
            <w:r>
              <w:rPr>
                <w:rFonts w:ascii="Arial" w:cs="Arial" w:eastAsia="Arial" w:hAnsi="Arial"/>
                <w:sz w:val="15"/>
                <w:szCs w:val="15"/>
                <w:b w:val="1"/>
                <w:bCs w:val="1"/>
                <w:color w:val="auto"/>
                <w:w w:val="95"/>
              </w:rPr>
              <w:t>2020</w:t>
            </w: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5"/>
                <w:szCs w:val="15"/>
                <w:b w:val="1"/>
                <w:bCs w:val="1"/>
                <w:color w:val="auto"/>
                <w:w w:val="95"/>
              </w:rPr>
              <w:t>2020</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w w:val="89"/>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debt imputed interest expense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124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251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7"/>
                <w:szCs w:val="17"/>
                <w:color w:val="auto"/>
              </w:rPr>
              <w:t>190</w:t>
            </w:r>
          </w:p>
        </w:tc>
      </w:tr>
    </w:tbl>
    <w:p>
      <w:pPr>
        <w:spacing w:after="0" w:line="317" w:lineRule="exact"/>
        <w:rPr>
          <w:sz w:val="20"/>
          <w:szCs w:val="20"/>
          <w:color w:val="auto"/>
        </w:rPr>
      </w:pPr>
    </w:p>
    <w:p>
      <w:pPr>
        <w:ind w:left="660" w:hanging="657"/>
        <w:spacing w:after="0"/>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SENIOR NOTES</w:t>
      </w:r>
    </w:p>
    <w:p>
      <w:pPr>
        <w:spacing w:after="0" w:line="120"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On May 13, 2021, we completed the issuance of $400.0 million in aggregate principal amount 4.25% Senior Notes due 2029 (the “New Senior Notes”) and related guarantees by the Subsidiary Guarantors in a private offering under Rule 144A and Regulation S of the Securities Act of 1933, as amended (the “Securities Act”).</w:t>
      </w:r>
    </w:p>
    <w:p>
      <w:pPr>
        <w:spacing w:after="0" w:line="73" w:lineRule="exact"/>
        <w:rPr>
          <w:sz w:val="20"/>
          <w:szCs w:val="20"/>
          <w:color w:val="auto"/>
        </w:rPr>
      </w:pPr>
    </w:p>
    <w:p>
      <w:pPr>
        <w:jc w:val="both"/>
        <w:ind w:firstLine="387"/>
        <w:spacing w:after="0" w:line="308" w:lineRule="auto"/>
        <w:rPr>
          <w:sz w:val="20"/>
          <w:szCs w:val="20"/>
          <w:color w:val="auto"/>
        </w:rPr>
      </w:pPr>
      <w:r>
        <w:rPr>
          <w:rFonts w:ascii="Arial" w:cs="Arial" w:eastAsia="Arial" w:hAnsi="Arial"/>
          <w:sz w:val="15"/>
          <w:szCs w:val="15"/>
          <w:color w:val="auto"/>
        </w:rPr>
        <w:t>We used the proceeds of $395.5 million from the offering of the New Senior Notes, which are net of a 1.125% debt discount of $4.5 million, together with cash on hand and borrowings under the New Credit Facility, to redeem all of our existing $400.0 million in aggregate principal amount 6.625% senior notes due 2026 (the “Original Senior Notes”). We paid a premium of $19.9 million to redeem the Original Senior Notes on June 1, 2021 at a redemption price of 104.97% of the principal amount thereof, plus accrued and unpaid interest of $13.25 million. We incurred $1.3 million in transaction costs related to the New Senior Notes.</w:t>
      </w:r>
    </w:p>
    <w:p>
      <w:pPr>
        <w:spacing w:after="0" w:line="44"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For the three and six months ended June 30, 2021, we recognized a net loss of $23.7 million related to the redemption of the Original Senior Notes, which was recorded in </w:t>
      </w:r>
      <w:r>
        <w:rPr>
          <w:rFonts w:ascii="Arial" w:cs="Arial" w:eastAsia="Arial" w:hAnsi="Arial"/>
          <w:sz w:val="16"/>
          <w:szCs w:val="16"/>
          <w:i w:val="1"/>
          <w:iCs w:val="1"/>
          <w:color w:val="auto"/>
        </w:rPr>
        <w:t>Net loss on extinguishment of debt</w:t>
      </w:r>
      <w:r>
        <w:rPr>
          <w:rFonts w:ascii="Arial" w:cs="Arial" w:eastAsia="Arial" w:hAnsi="Arial"/>
          <w:sz w:val="16"/>
          <w:szCs w:val="16"/>
          <w:color w:val="auto"/>
        </w:rPr>
        <w:t>. The loss is composed of the $19.9 million call premium, the write-off of $3.4 million in unamortized debt discount, the write-off of $1.8 million in unamortized debt issuance costs, offset by the write-off of $1.4 million in unamortized debt premium.</w:t>
      </w:r>
    </w:p>
    <w:p>
      <w:pPr>
        <w:spacing w:after="0" w:line="5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The New Senior Notes were issued under an indenture, dated as of May 13, 2021 (the “Indenture”), among the Company, the Subsidiary Guarantors and Wilmington Trust, National Association, as trustee (“Collateral Trustee”).</w:t>
      </w:r>
    </w:p>
    <w:p>
      <w:pPr>
        <w:spacing w:after="0" w:line="60"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The New Senior Notes bear interest at 4.25% per year. Interest on the New Senior Notes is payable semi-annually in arrears on May 15 and November 15 of each year, beginning on November 15, 2021. The New Senior Notes mature on May 15, 2029, unless earlier redeemed or purchased. The New Senior Notes are unsecured, senior obligations and are fully and unconditionally guaranteed on a senior unsecured basis, jointly and severally by each of the Subsidiary Guarantors.</w:t>
      </w:r>
    </w:p>
    <w:p>
      <w:pPr>
        <w:spacing w:after="0" w:line="37"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7"/>
          <w:szCs w:val="17"/>
          <w:color w:val="auto"/>
        </w:rPr>
        <w:t>We may redeem the New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New Senior Notes at the redemption prices described in the Indenture, plus accrued and unpaid interest, if any, to (but excluding) the date of redemption. In addition, before May 15, 2024, we may redeem up to 40% of the aggregate principal amount of the New Senior Notes outstanding using an amount of cash equal to the net proceeds of certain equity offerings, at a price of 104.25% of the principal amount of the New Senior Notes, plus accrued and unpaid interest, if any, to (but excluding) the date of redemption; provided that (1) at least 50% of the aggregate principal amount of the New Senior Notes (including any additional New Senior Notes) outstanding under the Indenture remain outstanding immediately after the occurrence of such redemption (unless all New Senior Notes are redeemed concurrently), and (2) each such redemption must occur within 180 days of the date of the consummation of any such equity offering.</w:t>
      </w:r>
    </w:p>
    <w:p>
      <w:pPr>
        <w:spacing w:after="0" w:line="85"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If a “change of control” occurs, holders of the New Senior Notes will have the option to require us to purchase for cash all or a portion of their New Senior Notes at a price equal to 101% of the principal amount of the New Senior Notes, plus accrued and unpaid interest. In addition, if we make certain asset sales and do not reinvest the proceeds thereof or use such proceeds to repay certain debt, we will be required to use the proceeds of such asset sales to make an offer to purchase the New Senior Notes at a price equal to 100% of the principal amount of the New Senior Notes, plus accrued and unpaid interest.</w:t>
      </w:r>
    </w:p>
    <w:p>
      <w:pPr>
        <w:spacing w:after="0" w:line="6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8" w:name="page29"/>
    <w:bookmarkEnd w:id="28"/>
    <w:p>
      <w:pPr>
        <w:jc w:val="both"/>
        <w:spacing w:after="0" w:line="280" w:lineRule="auto"/>
        <w:rPr>
          <w:sz w:val="20"/>
          <w:szCs w:val="20"/>
          <w:color w:val="auto"/>
        </w:rPr>
      </w:pPr>
      <w:r>
        <w:rPr>
          <w:rFonts w:ascii="Arial" w:cs="Arial" w:eastAsia="Arial" w:hAnsi="Arial"/>
          <w:sz w:val="17"/>
          <w:szCs w:val="17"/>
          <w:color w:val="auto"/>
        </w:rPr>
        <w:t>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60"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debt discount and the debt issuance costs are being amortized using the effective interest method over the remaining term of approximately 95 months of the New Senior Notes. The effective interest rate on the unamortized debt discount and the unamortized debt issuance costs for the New Senior Notes for both three and six months ended June 30, 2021 was 4.42% and 4.30%, respectively.</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carrying value of our Senior Notes is reflected on our Consolidated Balance Sheet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 2020</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June 30, 2021</w:t>
            </w:r>
          </w:p>
        </w:tc>
        <w:tc>
          <w:tcPr>
            <w:tcW w:w="0" w:type="dxa"/>
            <w:vAlign w:val="bottom"/>
          </w:tcPr>
          <w:p>
            <w:pPr>
              <w:spacing w:after="0"/>
              <w:rPr>
                <w:sz w:val="1"/>
                <w:szCs w:val="1"/>
                <w:color w:val="auto"/>
              </w:rPr>
            </w:pPr>
          </w:p>
        </w:tc>
      </w:tr>
      <w:tr>
        <w:trPr>
          <w:trHeight w:val="20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liabilities:</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00" w:type="dxa"/>
            <w:vAlign w:val="bottom"/>
          </w:tcPr>
          <w:p>
            <w:pPr>
              <w:ind w:left="220"/>
              <w:spacing w:after="0"/>
              <w:rPr>
                <w:sz w:val="20"/>
                <w:szCs w:val="20"/>
                <w:color w:val="auto"/>
              </w:rPr>
            </w:pPr>
            <w:r>
              <w:rPr>
                <w:rFonts w:ascii="Arial" w:cs="Arial" w:eastAsia="Arial" w:hAnsi="Arial"/>
                <w:sz w:val="17"/>
                <w:szCs w:val="17"/>
                <w:color w:val="auto"/>
              </w:rPr>
              <w:t>Principal amount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400,000</w:t>
            </w:r>
          </w:p>
        </w:tc>
        <w:tc>
          <w:tcPr>
            <w:tcW w:w="18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Debt premium, net of accumulated amortization of $221</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1,467</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5700" w:type="dxa"/>
            <w:vAlign w:val="bottom"/>
          </w:tcPr>
          <w:p>
            <w:pPr>
              <w:ind w:left="220"/>
              <w:spacing w:after="0" w:line="168" w:lineRule="exact"/>
              <w:rPr>
                <w:sz w:val="20"/>
                <w:szCs w:val="20"/>
                <w:color w:val="auto"/>
              </w:rPr>
            </w:pPr>
            <w:r>
              <w:rPr>
                <w:rFonts w:ascii="Arial" w:cs="Arial" w:eastAsia="Arial" w:hAnsi="Arial"/>
                <w:sz w:val="17"/>
                <w:szCs w:val="17"/>
                <w:color w:val="auto"/>
              </w:rPr>
              <w:t>Debt discount, net of accumulated amortization of $1,293 and $62,</w:t>
            </w: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(3,582)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(4,438)</w:t>
            </w:r>
          </w:p>
        </w:tc>
        <w:tc>
          <w:tcPr>
            <w:tcW w:w="0" w:type="dxa"/>
            <w:vAlign w:val="bottom"/>
          </w:tcPr>
          <w:p>
            <w:pPr>
              <w:spacing w:after="0"/>
              <w:rPr>
                <w:sz w:val="1"/>
                <w:szCs w:val="1"/>
                <w:color w:val="auto"/>
              </w:rPr>
            </w:pPr>
          </w:p>
        </w:tc>
      </w:tr>
      <w:tr>
        <w:trPr>
          <w:trHeight w:val="218"/>
        </w:trPr>
        <w:tc>
          <w:tcPr>
            <w:tcW w:w="5700" w:type="dxa"/>
            <w:vAlign w:val="bottom"/>
          </w:tcPr>
          <w:p>
            <w:pPr>
              <w:ind w:left="220"/>
              <w:spacing w:after="0"/>
              <w:rPr>
                <w:sz w:val="20"/>
                <w:szCs w:val="20"/>
                <w:color w:val="auto"/>
              </w:rPr>
            </w:pPr>
            <w:r>
              <w:rPr>
                <w:rFonts w:ascii="Arial" w:cs="Arial" w:eastAsia="Arial" w:hAnsi="Arial"/>
                <w:sz w:val="17"/>
                <w:szCs w:val="17"/>
                <w:color w:val="auto"/>
              </w:rPr>
              <w:t>respectively</w:t>
            </w: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Debt issuance costs, net of accumulated amortization of $496 and $18,</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0"/>
              <w:spacing w:after="0"/>
              <w:rPr>
                <w:sz w:val="20"/>
                <w:szCs w:val="20"/>
                <w:color w:val="auto"/>
              </w:rPr>
            </w:pPr>
            <w:r>
              <w:rPr>
                <w:rFonts w:ascii="Arial" w:cs="Arial" w:eastAsia="Arial" w:hAnsi="Arial"/>
                <w:sz w:val="17"/>
                <w:szCs w:val="17"/>
                <w:color w:val="auto"/>
              </w:rPr>
              <w:t>Carrying value of the Senior Notes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395,968</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394,303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 June 30, 2021, the fair value of the New Senior Notes, which are Level 2 measurements, was $399.5 million.</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interest expense and amortization of debt discount, debt premium and debt issuance costs related to our Senior Notes are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June 30,</w:t>
            </w:r>
          </w:p>
        </w:tc>
        <w:tc>
          <w:tcPr>
            <w:tcW w:w="300" w:type="dxa"/>
            <w:vAlign w:val="bottom"/>
          </w:tcPr>
          <w:p>
            <w:pPr>
              <w:spacing w:after="0"/>
              <w:rPr>
                <w:sz w:val="17"/>
                <w:szCs w:val="17"/>
                <w:color w:val="auto"/>
              </w:rPr>
            </w:pPr>
          </w:p>
        </w:tc>
        <w:tc>
          <w:tcPr>
            <w:tcW w:w="2400" w:type="dxa"/>
            <w:vAlign w:val="bottom"/>
            <w:gridSpan w:val="4"/>
          </w:tcPr>
          <w:p>
            <w:pPr>
              <w:jc w:val="right"/>
              <w:ind w:right="376"/>
              <w:spacing w:after="0"/>
              <w:rPr>
                <w:sz w:val="20"/>
                <w:szCs w:val="20"/>
                <w:color w:val="auto"/>
              </w:rPr>
            </w:pPr>
            <w:r>
              <w:rPr>
                <w:rFonts w:ascii="Arial" w:cs="Arial" w:eastAsia="Arial" w:hAnsi="Arial"/>
                <w:sz w:val="15"/>
                <w:szCs w:val="15"/>
                <w:b w:val="1"/>
                <w:bCs w:val="1"/>
                <w:color w:val="auto"/>
                <w:w w:val="99"/>
              </w:rPr>
              <w:t>Six months ended June 30,</w:t>
            </w:r>
          </w:p>
        </w:tc>
      </w:tr>
      <w:tr>
        <w:trPr>
          <w:trHeight w:val="200"/>
        </w:trPr>
        <w:tc>
          <w:tcPr>
            <w:tcW w:w="55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interest expense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13,267</w:t>
            </w: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color w:val="auto"/>
              </w:rPr>
              <w:t>Senior Notes amortization of debt discount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266</w:t>
            </w:r>
          </w:p>
        </w:tc>
      </w:tr>
      <w:tr>
        <w:trPr>
          <w:trHeight w:val="220"/>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amortization of debt premium</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18"/>
        </w:trPr>
        <w:tc>
          <w:tcPr>
            <w:tcW w:w="5580" w:type="dxa"/>
            <w:vAlign w:val="bottom"/>
          </w:tcPr>
          <w:p>
            <w:pPr>
              <w:ind w:left="20"/>
              <w:spacing w:after="0"/>
              <w:rPr>
                <w:sz w:val="20"/>
                <w:szCs w:val="20"/>
                <w:color w:val="auto"/>
              </w:rPr>
            </w:pPr>
            <w:r>
              <w:rPr>
                <w:rFonts w:ascii="Arial" w:cs="Arial" w:eastAsia="Arial" w:hAnsi="Arial"/>
                <w:sz w:val="17"/>
                <w:szCs w:val="17"/>
                <w:color w:val="auto"/>
              </w:rPr>
              <w:t>Senior Notes amortization of debt issuance costs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127</w:t>
            </w:r>
          </w:p>
        </w:tc>
      </w:tr>
    </w:tbl>
    <w:p>
      <w:pPr>
        <w:spacing w:after="0" w:line="144"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The effective interest rate on the unamortized debt issuance costs for the Original Senior Notes, issued in May 2018, for both three and six months ended June 30, 2021 was 6.87% and 6.69%, respectively. The effective interest rate on the unamortized debt premium and the unamortized debt issuance costs for the additional Original Senior Notes, issued in December 2019, for both three and six months ended June 30, 2021 was 6.20% and 6.88%, respectively.</w:t>
      </w:r>
    </w:p>
    <w:p>
      <w:pPr>
        <w:spacing w:after="0" w:line="202" w:lineRule="exact"/>
        <w:rPr>
          <w:sz w:val="20"/>
          <w:szCs w:val="20"/>
          <w:color w:val="auto"/>
        </w:rPr>
      </w:pPr>
    </w:p>
    <w:p>
      <w:pPr>
        <w:ind w:left="620" w:hanging="617"/>
        <w:spacing w:after="0"/>
        <w:tabs>
          <w:tab w:leader="none" w:pos="6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lease obligations consist of operating and finance leases related to real estate and equipment. The components of lease cost are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June 30,</w:t>
            </w:r>
          </w:p>
        </w:tc>
        <w:tc>
          <w:tcPr>
            <w:tcW w:w="30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5"/>
                <w:szCs w:val="15"/>
                <w:b w:val="1"/>
                <w:bCs w:val="1"/>
                <w:color w:val="auto"/>
                <w:w w:val="99"/>
              </w:rPr>
              <w:t>Six months ended June 30,</w:t>
            </w:r>
          </w:p>
        </w:tc>
        <w:tc>
          <w:tcPr>
            <w:tcW w:w="4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380" w:type="dxa"/>
            <w:vAlign w:val="bottom"/>
            <w:gridSpan w:val="2"/>
          </w:tcPr>
          <w:p>
            <w:pPr>
              <w:ind w:left="540"/>
              <w:spacing w:after="0"/>
              <w:rPr>
                <w:sz w:val="20"/>
                <w:szCs w:val="20"/>
                <w:color w:val="auto"/>
              </w:rPr>
            </w:pPr>
            <w:r>
              <w:rPr>
                <w:rFonts w:ascii="Arial" w:cs="Arial" w:eastAsia="Arial" w:hAnsi="Arial"/>
                <w:sz w:val="15"/>
                <w:szCs w:val="15"/>
                <w:b w:val="1"/>
                <w:bCs w:val="1"/>
                <w:color w:val="auto"/>
              </w:rPr>
              <w:t>Income Statement Classification</w:t>
            </w: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3200" w:type="dxa"/>
            <w:vAlign w:val="bottom"/>
            <w:tcBorders>
              <w:top w:val="single" w:sz="8" w:color="auto"/>
            </w:tcBorders>
            <w:shd w:val="clear" w:color="auto" w:fill="CCEEFF"/>
          </w:tcPr>
          <w:p>
            <w:pPr>
              <w:ind w:left="20"/>
              <w:spacing w:after="0" w:line="214" w:lineRule="exact"/>
              <w:rPr>
                <w:sz w:val="20"/>
                <w:szCs w:val="20"/>
                <w:color w:val="auto"/>
              </w:rPr>
            </w:pPr>
            <w:r>
              <w:rPr>
                <w:rFonts w:ascii="Arial" w:cs="Arial" w:eastAsia="Arial" w:hAnsi="Arial"/>
                <w:sz w:val="17"/>
                <w:szCs w:val="17"/>
                <w:color w:val="auto"/>
              </w:rPr>
              <w:t>Facilities and grounds expense</w:t>
            </w:r>
            <w:r>
              <w:rPr>
                <w:rFonts w:ascii="Arial" w:cs="Arial" w:eastAsia="Arial" w:hAnsi="Arial"/>
                <w:sz w:val="22"/>
                <w:szCs w:val="22"/>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1,924</w:t>
            </w:r>
          </w:p>
        </w:tc>
      </w:tr>
      <w:tr>
        <w:trPr>
          <w:trHeight w:val="219"/>
        </w:trPr>
        <w:tc>
          <w:tcPr>
            <w:tcW w:w="2220" w:type="dxa"/>
            <w:vAlign w:val="bottom"/>
          </w:tcPr>
          <w:p>
            <w:pPr>
              <w:ind w:left="20"/>
              <w:spacing w:after="0"/>
              <w:rPr>
                <w:sz w:val="20"/>
                <w:szCs w:val="20"/>
                <w:color w:val="auto"/>
              </w:rPr>
            </w:pPr>
            <w:r>
              <w:rPr>
                <w:rFonts w:ascii="Arial" w:cs="Arial" w:eastAsia="Arial" w:hAnsi="Arial"/>
                <w:sz w:val="17"/>
                <w:szCs w:val="17"/>
                <w:color w:val="auto"/>
              </w:rPr>
              <w:t>Short-term lease cost</w:t>
            </w:r>
          </w:p>
        </w:tc>
        <w:tc>
          <w:tcPr>
            <w:tcW w:w="33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Facilities and grounds expense</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w:t>
            </w:r>
          </w:p>
        </w:tc>
        <w:tc>
          <w:tcPr>
            <w:tcW w:w="33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Facilities and grounds expense</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142"/>
        </w:trPr>
        <w:tc>
          <w:tcPr>
            <w:tcW w:w="2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w:t>
            </w:r>
          </w:p>
        </w:tc>
        <w:tc>
          <w:tcPr>
            <w:tcW w:w="3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19"/>
        </w:trPr>
        <w:tc>
          <w:tcPr>
            <w:tcW w:w="5600" w:type="dxa"/>
            <w:vAlign w:val="bottom"/>
            <w:gridSpan w:val="3"/>
          </w:tcPr>
          <w:p>
            <w:pPr>
              <w:ind w:left="220"/>
              <w:spacing w:after="0" w:line="220" w:lineRule="exact"/>
              <w:rPr>
                <w:sz w:val="20"/>
                <w:szCs w:val="20"/>
                <w:color w:val="auto"/>
              </w:rPr>
            </w:pPr>
            <w:r>
              <w:rPr>
                <w:rFonts w:ascii="Arial" w:cs="Arial" w:eastAsia="Arial" w:hAnsi="Arial"/>
                <w:sz w:val="17"/>
                <w:szCs w:val="17"/>
                <w:color w:val="auto"/>
              </w:rPr>
              <w:t>Depreciation of leased assets Depreciation and amortization</w:t>
            </w:r>
            <w:r>
              <w:rPr>
                <w:rFonts w:ascii="Arial" w:cs="Arial" w:eastAsia="Arial" w:hAnsi="Arial"/>
                <w:sz w:val="22"/>
                <w:szCs w:val="22"/>
                <w:color w:val="auto"/>
                <w:vertAlign w:val="superscript"/>
              </w:rPr>
              <w:t>(2)</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109</w:t>
            </w:r>
          </w:p>
        </w:tc>
        <w:tc>
          <w:tcPr>
            <w:tcW w:w="16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109</w:t>
            </w:r>
          </w:p>
        </w:tc>
        <w:tc>
          <w:tcPr>
            <w:tcW w:w="16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218</w:t>
            </w:r>
          </w:p>
        </w:tc>
        <w:tc>
          <w:tcPr>
            <w:tcW w:w="160" w:type="dxa"/>
            <w:vAlign w:val="bottom"/>
          </w:tcPr>
          <w:p>
            <w:pPr>
              <w:spacing w:after="0"/>
              <w:rPr>
                <w:sz w:val="19"/>
                <w:szCs w:val="19"/>
                <w:color w:val="auto"/>
              </w:rPr>
            </w:pPr>
          </w:p>
        </w:tc>
        <w:tc>
          <w:tcPr>
            <w:tcW w:w="800" w:type="dxa"/>
            <w:vAlign w:val="bottom"/>
          </w:tcPr>
          <w:p>
            <w:pPr>
              <w:jc w:val="right"/>
              <w:ind w:right="614"/>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217</w:t>
            </w:r>
          </w:p>
        </w:tc>
      </w:tr>
      <w:tr>
        <w:trPr>
          <w:trHeight w:val="219"/>
        </w:trPr>
        <w:tc>
          <w:tcPr>
            <w:tcW w:w="2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on lease liabilities</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r>
      <w:tr>
        <w:trPr>
          <w:trHeight w:val="212"/>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finance lease cost</w:t>
            </w:r>
          </w:p>
        </w:tc>
        <w:tc>
          <w:tcPr>
            <w:tcW w:w="3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w:t>
            </w:r>
          </w:p>
        </w:tc>
      </w:tr>
      <w:tr>
        <w:trPr>
          <w:trHeight w:val="238"/>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cost</w:t>
            </w:r>
          </w:p>
        </w:tc>
        <w:tc>
          <w:tcPr>
            <w:tcW w:w="3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1,265</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2,476</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2,543</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131445</wp:posOffset>
            </wp:positionV>
            <wp:extent cx="7089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4" w:lineRule="exact"/>
        <w:rPr>
          <w:sz w:val="20"/>
          <w:szCs w:val="20"/>
          <w:color w:val="auto"/>
        </w:rPr>
      </w:pPr>
    </w:p>
    <w:p>
      <w:pPr>
        <w:ind w:left="460" w:hanging="40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Facilities and grounds expense is included within </w:t>
      </w:r>
      <w:r>
        <w:rPr>
          <w:rFonts w:ascii="Arial" w:cs="Arial" w:eastAsia="Arial" w:hAnsi="Arial"/>
          <w:sz w:val="15"/>
          <w:szCs w:val="15"/>
          <w:i w:val="1"/>
          <w:iCs w:val="1"/>
          <w:color w:val="auto"/>
        </w:rPr>
        <w:t>Cost of service</w:t>
      </w:r>
      <w:r>
        <w:rPr>
          <w:rFonts w:ascii="Arial" w:cs="Arial" w:eastAsia="Arial" w:hAnsi="Arial"/>
          <w:sz w:val="15"/>
          <w:szCs w:val="15"/>
          <w:color w:val="auto"/>
        </w:rPr>
        <w:t xml:space="preserve"> and </w:t>
      </w:r>
      <w:r>
        <w:rPr>
          <w:rFonts w:ascii="Arial" w:cs="Arial" w:eastAsia="Arial" w:hAnsi="Arial"/>
          <w:sz w:val="15"/>
          <w:szCs w:val="15"/>
          <w:i w:val="1"/>
          <w:iCs w:val="1"/>
          <w:color w:val="auto"/>
        </w:rPr>
        <w:t>General, administrative and other</w:t>
      </w:r>
      <w:r>
        <w:rPr>
          <w:rFonts w:ascii="Arial" w:cs="Arial" w:eastAsia="Arial" w:hAnsi="Arial"/>
          <w:sz w:val="15"/>
          <w:szCs w:val="15"/>
          <w:color w:val="auto"/>
        </w:rPr>
        <w:t xml:space="preserve"> on our Consolidated Statements of Operations.</w:t>
      </w:r>
    </w:p>
    <w:p>
      <w:pPr>
        <w:spacing w:after="0" w:line="34" w:lineRule="exact"/>
        <w:rPr>
          <w:rFonts w:ascii="Arial" w:cs="Arial" w:eastAsia="Arial" w:hAnsi="Arial"/>
          <w:sz w:val="15"/>
          <w:szCs w:val="15"/>
          <w:color w:val="auto"/>
        </w:rPr>
      </w:pPr>
    </w:p>
    <w:p>
      <w:pPr>
        <w:ind w:left="460" w:hanging="401"/>
        <w:spacing w:after="0"/>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Depreciation and amortization expense is included within </w:t>
      </w:r>
      <w:r>
        <w:rPr>
          <w:rFonts w:ascii="Arial" w:cs="Arial" w:eastAsia="Arial" w:hAnsi="Arial"/>
          <w:sz w:val="14"/>
          <w:szCs w:val="14"/>
          <w:i w:val="1"/>
          <w:iCs w:val="1"/>
          <w:color w:val="auto"/>
        </w:rPr>
        <w:t>Field depreciation</w:t>
      </w:r>
      <w:r>
        <w:rPr>
          <w:rFonts w:ascii="Arial" w:cs="Arial" w:eastAsia="Arial" w:hAnsi="Arial"/>
          <w:sz w:val="14"/>
          <w:szCs w:val="14"/>
          <w:color w:val="auto"/>
        </w:rPr>
        <w:t xml:space="preserve"> and </w:t>
      </w:r>
      <w:r>
        <w:rPr>
          <w:rFonts w:ascii="Arial" w:cs="Arial" w:eastAsia="Arial" w:hAnsi="Arial"/>
          <w:sz w:val="14"/>
          <w:szCs w:val="14"/>
          <w:i w:val="1"/>
          <w:iCs w:val="1"/>
          <w:color w:val="auto"/>
        </w:rPr>
        <w:t>Home office depreciation and amortization</w:t>
      </w:r>
      <w:r>
        <w:rPr>
          <w:rFonts w:ascii="Arial" w:cs="Arial" w:eastAsia="Arial" w:hAnsi="Arial"/>
          <w:sz w:val="14"/>
          <w:szCs w:val="14"/>
          <w:color w:val="auto"/>
        </w:rPr>
        <w:t xml:space="preserve"> on our Consolidated Statements of Operations.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7" w:lineRule="exact"/>
        <w:rPr>
          <w:rFonts w:ascii="Arial" w:cs="Arial" w:eastAsia="Arial" w:hAnsi="Arial"/>
          <w:sz w:val="14"/>
          <w:szCs w:val="14"/>
          <w:color w:val="auto"/>
        </w:rPr>
      </w:pPr>
    </w:p>
    <w:p>
      <w:pPr>
        <w:ind w:left="5540" w:hanging="102"/>
        <w:spacing w:after="0"/>
        <w:tabs>
          <w:tab w:leader="none" w:pos="55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9" w:name="page30"/>
    <w:bookmarkEnd w:id="29"/>
    <w:p>
      <w:pPr>
        <w:ind w:left="400"/>
        <w:spacing w:after="0"/>
        <w:rPr>
          <w:sz w:val="20"/>
          <w:szCs w:val="20"/>
          <w:color w:val="auto"/>
        </w:rPr>
      </w:pPr>
      <w:r>
        <w:rPr>
          <w:rFonts w:ascii="Arial" w:cs="Arial" w:eastAsia="Arial" w:hAnsi="Arial"/>
          <w:sz w:val="17"/>
          <w:szCs w:val="17"/>
          <w:color w:val="auto"/>
        </w:rPr>
        <w:t>Supplemental cash flow information related to our leases is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9"/>
          </w:tcPr>
          <w:p>
            <w:pPr>
              <w:ind w:left="62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tcBorders>
              <w:bottom w:val="single" w:sz="8" w:color="CCEEFF"/>
            </w:tcBorders>
          </w:tcPr>
          <w:p>
            <w:pPr>
              <w:spacing w:after="0"/>
              <w:rPr>
                <w:sz w:val="17"/>
                <w:szCs w:val="17"/>
                <w:color w:val="auto"/>
              </w:rPr>
            </w:pPr>
          </w:p>
        </w:tc>
        <w:tc>
          <w:tcPr>
            <w:tcW w:w="4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paid for operating leases included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gridSpan w:val="3"/>
          </w:tcPr>
          <w:p>
            <w:pPr>
              <w:ind w:left="20"/>
              <w:spacing w:after="0"/>
              <w:rPr>
                <w:sz w:val="20"/>
                <w:szCs w:val="20"/>
                <w:color w:val="auto"/>
              </w:rPr>
            </w:pPr>
            <w:r>
              <w:rPr>
                <w:rFonts w:ascii="Arial" w:cs="Arial" w:eastAsia="Arial" w:hAnsi="Arial"/>
                <w:sz w:val="17"/>
                <w:szCs w:val="17"/>
                <w:color w:val="auto"/>
              </w:rPr>
              <w:t>Cash paid for finance leases included in financing activities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460" w:type="dxa"/>
            <w:vAlign w:val="bottom"/>
            <w:gridSpan w:val="3"/>
          </w:tcPr>
          <w:p>
            <w:pPr>
              <w:ind w:left="380"/>
              <w:spacing w:after="0"/>
              <w:rPr>
                <w:sz w:val="20"/>
                <w:szCs w:val="20"/>
                <w:color w:val="auto"/>
              </w:rPr>
            </w:pPr>
            <w:r>
              <w:rPr>
                <w:rFonts w:ascii="Arial" w:cs="Arial" w:eastAsia="Arial" w:hAnsi="Arial"/>
                <w:sz w:val="17"/>
                <w:szCs w:val="17"/>
                <w:color w:val="auto"/>
              </w:rPr>
              <w:t>Right-of-use assets obtained in exchange for new leases is as follows (in thousands):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9"/>
          </w:tcPr>
          <w:p>
            <w:pPr>
              <w:ind w:left="60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tcPr>
          <w:p>
            <w:pPr>
              <w:spacing w:after="0"/>
              <w:rPr>
                <w:sz w:val="17"/>
                <w:szCs w:val="17"/>
                <w:color w:val="auto"/>
              </w:rPr>
            </w:pPr>
          </w:p>
        </w:tc>
        <w:tc>
          <w:tcPr>
            <w:tcW w:w="4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7"/>
                <w:szCs w:val="17"/>
                <w:color w:val="auto"/>
              </w:rPr>
              <w:t>Right-of-use assets obtained in exchange for new finance lease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460" w:type="dxa"/>
            <w:vAlign w:val="bottom"/>
            <w:gridSpan w:val="3"/>
          </w:tcPr>
          <w:p>
            <w:pPr>
              <w:ind w:left="380"/>
              <w:spacing w:after="0"/>
              <w:rPr>
                <w:sz w:val="20"/>
                <w:szCs w:val="20"/>
                <w:color w:val="auto"/>
              </w:rPr>
            </w:pPr>
            <w:r>
              <w:rPr>
                <w:rFonts w:ascii="Arial" w:cs="Arial" w:eastAsia="Arial" w:hAnsi="Arial"/>
                <w:sz w:val="17"/>
                <w:szCs w:val="17"/>
                <w:color w:val="auto"/>
              </w:rPr>
              <w:t>Supplemental balance sheet information related to leases is as follows (in thousands):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ind w:left="1300"/>
              <w:spacing w:after="0"/>
              <w:rPr>
                <w:sz w:val="20"/>
                <w:szCs w:val="20"/>
                <w:color w:val="auto"/>
              </w:rPr>
            </w:pPr>
            <w:r>
              <w:rPr>
                <w:rFonts w:ascii="Arial" w:cs="Arial" w:eastAsia="Arial" w:hAnsi="Arial"/>
                <w:sz w:val="15"/>
                <w:szCs w:val="15"/>
                <w:b w:val="1"/>
                <w:bCs w:val="1"/>
                <w:color w:val="auto"/>
              </w:rPr>
              <w:t>Lease Type</w:t>
            </w:r>
          </w:p>
        </w:tc>
        <w:tc>
          <w:tcPr>
            <w:tcW w:w="4480" w:type="dxa"/>
            <w:vAlign w:val="bottom"/>
            <w:tcBorders>
              <w:bottom w:val="single" w:sz="8" w:color="auto"/>
            </w:tcBorders>
            <w:gridSpan w:val="2"/>
          </w:tcPr>
          <w:p>
            <w:pPr>
              <w:ind w:left="1560"/>
              <w:spacing w:after="0"/>
              <w:rPr>
                <w:sz w:val="20"/>
                <w:szCs w:val="20"/>
                <w:color w:val="auto"/>
              </w:rPr>
            </w:pPr>
            <w:r>
              <w:rPr>
                <w:rFonts w:ascii="Arial" w:cs="Arial" w:eastAsia="Arial" w:hAnsi="Arial"/>
                <w:sz w:val="15"/>
                <w:szCs w:val="15"/>
                <w:b w:val="1"/>
                <w:bCs w:val="1"/>
                <w:color w:val="auto"/>
              </w:rPr>
              <w:t>Balance Sheet Classification</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240"/>
              <w:spacing w:after="0"/>
              <w:rPr>
                <w:sz w:val="20"/>
                <w:szCs w:val="20"/>
                <w:color w:val="auto"/>
              </w:rPr>
            </w:pPr>
            <w:r>
              <w:rPr>
                <w:rFonts w:ascii="Arial" w:cs="Arial" w:eastAsia="Arial" w:hAnsi="Arial"/>
                <w:sz w:val="15"/>
                <w:szCs w:val="15"/>
                <w:b w:val="1"/>
                <w:bCs w:val="1"/>
                <w:color w:val="auto"/>
                <w:w w:val="93"/>
              </w:rPr>
              <w:t>December 31, 2020</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460"/>
              <w:spacing w:after="0"/>
              <w:rPr>
                <w:sz w:val="20"/>
                <w:szCs w:val="20"/>
                <w:color w:val="auto"/>
              </w:rPr>
            </w:pPr>
            <w:r>
              <w:rPr>
                <w:rFonts w:ascii="Arial" w:cs="Arial" w:eastAsia="Arial" w:hAnsi="Arial"/>
                <w:sz w:val="15"/>
                <w:szCs w:val="15"/>
                <w:b w:val="1"/>
                <w:bCs w:val="1"/>
                <w:color w:val="auto"/>
                <w:w w:val="92"/>
              </w:rPr>
              <w:t>June 30, 2021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right-of-use assets</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i w:val="1"/>
                <w:iCs w:val="1"/>
                <w:color w:val="auto"/>
              </w:rPr>
              <w:t>Operating lease right-of-use assets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21,201</w:t>
            </w: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Finance lease right-of-use assets</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i w:val="1"/>
                <w:iCs w:val="1"/>
                <w:color w:val="auto"/>
              </w:rPr>
              <w:t>Property, plant and equipment, net</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6,770</w:t>
            </w: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Accumulated depreciation</w:t>
            </w:r>
          </w:p>
        </w:tc>
        <w:tc>
          <w:tcPr>
            <w:tcW w:w="4480" w:type="dxa"/>
            <w:vAlign w:val="bottom"/>
            <w:tcBorders>
              <w:bottom w:val="single" w:sz="8" w:color="CCEEFF"/>
            </w:tcBorders>
            <w:gridSpan w:val="2"/>
          </w:tcPr>
          <w:p>
            <w:pPr>
              <w:ind w:left="380"/>
              <w:spacing w:after="0"/>
              <w:rPr>
                <w:sz w:val="20"/>
                <w:szCs w:val="20"/>
                <w:color w:val="auto"/>
              </w:rPr>
            </w:pPr>
            <w:r>
              <w:rPr>
                <w:rFonts w:ascii="Arial" w:cs="Arial" w:eastAsia="Arial" w:hAnsi="Arial"/>
                <w:sz w:val="17"/>
                <w:szCs w:val="17"/>
                <w:i w:val="1"/>
                <w:iCs w:val="1"/>
                <w:color w:val="auto"/>
              </w:rPr>
              <w:t>Property, plant and equipment, net</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ind w:left="980"/>
              <w:spacing w:after="0"/>
              <w:rPr>
                <w:sz w:val="20"/>
                <w:szCs w:val="20"/>
                <w:color w:val="auto"/>
              </w:rPr>
            </w:pPr>
            <w:r>
              <w:rPr>
                <w:rFonts w:ascii="Arial" w:cs="Arial" w:eastAsia="Arial" w:hAnsi="Arial"/>
                <w:sz w:val="17"/>
                <w:szCs w:val="17"/>
                <w:color w:val="auto"/>
                <w:w w:val="96"/>
              </w:rPr>
              <w:t>(2,005)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(2,222)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Finance lease right-of-use assets, net</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4,765</w:t>
            </w: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current liabilities</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i w:val="1"/>
                <w:iCs w:val="1"/>
                <w:color w:val="auto"/>
              </w:rPr>
              <w:t>Current portion of operating lease obligations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2,082</w:t>
            </w: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Finance lease current liabilities</w:t>
            </w:r>
          </w:p>
        </w:tc>
        <w:tc>
          <w:tcPr>
            <w:tcW w:w="4480" w:type="dxa"/>
            <w:vAlign w:val="bottom"/>
            <w:tcBorders>
              <w:bottom w:val="single" w:sz="8" w:color="CCEEFF"/>
            </w:tcBorders>
            <w:gridSpan w:val="2"/>
          </w:tcPr>
          <w:p>
            <w:pPr>
              <w:ind w:left="380"/>
              <w:spacing w:after="0"/>
              <w:rPr>
                <w:sz w:val="20"/>
                <w:szCs w:val="20"/>
                <w:color w:val="auto"/>
              </w:rPr>
            </w:pPr>
            <w:r>
              <w:rPr>
                <w:rFonts w:ascii="Arial" w:cs="Arial" w:eastAsia="Arial" w:hAnsi="Arial"/>
                <w:sz w:val="17"/>
                <w:szCs w:val="17"/>
                <w:i w:val="1"/>
                <w:iCs w:val="1"/>
                <w:color w:val="auto"/>
              </w:rPr>
              <w:t>Current portion of finance lease obligations</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323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lease liabilities</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2,405</w:t>
            </w: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non-current liabilities</w:t>
            </w:r>
          </w:p>
        </w:tc>
        <w:tc>
          <w:tcPr>
            <w:tcW w:w="4480" w:type="dxa"/>
            <w:vAlign w:val="bottom"/>
            <w:gridSpan w:val="2"/>
            <w:shd w:val="clear" w:color="auto" w:fill="CCEEFF"/>
          </w:tcPr>
          <w:p>
            <w:pPr>
              <w:ind w:left="380"/>
              <w:spacing w:after="0"/>
              <w:rPr>
                <w:sz w:val="20"/>
                <w:szCs w:val="20"/>
                <w:color w:val="auto"/>
              </w:rPr>
            </w:pPr>
            <w:r>
              <w:rPr>
                <w:rFonts w:ascii="Arial" w:cs="Arial" w:eastAsia="Arial" w:hAnsi="Arial"/>
                <w:sz w:val="17"/>
                <w:szCs w:val="17"/>
                <w:i w:val="1"/>
                <w:iCs w:val="1"/>
                <w:color w:val="auto"/>
                <w:w w:val="95"/>
              </w:rPr>
              <w:t>Obligations under operating leases, net of current portion</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20,302</w:t>
            </w: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Finance lease non-current liabilities</w:t>
            </w:r>
          </w:p>
        </w:tc>
        <w:tc>
          <w:tcPr>
            <w:tcW w:w="4480" w:type="dxa"/>
            <w:vAlign w:val="bottom"/>
            <w:tcBorders>
              <w:bottom w:val="single" w:sz="8" w:color="CCEEFF"/>
            </w:tcBorders>
            <w:gridSpan w:val="2"/>
          </w:tcPr>
          <w:p>
            <w:pPr>
              <w:ind w:left="380"/>
              <w:spacing w:after="0"/>
              <w:rPr>
                <w:sz w:val="20"/>
                <w:szCs w:val="20"/>
                <w:color w:val="auto"/>
              </w:rPr>
            </w:pPr>
            <w:r>
              <w:rPr>
                <w:rFonts w:ascii="Arial" w:cs="Arial" w:eastAsia="Arial" w:hAnsi="Arial"/>
                <w:sz w:val="17"/>
                <w:szCs w:val="17"/>
                <w:i w:val="1"/>
                <w:iCs w:val="1"/>
                <w:color w:val="auto"/>
                <w:w w:val="98"/>
              </w:rPr>
              <w:t>Obligations under finance leases, net of current portion</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5,531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Total non-current lease liabilities</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25,833</w:t>
            </w: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tcPr>
          <w:p>
            <w:pPr>
              <w:spacing w:after="0"/>
              <w:rPr>
                <w:sz w:val="13"/>
                <w:szCs w:val="13"/>
                <w:color w:val="auto"/>
              </w:rPr>
            </w:pPr>
          </w:p>
        </w:tc>
        <w:tc>
          <w:tcPr>
            <w:tcW w:w="2980" w:type="dxa"/>
            <w:vAlign w:val="bottom"/>
            <w:tcBorders>
              <w:bottom w:val="single" w:sz="8" w:color="CCEEFF"/>
            </w:tcBorders>
          </w:tcPr>
          <w:p>
            <w:pPr>
              <w:spacing w:after="0"/>
              <w:rPr>
                <w:sz w:val="13"/>
                <w:szCs w:val="13"/>
                <w:color w:val="auto"/>
              </w:rPr>
            </w:pPr>
          </w:p>
        </w:tc>
        <w:tc>
          <w:tcPr>
            <w:tcW w:w="43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gridSpan w:val="2"/>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Total lease liabilities</w:t>
            </w:r>
          </w:p>
        </w:tc>
        <w:tc>
          <w:tcPr>
            <w:tcW w:w="4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28,238</w:t>
            </w:r>
          </w:p>
        </w:tc>
        <w:tc>
          <w:tcPr>
            <w:tcW w:w="4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27,134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bottom w:val="single" w:sz="8" w:color="CCEEFF"/>
            </w:tcBorders>
            <w:gridSpan w:val="3"/>
            <w:vMerge w:val="restart"/>
          </w:tcPr>
          <w:p>
            <w:pPr>
              <w:ind w:left="380"/>
              <w:spacing w:after="0"/>
              <w:rPr>
                <w:sz w:val="20"/>
                <w:szCs w:val="20"/>
                <w:color w:val="auto"/>
              </w:rPr>
            </w:pPr>
            <w:r>
              <w:rPr>
                <w:rFonts w:ascii="Arial" w:cs="Arial" w:eastAsia="Arial" w:hAnsi="Arial"/>
                <w:sz w:val="17"/>
                <w:szCs w:val="17"/>
                <w:color w:val="auto"/>
              </w:rPr>
              <w:t>The average lease terms and discount rates at June 30, 2021 are as follows: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4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5"/>
          </w:tcPr>
          <w:p>
            <w:pPr>
              <w:ind w:left="20"/>
              <w:spacing w:after="0"/>
              <w:rPr>
                <w:sz w:val="20"/>
                <w:szCs w:val="20"/>
                <w:color w:val="auto"/>
              </w:rPr>
            </w:pPr>
            <w:r>
              <w:rPr>
                <w:rFonts w:ascii="Arial" w:cs="Arial" w:eastAsia="Arial" w:hAnsi="Arial"/>
                <w:sz w:val="15"/>
                <w:szCs w:val="15"/>
                <w:b w:val="1"/>
                <w:bCs w:val="1"/>
                <w:color w:val="auto"/>
              </w:rPr>
              <w:t>Weighted-average</w:t>
            </w:r>
          </w:p>
        </w:tc>
        <w:tc>
          <w:tcPr>
            <w:tcW w:w="1860" w:type="dxa"/>
            <w:vAlign w:val="bottom"/>
            <w:gridSpan w:val="5"/>
            <w:vMerge w:val="restart"/>
          </w:tcPr>
          <w:p>
            <w:pPr>
              <w:jc w:val="center"/>
              <w:ind w:right="60"/>
              <w:spacing w:after="0"/>
              <w:rPr>
                <w:sz w:val="20"/>
                <w:szCs w:val="20"/>
                <w:color w:val="auto"/>
              </w:rPr>
            </w:pPr>
            <w:r>
              <w:rPr>
                <w:rFonts w:ascii="Arial" w:cs="Arial" w:eastAsia="Arial" w:hAnsi="Arial"/>
                <w:sz w:val="15"/>
                <w:szCs w:val="15"/>
                <w:b w:val="1"/>
                <w:bCs w:val="1"/>
                <w:color w:val="auto"/>
                <w:w w:val="91"/>
              </w:rPr>
              <w:t>Weighted-average discount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6"/>
          </w:tcPr>
          <w:p>
            <w:pPr>
              <w:ind w:left="60"/>
              <w:spacing w:after="0" w:line="155" w:lineRule="exact"/>
              <w:rPr>
                <w:sz w:val="20"/>
                <w:szCs w:val="20"/>
                <w:color w:val="auto"/>
              </w:rPr>
            </w:pPr>
            <w:r>
              <w:rPr>
                <w:rFonts w:ascii="Arial" w:cs="Arial" w:eastAsia="Arial" w:hAnsi="Arial"/>
                <w:sz w:val="15"/>
                <w:szCs w:val="15"/>
                <w:b w:val="1"/>
                <w:bCs w:val="1"/>
                <w:color w:val="auto"/>
              </w:rPr>
              <w:t>remaining lease term</w:t>
            </w:r>
          </w:p>
        </w:tc>
        <w:tc>
          <w:tcPr>
            <w:tcW w:w="18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4"/>
          </w:tcPr>
          <w:p>
            <w:pPr>
              <w:ind w:left="140"/>
              <w:spacing w:after="0"/>
              <w:rPr>
                <w:sz w:val="20"/>
                <w:szCs w:val="20"/>
                <w:color w:val="auto"/>
              </w:rPr>
            </w:pPr>
            <w:r>
              <w:rPr>
                <w:rFonts w:ascii="Arial" w:cs="Arial" w:eastAsia="Arial" w:hAnsi="Arial"/>
                <w:sz w:val="15"/>
                <w:szCs w:val="15"/>
                <w:b w:val="1"/>
                <w:bCs w:val="1"/>
                <w:color w:val="auto"/>
              </w:rPr>
              <w:t>(years)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5"/>
                <w:szCs w:val="15"/>
                <w:b w:val="1"/>
                <w:bCs w:val="1"/>
                <w:color w:val="auto"/>
              </w:rPr>
              <w:t>rate</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4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7"/>
                <w:szCs w:val="17"/>
                <w:color w:val="auto"/>
              </w:rPr>
              <w:t>Finance leases</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9360" w:type="dxa"/>
            <w:vAlign w:val="bottom"/>
            <w:gridSpan w:val="9"/>
          </w:tcPr>
          <w:p>
            <w:pPr>
              <w:ind w:left="380"/>
              <w:spacing w:after="0"/>
              <w:rPr>
                <w:sz w:val="20"/>
                <w:szCs w:val="20"/>
                <w:color w:val="auto"/>
              </w:rPr>
            </w:pPr>
            <w:r>
              <w:rPr>
                <w:rFonts w:ascii="Arial" w:cs="Arial" w:eastAsia="Arial" w:hAnsi="Arial"/>
                <w:sz w:val="17"/>
                <w:szCs w:val="17"/>
                <w:color w:val="auto"/>
              </w:rPr>
              <w:t>The aggregate future lease payments for operating and finance leases at June 30, 2021 are as follows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4"/>
          </w:tcPr>
          <w:p>
            <w:pPr>
              <w:ind w:left="240"/>
              <w:spacing w:after="0"/>
              <w:rPr>
                <w:sz w:val="20"/>
                <w:szCs w:val="20"/>
                <w:color w:val="auto"/>
              </w:rPr>
            </w:pPr>
            <w:r>
              <w:rPr>
                <w:rFonts w:ascii="Arial" w:cs="Arial" w:eastAsia="Arial" w:hAnsi="Arial"/>
                <w:sz w:val="15"/>
                <w:szCs w:val="15"/>
                <w:b w:val="1"/>
                <w:bCs w:val="1"/>
                <w:color w:val="auto"/>
              </w:rPr>
              <w:t>Operating</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2"/>
          </w:tcPr>
          <w:p>
            <w:pPr>
              <w:ind w:left="360"/>
              <w:spacing w:after="0"/>
              <w:rPr>
                <w:sz w:val="20"/>
                <w:szCs w:val="20"/>
                <w:color w:val="auto"/>
              </w:rPr>
            </w:pPr>
            <w:r>
              <w:rPr>
                <w:rFonts w:ascii="Arial" w:cs="Arial" w:eastAsia="Arial" w:hAnsi="Arial"/>
                <w:sz w:val="15"/>
                <w:szCs w:val="15"/>
                <w:b w:val="1"/>
                <w:bCs w:val="1"/>
                <w:color w:val="auto"/>
              </w:rPr>
              <w:t>Finance</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Lease payments due:</w:t>
            </w:r>
          </w:p>
        </w:tc>
        <w:tc>
          <w:tcPr>
            <w:tcW w:w="4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tcPr>
          <w:p>
            <w:pPr>
              <w:ind w:left="100"/>
              <w:spacing w:after="0"/>
              <w:rPr>
                <w:sz w:val="20"/>
                <w:szCs w:val="20"/>
                <w:color w:val="auto"/>
              </w:rPr>
            </w:pPr>
            <w:r>
              <w:rPr>
                <w:rFonts w:ascii="Arial" w:cs="Arial" w:eastAsia="Arial" w:hAnsi="Arial"/>
                <w:sz w:val="17"/>
                <w:szCs w:val="17"/>
                <w:color w:val="auto"/>
              </w:rPr>
              <w:t>Remainder of 2021</w:t>
            </w: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1,898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2022</w:t>
            </w:r>
          </w:p>
        </w:tc>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3,453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tcPr>
          <w:p>
            <w:pPr>
              <w:ind w:left="100"/>
              <w:spacing w:after="0"/>
              <w:rPr>
                <w:sz w:val="20"/>
                <w:szCs w:val="20"/>
                <w:color w:val="auto"/>
              </w:rPr>
            </w:pPr>
            <w:r>
              <w:rPr>
                <w:rFonts w:ascii="Arial" w:cs="Arial" w:eastAsia="Arial" w:hAnsi="Arial"/>
                <w:sz w:val="17"/>
                <w:szCs w:val="17"/>
                <w:color w:val="auto"/>
              </w:rPr>
              <w:t>2023</w:t>
            </w: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3,326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2024</w:t>
            </w:r>
          </w:p>
        </w:tc>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3,301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tcPr>
          <w:p>
            <w:pPr>
              <w:ind w:left="100"/>
              <w:spacing w:after="0"/>
              <w:rPr>
                <w:sz w:val="20"/>
                <w:szCs w:val="20"/>
                <w:color w:val="auto"/>
              </w:rPr>
            </w:pPr>
            <w:r>
              <w:rPr>
                <w:rFonts w:ascii="Arial" w:cs="Arial" w:eastAsia="Arial" w:hAnsi="Arial"/>
                <w:sz w:val="17"/>
                <w:szCs w:val="17"/>
                <w:color w:val="auto"/>
              </w:rPr>
              <w:t>2025</w:t>
            </w: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3,162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Thereafter</w:t>
            </w:r>
          </w:p>
        </w:tc>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16,187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7"/>
                <w:szCs w:val="17"/>
                <w:color w:val="auto"/>
              </w:rPr>
              <w:t>Total lease payments</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31,327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Less: Interest</w:t>
            </w:r>
          </w:p>
        </w:tc>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(9,889)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7"/>
                <w:szCs w:val="17"/>
                <w:color w:val="auto"/>
              </w:rPr>
              <w:t>Present value of lease liabilities</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21,438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 June 30, 2021, we had no additional significant operating or finance leases that had not yet commenced.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0" w:name="page31"/>
    <w:bookmarkEnd w:id="30"/>
    <w:p>
      <w:pPr>
        <w:ind w:left="620" w:hanging="617"/>
        <w:spacing w:after="0"/>
        <w:tabs>
          <w:tab w:leader="none" w:pos="62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20"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i w:val="1"/>
          <w:iCs w:val="1"/>
          <w:color w:val="auto"/>
        </w:rPr>
        <w:t>Chinchilla v. Carriage Services, Inc., et al.</w:t>
      </w:r>
      <w:r>
        <w:rPr>
          <w:rFonts w:ascii="Arial" w:cs="Arial" w:eastAsia="Arial" w:hAnsi="Arial"/>
          <w:sz w:val="16"/>
          <w:szCs w:val="16"/>
          <w:color w:val="auto"/>
        </w:rPr>
        <w:t>, Superior Court of California, San Joaquin County, Case No. STK-CV-UOE-2021-0004661. On May 19, 2021, a</w:t>
      </w:r>
      <w:r>
        <w:rPr>
          <w:rFonts w:ascii="Arial" w:cs="Arial" w:eastAsia="Arial" w:hAnsi="Arial"/>
          <w:sz w:val="16"/>
          <w:szCs w:val="16"/>
          <w:i w:val="1"/>
          <w:iCs w:val="1"/>
          <w:color w:val="auto"/>
        </w:rPr>
        <w:t xml:space="preserve"> </w:t>
      </w:r>
      <w:r>
        <w:rPr>
          <w:rFonts w:ascii="Arial" w:cs="Arial" w:eastAsia="Arial" w:hAnsi="Arial"/>
          <w:sz w:val="16"/>
          <w:szCs w:val="16"/>
          <w:color w:val="auto"/>
        </w:rPr>
        <w:t>putative class action against the Company and several of our subsidiaries was filed. Plaintiff, a former employee, seeks monetary damages on behalf of himself and other similarly situated current and former non-exempt employees. Plaintiff claims that the Company failed to, among other things, pay minimum wages, provide meal and rest breaks, pay overtime, provide accurately itemized wage statements, reimburse employees for business expenses, and provide wages when due. At June 30, 2021, we are unable to reasonably estimate the possible loss or ranges of loss, if any.</w:t>
      </w:r>
    </w:p>
    <w:p>
      <w:pPr>
        <w:spacing w:after="0" w:line="211" w:lineRule="exact"/>
        <w:rPr>
          <w:sz w:val="20"/>
          <w:szCs w:val="20"/>
          <w:color w:val="auto"/>
        </w:rPr>
      </w:pPr>
    </w:p>
    <w:p>
      <w:pPr>
        <w:ind w:left="620" w:hanging="617"/>
        <w:spacing w:after="0"/>
        <w:tabs>
          <w:tab w:leader="none" w:pos="6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w:t>
      </w:r>
      <w:r>
        <w:rPr>
          <w:rFonts w:ascii="Arial" w:cs="Arial" w:eastAsia="Arial" w:hAnsi="Arial"/>
          <w:sz w:val="17"/>
          <w:szCs w:val="17"/>
          <w:color w:val="auto"/>
        </w:rPr>
        <w:t>’</w:t>
      </w:r>
      <w:r>
        <w:rPr>
          <w:rFonts w:ascii="Arial" w:cs="Arial" w:eastAsia="Arial" w:hAnsi="Arial"/>
          <w:sz w:val="17"/>
          <w:szCs w:val="17"/>
          <w:b w:val="1"/>
          <w:bCs w:val="1"/>
          <w:color w:val="auto"/>
        </w:rPr>
        <w:t xml:space="preserve"> EQUITY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During the three months ended June 30, 2020 and 2021, we did not issue restricted stock. We cancelled 966 shares of restricted stock in connection with an employee's termination of employment. During the six months ended June 30, 2021, we issued restricted stock to certain employees totaling 9,300 shares that vest over a three-year period and had an aggregate grant date market value of $324,000 at a weighted average stock price of $34.79. In addition, 9,688 shares of vested restricted stock were returned for the payment of payroll taxes equivalent to $347,000.</w:t>
      </w:r>
    </w:p>
    <w:p>
      <w:pPr>
        <w:spacing w:after="0" w:line="76"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During the six months ended June 30, 2020, we issued restricted stock to certain employees totaling 10,200 shares that vest over a three-year period and had an aggregate grant date market value of $255,000 at a weighted average stock price of $25.00. In addition, 9,874 shares of vested restricted stock were returned for the payment of payroll taxes equivalent to $235,000.</w:t>
      </w:r>
    </w:p>
    <w:p>
      <w:pPr>
        <w:spacing w:after="0" w:line="7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We recorded stock-based compensation expense, which is included in </w:t>
      </w:r>
      <w:r>
        <w:rPr>
          <w:rFonts w:ascii="Arial" w:cs="Arial" w:eastAsia="Arial" w:hAnsi="Arial"/>
          <w:sz w:val="17"/>
          <w:szCs w:val="17"/>
          <w:i w:val="1"/>
          <w:iCs w:val="1"/>
          <w:color w:val="auto"/>
        </w:rPr>
        <w:t>General, administrative and other expenses</w:t>
      </w:r>
      <w:r>
        <w:rPr>
          <w:rFonts w:ascii="Arial" w:cs="Arial" w:eastAsia="Arial" w:hAnsi="Arial"/>
          <w:sz w:val="17"/>
          <w:szCs w:val="17"/>
          <w:color w:val="auto"/>
        </w:rPr>
        <w:t xml:space="preserve">, for restricted stock awards of $183,000 and $98,000, for the three months ended June 30, 2020 and 2021, respectively and $368,000 and $219,000, for the six months ended June 30, 2020 </w:t>
      </w:r>
      <w:r>
        <w:rPr>
          <w:rFonts w:ascii="Arial" w:cs="Arial" w:eastAsia="Arial" w:hAnsi="Arial"/>
          <w:sz w:val="15"/>
          <w:szCs w:val="15"/>
          <w:color w:val="auto"/>
        </w:rPr>
        <w:t>and</w:t>
      </w:r>
      <w:r>
        <w:rPr>
          <w:rFonts w:ascii="Arial" w:cs="Arial" w:eastAsia="Arial" w:hAnsi="Arial"/>
          <w:sz w:val="17"/>
          <w:szCs w:val="17"/>
          <w:color w:val="auto"/>
        </w:rPr>
        <w:t xml:space="preserve">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During the three months ended June 30, 2021, we did not issue stock options. During the six months ended June 30, 2021, we granted 701,400 options to certain key employees at a weighted average price of $34.79. These options will vest in one-fifth increments over a five-year period and have a ten-year term. The fair value of these options was $7.1 million. We also granted an additional 150,000 options to a certain key employee at a weighted average price of $34.79. These options will vest when the price of our common stock closes at or above the specified prices below for three consecutive days within the ten-year term and the employee has remained continuously employed by us through such date. The fair value of these options was $1.7 million.</w:t>
      </w:r>
    </w:p>
    <w:p>
      <w:pPr>
        <w:spacing w:after="0" w:line="63"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During the three and six months ended June 30, 2020, we granted 20,000 options to a certain key employee at a weighted average price of $18.02. On June 26, 2020, we cancelled 100,000 options in connection with the resignation of our President and Chief Operating Officer.</w:t>
      </w:r>
    </w:p>
    <w:p>
      <w:pPr>
        <w:spacing w:after="0" w:line="60"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During the three months ended June 30, 2021, employees exercised 180,629 stock options of which 95,763 were surrendered by employees to pay the option price and taxes related to the option exercises. These options were exercised at a weighted average exercise price of $20.44 with an aggregate intrinsic value of $3.1 million. During the six months ended June 30, 2021, employees exercised 281,629 stock options of which 168,506 were surrendered by employees to pay the option price and taxes related to the option exercises. These options were exercised at a weighted average exercise price of $21.78 with an aggregate intrinsic value of $4.4 million. We received $1.7 million in cash for payment of the option price, of which $224,000 settled on July 2, 2021 and we withheld $976,000 for payment of payroll taxes. In addition, in accordance with the terms of the separation agreement, we accelerated 12,980 options in connection with the resignation of an employee which resulted in an additional $129,000 of stock-based compensation expense.</w:t>
      </w:r>
    </w:p>
    <w:p>
      <w:pPr>
        <w:spacing w:after="0" w:line="68"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We recorded stock-based compensation expense, which is included in </w:t>
      </w:r>
      <w:r>
        <w:rPr>
          <w:rFonts w:ascii="Arial" w:cs="Arial" w:eastAsia="Arial" w:hAnsi="Arial"/>
          <w:sz w:val="17"/>
          <w:szCs w:val="17"/>
          <w:i w:val="1"/>
          <w:iCs w:val="1"/>
          <w:color w:val="auto"/>
        </w:rPr>
        <w:t>General, administrative and other expenses</w:t>
      </w:r>
      <w:r>
        <w:rPr>
          <w:rFonts w:ascii="Arial" w:cs="Arial" w:eastAsia="Arial" w:hAnsi="Arial"/>
          <w:sz w:val="17"/>
          <w:szCs w:val="17"/>
          <w:color w:val="auto"/>
        </w:rPr>
        <w:t xml:space="preserve">, for stock options, including the accelerated stock options discussed above of $122,000 and $480,000, for the three months ended June 30, 2020 and 2021, respectively and $337,000 and $1,040,000, for the six months ended June 30, 2020 </w:t>
      </w:r>
      <w:r>
        <w:rPr>
          <w:rFonts w:ascii="Arial" w:cs="Arial" w:eastAsia="Arial" w:hAnsi="Arial"/>
          <w:sz w:val="15"/>
          <w:szCs w:val="15"/>
          <w:color w:val="auto"/>
        </w:rPr>
        <w:t>and</w:t>
      </w:r>
      <w:r>
        <w:rPr>
          <w:rFonts w:ascii="Arial" w:cs="Arial" w:eastAsia="Arial" w:hAnsi="Arial"/>
          <w:sz w:val="17"/>
          <w:szCs w:val="17"/>
          <w:color w:val="auto"/>
        </w:rPr>
        <w:t xml:space="preserve">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Awards</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During the three and six months ended June 30, 2021, we granted 10,254 performance awards to certain employees with a fair value of $0.4 million. During the three and six months ended June 30, 2021, we cancelled 6,987 and 34,935 performance awards, respectively, in connection with the termination of employment for three employees.</w:t>
      </w:r>
    </w:p>
    <w:p>
      <w:pPr>
        <w:spacing w:after="0" w:line="73"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On June 1, 2021, we amended the performance award agreements granted on May 19, 2020 for certain executive employees. The amendment granted an additional 70,236 performance awards payable in shares to three of our executives.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31" w:name="page32"/>
    <w:bookmarkEnd w:id="31"/>
    <w:p>
      <w:pPr>
        <w:jc w:val="both"/>
        <w:spacing w:after="0" w:line="262" w:lineRule="auto"/>
        <w:rPr>
          <w:sz w:val="20"/>
          <w:szCs w:val="20"/>
          <w:color w:val="auto"/>
        </w:rPr>
      </w:pPr>
      <w:r>
        <w:rPr>
          <w:rFonts w:ascii="Arial" w:cs="Arial" w:eastAsia="Arial" w:hAnsi="Arial"/>
          <w:sz w:val="17"/>
          <w:szCs w:val="17"/>
          <w:color w:val="auto"/>
        </w:rPr>
        <w:t>These awards will vest (if at all) on December 31, 2024, provided that the Company’s common stock reaches one of three predetermined growth targets for a sustained period beginning on the grant date of June 1, 2021 and ending on December 31, 2024. The additional grant was treated as a modification of the original performance award agreement and resulted in an additional $2.6 million of incremental compensation costs, which are expected to be recognized over the remaining term of 43 months.</w:t>
      </w:r>
    </w:p>
    <w:p>
      <w:pPr>
        <w:spacing w:after="0" w:line="76" w:lineRule="exact"/>
        <w:rPr>
          <w:sz w:val="20"/>
          <w:szCs w:val="20"/>
          <w:color w:val="auto"/>
        </w:rPr>
      </w:pPr>
    </w:p>
    <w:p>
      <w:pPr>
        <w:ind w:right="2420" w:firstLine="387"/>
        <w:spacing w:after="0" w:line="276" w:lineRule="auto"/>
        <w:rPr>
          <w:sz w:val="20"/>
          <w:szCs w:val="20"/>
          <w:color w:val="auto"/>
        </w:rPr>
      </w:pPr>
      <w:r>
        <w:rPr>
          <w:rFonts w:ascii="Arial" w:cs="Arial" w:eastAsia="Arial" w:hAnsi="Arial"/>
          <w:sz w:val="17"/>
          <w:szCs w:val="17"/>
          <w:color w:val="auto"/>
        </w:rPr>
        <w:t>The fair values of the performance awards granted during the three months ended June 30, 2021 were determined by using the Monte-Carlo simulation pricing model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16, 2021</w:t>
            </w:r>
          </w:p>
        </w:tc>
        <w:tc>
          <w:tcPr>
            <w:tcW w:w="80" w:type="dxa"/>
            <w:vAlign w:val="bottom"/>
            <w:tcBorders>
              <w:bottom w:val="single" w:sz="8" w:color="CCEEFF"/>
            </w:tcBorders>
          </w:tcPr>
          <w:p>
            <w:pPr>
              <w:spacing w:after="0"/>
              <w:rPr>
                <w:sz w:val="17"/>
                <w:szCs w:val="17"/>
                <w:color w:val="auto"/>
              </w:rPr>
            </w:pP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1, 2021</w:t>
            </w:r>
          </w:p>
        </w:tc>
      </w:tr>
      <w:tr>
        <w:trPr>
          <w:trHeight w:val="215"/>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Performance Period</w:t>
            </w:r>
          </w:p>
        </w:tc>
        <w:tc>
          <w:tcPr>
            <w:tcW w:w="3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April 16, 2021 - December 31, 2024</w:t>
            </w:r>
          </w:p>
        </w:tc>
        <w:tc>
          <w:tcPr>
            <w:tcW w:w="3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1, 2021 - December 31, 2024</w:t>
            </w:r>
          </w:p>
        </w:tc>
      </w:tr>
      <w:tr>
        <w:trPr>
          <w:trHeight w:val="219"/>
        </w:trPr>
        <w:tc>
          <w:tcPr>
            <w:tcW w:w="4100" w:type="dxa"/>
            <w:vAlign w:val="bottom"/>
            <w:gridSpan w:val="2"/>
          </w:tcPr>
          <w:p>
            <w:pPr>
              <w:ind w:left="20"/>
              <w:spacing w:after="0"/>
              <w:rPr>
                <w:sz w:val="20"/>
                <w:szCs w:val="20"/>
                <w:color w:val="auto"/>
              </w:rPr>
            </w:pPr>
            <w:r>
              <w:rPr>
                <w:rFonts w:ascii="Arial" w:cs="Arial" w:eastAsia="Arial" w:hAnsi="Arial"/>
                <w:sz w:val="17"/>
                <w:szCs w:val="17"/>
                <w:color w:val="auto"/>
              </w:rPr>
              <w:t>Simulation period (years)</w:t>
            </w:r>
          </w:p>
        </w:tc>
        <w:tc>
          <w:tcPr>
            <w:tcW w:w="3540" w:type="dxa"/>
            <w:vAlign w:val="bottom"/>
          </w:tcPr>
          <w:p>
            <w:pPr>
              <w:jc w:val="right"/>
              <w:spacing w:after="0"/>
              <w:rPr>
                <w:sz w:val="20"/>
                <w:szCs w:val="20"/>
                <w:color w:val="auto"/>
              </w:rPr>
            </w:pPr>
            <w:r>
              <w:rPr>
                <w:rFonts w:ascii="Arial" w:cs="Arial" w:eastAsia="Arial" w:hAnsi="Arial"/>
                <w:sz w:val="17"/>
                <w:szCs w:val="17"/>
                <w:color w:val="auto"/>
              </w:rPr>
              <w:t>3.71</w:t>
            </w:r>
          </w:p>
        </w:tc>
        <w:tc>
          <w:tcPr>
            <w:tcW w:w="80" w:type="dxa"/>
            <w:vAlign w:val="bottom"/>
          </w:tcPr>
          <w:p>
            <w:pPr>
              <w:spacing w:after="0"/>
              <w:rPr>
                <w:sz w:val="19"/>
                <w:szCs w:val="19"/>
                <w:color w:val="auto"/>
              </w:rPr>
            </w:pPr>
          </w:p>
        </w:tc>
        <w:tc>
          <w:tcPr>
            <w:tcW w:w="3520" w:type="dxa"/>
            <w:vAlign w:val="bottom"/>
          </w:tcPr>
          <w:p>
            <w:pPr>
              <w:jc w:val="right"/>
              <w:spacing w:after="0"/>
              <w:rPr>
                <w:sz w:val="20"/>
                <w:szCs w:val="20"/>
                <w:color w:val="auto"/>
              </w:rPr>
            </w:pPr>
            <w:r>
              <w:rPr>
                <w:rFonts w:ascii="Arial" w:cs="Arial" w:eastAsia="Arial" w:hAnsi="Arial"/>
                <w:sz w:val="17"/>
                <w:szCs w:val="17"/>
                <w:color w:val="auto"/>
              </w:rPr>
              <w:t>3.58</w:t>
            </w:r>
          </w:p>
        </w:tc>
      </w:tr>
      <w:tr>
        <w:trPr>
          <w:trHeight w:val="22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Share price at grant date</w:t>
            </w:r>
          </w:p>
        </w:tc>
        <w:tc>
          <w:tcPr>
            <w:tcW w:w="3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$35.83</w:t>
            </w:r>
          </w:p>
        </w:tc>
        <w:tc>
          <w:tcPr>
            <w:tcW w:w="80" w:type="dxa"/>
            <w:vAlign w:val="bottom"/>
            <w:shd w:val="clear" w:color="auto" w:fill="CCEEFF"/>
          </w:tcPr>
          <w:p>
            <w:pPr>
              <w:spacing w:after="0"/>
              <w:rPr>
                <w:sz w:val="19"/>
                <w:szCs w:val="19"/>
                <w:color w:val="auto"/>
              </w:rPr>
            </w:pPr>
          </w:p>
        </w:tc>
        <w:tc>
          <w:tcPr>
            <w:tcW w:w="3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$38.78</w:t>
            </w:r>
          </w:p>
        </w:tc>
      </w:tr>
      <w:tr>
        <w:trPr>
          <w:trHeight w:val="219"/>
        </w:trPr>
        <w:tc>
          <w:tcPr>
            <w:tcW w:w="4100" w:type="dxa"/>
            <w:vAlign w:val="bottom"/>
            <w:gridSpan w:val="2"/>
          </w:tcPr>
          <w:p>
            <w:pPr>
              <w:ind w:left="20"/>
              <w:spacing w:after="0"/>
              <w:rPr>
                <w:sz w:val="20"/>
                <w:szCs w:val="20"/>
                <w:color w:val="auto"/>
              </w:rPr>
            </w:pPr>
            <w:r>
              <w:rPr>
                <w:rFonts w:ascii="Arial" w:cs="Arial" w:eastAsia="Arial" w:hAnsi="Arial"/>
                <w:sz w:val="17"/>
                <w:szCs w:val="17"/>
                <w:color w:val="auto"/>
              </w:rPr>
              <w:t>Expected volatility</w:t>
            </w:r>
          </w:p>
        </w:tc>
        <w:tc>
          <w:tcPr>
            <w:tcW w:w="3540" w:type="dxa"/>
            <w:vAlign w:val="bottom"/>
          </w:tcPr>
          <w:p>
            <w:pPr>
              <w:jc w:val="right"/>
              <w:spacing w:after="0"/>
              <w:rPr>
                <w:sz w:val="20"/>
                <w:szCs w:val="20"/>
                <w:color w:val="auto"/>
              </w:rPr>
            </w:pPr>
            <w:r>
              <w:rPr>
                <w:rFonts w:ascii="Arial" w:cs="Arial" w:eastAsia="Arial" w:hAnsi="Arial"/>
                <w:sz w:val="17"/>
                <w:szCs w:val="17"/>
                <w:color w:val="auto"/>
              </w:rPr>
              <w:t>41.17 %</w:t>
            </w:r>
          </w:p>
        </w:tc>
        <w:tc>
          <w:tcPr>
            <w:tcW w:w="80" w:type="dxa"/>
            <w:vAlign w:val="bottom"/>
          </w:tcPr>
          <w:p>
            <w:pPr>
              <w:spacing w:after="0"/>
              <w:rPr>
                <w:sz w:val="19"/>
                <w:szCs w:val="19"/>
                <w:color w:val="auto"/>
              </w:rPr>
            </w:pPr>
          </w:p>
        </w:tc>
        <w:tc>
          <w:tcPr>
            <w:tcW w:w="3520" w:type="dxa"/>
            <w:vAlign w:val="bottom"/>
          </w:tcPr>
          <w:p>
            <w:pPr>
              <w:jc w:val="right"/>
              <w:spacing w:after="0"/>
              <w:rPr>
                <w:sz w:val="20"/>
                <w:szCs w:val="20"/>
                <w:color w:val="auto"/>
              </w:rPr>
            </w:pPr>
            <w:r>
              <w:rPr>
                <w:rFonts w:ascii="Arial" w:cs="Arial" w:eastAsia="Arial" w:hAnsi="Arial"/>
                <w:sz w:val="17"/>
                <w:szCs w:val="17"/>
                <w:color w:val="auto"/>
              </w:rPr>
              <w:t>41.79 %</w:t>
            </w:r>
          </w:p>
        </w:tc>
      </w:tr>
      <w:tr>
        <w:trPr>
          <w:trHeight w:val="22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3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0.52 %</w:t>
            </w:r>
          </w:p>
        </w:tc>
        <w:tc>
          <w:tcPr>
            <w:tcW w:w="80" w:type="dxa"/>
            <w:vAlign w:val="bottom"/>
            <w:shd w:val="clear" w:color="auto" w:fill="CCEEFF"/>
          </w:tcPr>
          <w:p>
            <w:pPr>
              <w:spacing w:after="0"/>
              <w:rPr>
                <w:sz w:val="19"/>
                <w:szCs w:val="19"/>
                <w:color w:val="auto"/>
              </w:rPr>
            </w:pPr>
          </w:p>
        </w:tc>
        <w:tc>
          <w:tcPr>
            <w:tcW w:w="3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0.46 %</w:t>
            </w:r>
          </w:p>
        </w:tc>
      </w:tr>
    </w:tbl>
    <w:p>
      <w:pPr>
        <w:spacing w:after="0" w:line="18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During the six months ended June 30, 2020</w:t>
      </w:r>
      <w:r>
        <w:rPr>
          <w:rFonts w:ascii="Arial" w:cs="Arial" w:eastAsia="Arial" w:hAnsi="Arial"/>
          <w:sz w:val="15"/>
          <w:szCs w:val="15"/>
          <w:color w:val="auto"/>
        </w:rPr>
        <w:t>,</w:t>
      </w:r>
      <w:r>
        <w:rPr>
          <w:rFonts w:ascii="Arial" w:cs="Arial" w:eastAsia="Arial" w:hAnsi="Arial"/>
          <w:sz w:val="17"/>
          <w:szCs w:val="17"/>
          <w:color w:val="auto"/>
        </w:rPr>
        <w:t xml:space="preserve"> we issued 237,500 performance awards to certain employees, payable in shares, with a fair value of $2.8 million. On May 19, 2020, we cancelled all performance award agreements previously awarded to all individuals during 2019 and the February 19, 2020 award. Concurrently with the cancellation, the Compensation Committee of the Board of Directors (the “Board”) approved 368,921 new performance awards to be issued to certain employees. These new performance awards were treated as a modification of the cancelled awards and resulted in an additional $1.7 million of incremental compensation costs.</w:t>
      </w:r>
    </w:p>
    <w:p>
      <w:pPr>
        <w:spacing w:after="0" w:line="77"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On June 25, 2020, we granted an additional 13,974 performance awards to our then Vice-President of Cemetery Sales and Marketing with a fair value of $0.2 million. On June 26, 2020, we cancelled 33,538 performance awards in connection with the resignation of our President and Chief Operating Officer.</w:t>
      </w:r>
    </w:p>
    <w:p>
      <w:pPr>
        <w:spacing w:after="0" w:line="38"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We recorded stock-based compensation expense, which is included in </w:t>
      </w:r>
      <w:r>
        <w:rPr>
          <w:rFonts w:ascii="Arial" w:cs="Arial" w:eastAsia="Arial" w:hAnsi="Arial"/>
          <w:sz w:val="17"/>
          <w:szCs w:val="17"/>
          <w:i w:val="1"/>
          <w:iCs w:val="1"/>
          <w:color w:val="auto"/>
        </w:rPr>
        <w:t>General, administrative and other expenses</w:t>
      </w:r>
      <w:r>
        <w:rPr>
          <w:rFonts w:ascii="Arial" w:cs="Arial" w:eastAsia="Arial" w:hAnsi="Arial"/>
          <w:sz w:val="17"/>
          <w:szCs w:val="17"/>
          <w:color w:val="auto"/>
        </w:rPr>
        <w:t xml:space="preserve">, for performance awards of $182,000 and $352,000 for the three months ended June 30, 2020 and 2021, respectively and $303,000 and $589,000 for the six months ended June 30, 2020 </w:t>
      </w:r>
      <w:r>
        <w:rPr>
          <w:rFonts w:ascii="Arial" w:cs="Arial" w:eastAsia="Arial" w:hAnsi="Arial"/>
          <w:sz w:val="15"/>
          <w:szCs w:val="15"/>
          <w:color w:val="auto"/>
        </w:rPr>
        <w:t>and</w:t>
      </w:r>
      <w:r>
        <w:rPr>
          <w:rFonts w:ascii="Arial" w:cs="Arial" w:eastAsia="Arial" w:hAnsi="Arial"/>
          <w:sz w:val="17"/>
          <w:szCs w:val="17"/>
          <w:color w:val="auto"/>
        </w:rPr>
        <w:t xml:space="preserve">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Stock Purchase Plan</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During the three months ended June 30, 2020 and 2021, employees purchased a total of 17,020 and 13,706 shares, respectively, at a weighted average price of $15.40 and $26.32 per share, respectively. During the six months ended June 30, 2020 and 2021, employees purchased a total of 43,314 and 31,888 shares, respectively, at a weighted average price of $14.39 and $26.32 per share, respectively.</w:t>
      </w:r>
    </w:p>
    <w:p>
      <w:pPr>
        <w:spacing w:after="0" w:line="73"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7"/>
          <w:szCs w:val="17"/>
          <w:color w:val="auto"/>
        </w:rPr>
        <w:t>The fair value of the right (option) to purchase shares under the ESPP is estimated at the date of purchase with the four quarterly purchase dates using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00" w:type="dxa"/>
            <w:vAlign w:val="bottom"/>
            <w:tcBorders>
              <w:bottom w:val="single" w:sz="8" w:color="CCEEFF"/>
            </w:tcBorders>
          </w:tcPr>
          <w:p>
            <w:pPr>
              <w:spacing w:after="0"/>
              <w:rPr>
                <w:sz w:val="19"/>
                <w:szCs w:val="19"/>
                <w:color w:val="auto"/>
              </w:rPr>
            </w:pPr>
          </w:p>
        </w:tc>
        <w:tc>
          <w:tcPr>
            <w:tcW w:w="2740" w:type="dxa"/>
            <w:vAlign w:val="bottom"/>
            <w:tcBorders>
              <w:bottom w:val="single" w:sz="8" w:color="auto"/>
            </w:tcBorders>
          </w:tcPr>
          <w:p>
            <w:pPr>
              <w:jc w:val="right"/>
              <w:ind w:right="1114"/>
              <w:spacing w:after="0"/>
              <w:rPr>
                <w:sz w:val="20"/>
                <w:szCs w:val="20"/>
                <w:color w:val="auto"/>
              </w:rPr>
            </w:pPr>
            <w:r>
              <w:rPr>
                <w:rFonts w:ascii="Arial" w:cs="Arial" w:eastAsia="Arial" w:hAnsi="Arial"/>
                <w:sz w:val="17"/>
                <w:szCs w:val="17"/>
                <w:b w:val="1"/>
                <w:bCs w:val="1"/>
                <w:color w:val="auto"/>
              </w:rPr>
              <w:t>2021</w:t>
            </w:r>
          </w:p>
        </w:tc>
      </w:tr>
      <w:tr>
        <w:trPr>
          <w:trHeight w:val="213"/>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2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r>
      <w:tr>
        <w:trPr>
          <w:trHeight w:val="219"/>
        </w:trPr>
        <w:tc>
          <w:tcPr>
            <w:tcW w:w="850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2740" w:type="dxa"/>
            <w:vAlign w:val="bottom"/>
          </w:tcPr>
          <w:p>
            <w:pPr>
              <w:jc w:val="right"/>
              <w:spacing w:after="0"/>
              <w:rPr>
                <w:sz w:val="20"/>
                <w:szCs w:val="20"/>
                <w:color w:val="auto"/>
              </w:rPr>
            </w:pPr>
            <w:r>
              <w:rPr>
                <w:rFonts w:ascii="Arial" w:cs="Arial" w:eastAsia="Arial" w:hAnsi="Arial"/>
                <w:sz w:val="17"/>
                <w:szCs w:val="17"/>
                <w:color w:val="auto"/>
              </w:rPr>
              <w:t>48.14%</w:t>
            </w:r>
          </w:p>
        </w:tc>
      </w:tr>
      <w:tr>
        <w:trPr>
          <w:trHeight w:val="220"/>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 0.09%, 0.10%, 0.10%</w:t>
            </w:r>
          </w:p>
        </w:tc>
      </w:tr>
      <w:tr>
        <w:trPr>
          <w:trHeight w:val="218"/>
        </w:trPr>
        <w:tc>
          <w:tcPr>
            <w:tcW w:w="8500" w:type="dxa"/>
            <w:vAlign w:val="bottom"/>
          </w:tcPr>
          <w:p>
            <w:pPr>
              <w:ind w:left="20"/>
              <w:spacing w:after="0"/>
              <w:rPr>
                <w:sz w:val="20"/>
                <w:szCs w:val="20"/>
                <w:color w:val="auto"/>
              </w:rPr>
            </w:pPr>
            <w:r>
              <w:rPr>
                <w:rFonts w:ascii="Arial" w:cs="Arial" w:eastAsia="Arial" w:hAnsi="Arial"/>
                <w:sz w:val="17"/>
                <w:szCs w:val="17"/>
                <w:color w:val="auto"/>
              </w:rPr>
              <w:t>Expected life (years)</w:t>
            </w:r>
          </w:p>
        </w:tc>
        <w:tc>
          <w:tcPr>
            <w:tcW w:w="2740" w:type="dxa"/>
            <w:vAlign w:val="bottom"/>
          </w:tcPr>
          <w:p>
            <w:pPr>
              <w:jc w:val="right"/>
              <w:spacing w:after="0"/>
              <w:rPr>
                <w:sz w:val="20"/>
                <w:szCs w:val="20"/>
                <w:color w:val="auto"/>
              </w:rPr>
            </w:pPr>
            <w:r>
              <w:rPr>
                <w:rFonts w:ascii="Arial" w:cs="Arial" w:eastAsia="Arial" w:hAnsi="Arial"/>
                <w:sz w:val="17"/>
                <w:szCs w:val="17"/>
                <w:color w:val="auto"/>
              </w:rPr>
              <w:t>0.25, 0.50, 0.75, 1.00</w:t>
            </w:r>
          </w:p>
        </w:tc>
      </w:tr>
    </w:tbl>
    <w:p>
      <w:pPr>
        <w:spacing w:after="0" w:line="170"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We recorded stock-based compensation expense, which is included in </w:t>
      </w:r>
      <w:r>
        <w:rPr>
          <w:rFonts w:ascii="Arial" w:cs="Arial" w:eastAsia="Arial" w:hAnsi="Arial"/>
          <w:sz w:val="17"/>
          <w:szCs w:val="17"/>
          <w:i w:val="1"/>
          <w:iCs w:val="1"/>
          <w:color w:val="auto"/>
        </w:rPr>
        <w:t>General, administrative and other expenses and Regional and unallocated funeral and</w:t>
      </w:r>
      <w:r>
        <w:rPr>
          <w:rFonts w:ascii="Arial" w:cs="Arial" w:eastAsia="Arial" w:hAnsi="Arial"/>
          <w:sz w:val="17"/>
          <w:szCs w:val="17"/>
          <w:color w:val="auto"/>
        </w:rPr>
        <w:t xml:space="preserve"> </w:t>
      </w:r>
      <w:r>
        <w:rPr>
          <w:rFonts w:ascii="Arial" w:cs="Arial" w:eastAsia="Arial" w:hAnsi="Arial"/>
          <w:sz w:val="17"/>
          <w:szCs w:val="17"/>
          <w:i w:val="1"/>
          <w:iCs w:val="1"/>
          <w:color w:val="auto"/>
        </w:rPr>
        <w:t>cemetery costs</w:t>
      </w:r>
      <w:r>
        <w:rPr>
          <w:rFonts w:ascii="Arial" w:cs="Arial" w:eastAsia="Arial" w:hAnsi="Arial"/>
          <w:sz w:val="17"/>
          <w:szCs w:val="17"/>
          <w:color w:val="auto"/>
        </w:rPr>
        <w:t>, for the ESPP totaling $80,000 and $135,000 for the three months ended June 30, 2020 and 2021, respectively and $244,000 and $341,000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six months ended June 30, 2020 </w:t>
      </w:r>
      <w:r>
        <w:rPr>
          <w:rFonts w:ascii="Arial" w:cs="Arial" w:eastAsia="Arial" w:hAnsi="Arial"/>
          <w:sz w:val="15"/>
          <w:szCs w:val="15"/>
          <w:color w:val="auto"/>
        </w:rPr>
        <w:t>and</w:t>
      </w:r>
      <w:r>
        <w:rPr>
          <w:rFonts w:ascii="Arial" w:cs="Arial" w:eastAsia="Arial" w:hAnsi="Arial"/>
          <w:sz w:val="17"/>
          <w:szCs w:val="17"/>
          <w:color w:val="auto"/>
        </w:rPr>
        <w:t xml:space="preserve">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Non-Employee Director Compensation</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During the three months ended June 30, 2021, we granted 4,333 shares of our common stock to six Directors and 135 shares of our common stock to an advisor to our Board, which were valued at $160,000 and $5,000, respectively, at a weighted average stock price of $36.97. During the six months ended June 30, 2021, we granted 9,373 shares of our common stock to six Directors and 277 shares of our common stock to an advisor to our Board, which were valued at $338,000 and $10,000, respectively, at a weighted average stock price of $36.01.</w:t>
      </w:r>
    </w:p>
    <w:p>
      <w:pPr>
        <w:spacing w:after="0" w:line="76"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During the three months ended June 30, 2020, we granted 7,859 shares of our common stock to five Directors, and 275 shares of common stock to an advisor to our Board, which were valued at $142,000 and $5,000 respectively at a weighted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2" w:name="page33"/>
    <w:bookmarkEnd w:id="32"/>
    <w:p>
      <w:pPr>
        <w:jc w:val="both"/>
        <w:spacing w:after="0" w:line="312" w:lineRule="auto"/>
        <w:rPr>
          <w:sz w:val="20"/>
          <w:szCs w:val="20"/>
          <w:color w:val="auto"/>
        </w:rPr>
      </w:pPr>
      <w:r>
        <w:rPr>
          <w:rFonts w:ascii="Arial" w:cs="Arial" w:eastAsia="Arial" w:hAnsi="Arial"/>
          <w:sz w:val="16"/>
          <w:szCs w:val="16"/>
          <w:color w:val="auto"/>
        </w:rPr>
        <w:t>average stock price of $18.12. During the six months ended June 30, 2020, we granted 16,680 shares of our common stock to five Directors, and 584 shares of common stock to an advisor to our Board, which were valued at $285,000 and $10,000, respectively at a weighted average stock price of $17.08.</w:t>
      </w:r>
    </w:p>
    <w:p>
      <w:pPr>
        <w:spacing w:after="0" w:line="38"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We recorded stock-based compensation expense, which is included in </w:t>
      </w:r>
      <w:r>
        <w:rPr>
          <w:rFonts w:ascii="Arial" w:cs="Arial" w:eastAsia="Arial" w:hAnsi="Arial"/>
          <w:sz w:val="17"/>
          <w:szCs w:val="17"/>
          <w:i w:val="1"/>
          <w:iCs w:val="1"/>
          <w:color w:val="auto"/>
        </w:rPr>
        <w:t>General, administrative and other expenses</w:t>
      </w:r>
      <w:r>
        <w:rPr>
          <w:rFonts w:ascii="Arial" w:cs="Arial" w:eastAsia="Arial" w:hAnsi="Arial"/>
          <w:sz w:val="17"/>
          <w:szCs w:val="17"/>
          <w:color w:val="auto"/>
        </w:rPr>
        <w:t xml:space="preserve">, related to annual retainers, including the value of stock granted to Directors and an advisor to our Board, of $201,000 and $219,000 for the three months ended June 30, 2020 and 2021, respectively and $402,000 and $455,000 for the six months ended June 30, 2020 </w:t>
      </w:r>
      <w:r>
        <w:rPr>
          <w:rFonts w:ascii="Arial" w:cs="Arial" w:eastAsia="Arial" w:hAnsi="Arial"/>
          <w:sz w:val="15"/>
          <w:szCs w:val="15"/>
          <w:color w:val="auto"/>
        </w:rPr>
        <w:t>and</w:t>
      </w:r>
      <w:r>
        <w:rPr>
          <w:rFonts w:ascii="Arial" w:cs="Arial" w:eastAsia="Arial" w:hAnsi="Arial"/>
          <w:sz w:val="17"/>
          <w:szCs w:val="17"/>
          <w:color w:val="auto"/>
        </w:rPr>
        <w:t xml:space="preserve">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Repurchase</w:t>
      </w:r>
    </w:p>
    <w:p>
      <w:pPr>
        <w:spacing w:after="0" w:line="114"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On May 18, 2021, our Board approved an additional $25.0 million under our share repurchase program in accordance with Rule 10b-18 of the Securities Exchange Act of 1934, as amended (the “Exchange Act”). During the three and six months ended June 30, 2021, we repurchased 324,700 shares of common stock (of which 24,700 settled in July 2021) for a total cost of $12.3 million (of which $742,000 settled in July 2021) at an average cost of $37.88 per share pursuant to our share repurchase program. 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shares. At June 30, 2021, we had approximately $38.3 million available for repurchase under our share repurchase program. See Note 18 to the Consolidated Financial Statements included herein for additional information related to our share repurchase program.</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Dividends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Board declared the following dividends payable on the dates below (in thousands, except per share amounts):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2021</w:t>
            </w:r>
          </w:p>
        </w:tc>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c>
          <w:tcPr>
            <w:tcW w:w="1280" w:type="dxa"/>
            <w:vAlign w:val="bottom"/>
          </w:tcPr>
          <w:p>
            <w:pPr>
              <w:jc w:val="right"/>
              <w:ind w:right="260"/>
              <w:spacing w:after="0"/>
              <w:rPr>
                <w:sz w:val="20"/>
                <w:szCs w:val="20"/>
                <w:color w:val="auto"/>
              </w:rPr>
            </w:pPr>
            <w:r>
              <w:rPr>
                <w:rFonts w:ascii="Arial" w:cs="Arial" w:eastAsia="Arial" w:hAnsi="Arial"/>
                <w:sz w:val="14"/>
                <w:szCs w:val="14"/>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spacing w:after="0" w:line="211" w:lineRule="exact"/>
              <w:rPr>
                <w:sz w:val="20"/>
                <w:szCs w:val="20"/>
                <w:color w:val="auto"/>
              </w:rPr>
            </w:pPr>
            <w:r>
              <w:rPr>
                <w:rFonts w:ascii="Arial" w:cs="Arial" w:eastAsia="Arial" w:hAnsi="Arial"/>
                <w:sz w:val="17"/>
                <w:szCs w:val="17"/>
                <w:color w:val="auto"/>
              </w:rPr>
              <w:t>March 1</w:t>
            </w:r>
            <w:r>
              <w:rPr>
                <w:rFonts w:ascii="Arial" w:cs="Arial" w:eastAsia="Arial" w:hAnsi="Arial"/>
                <w:sz w:val="22"/>
                <w:szCs w:val="22"/>
                <w:color w:val="auto"/>
                <w:vertAlign w:val="superscript"/>
              </w:rPr>
              <w:t>st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w:t>
            </w:r>
          </w:p>
        </w:tc>
      </w:tr>
      <w:tr>
        <w:trPr>
          <w:trHeight w:val="291"/>
        </w:trPr>
        <w:tc>
          <w:tcPr>
            <w:tcW w:w="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June 1</w:t>
            </w:r>
            <w:r>
              <w:rPr>
                <w:rFonts w:ascii="Arial" w:cs="Arial" w:eastAsia="Arial" w:hAnsi="Arial"/>
                <w:sz w:val="22"/>
                <w:szCs w:val="22"/>
                <w:color w:val="auto"/>
                <w:vertAlign w:val="superscript"/>
              </w:rPr>
              <w:t>st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0.100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1,808</w:t>
            </w:r>
          </w:p>
        </w:tc>
      </w:tr>
      <w:tr>
        <w:trPr>
          <w:trHeight w:val="225"/>
        </w:trPr>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2020</w:t>
            </w:r>
          </w:p>
        </w:tc>
        <w:tc>
          <w:tcPr>
            <w:tcW w:w="7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9"/>
                <w:szCs w:val="19"/>
                <w:color w:val="auto"/>
              </w:rPr>
            </w:pPr>
          </w:p>
        </w:tc>
        <w:tc>
          <w:tcPr>
            <w:tcW w:w="1280" w:type="dxa"/>
            <w:vAlign w:val="bottom"/>
          </w:tcPr>
          <w:p>
            <w:pPr>
              <w:jc w:val="right"/>
              <w:ind w:right="400"/>
              <w:spacing w:after="0"/>
              <w:rPr>
                <w:sz w:val="20"/>
                <w:szCs w:val="20"/>
                <w:color w:val="auto"/>
              </w:rPr>
            </w:pPr>
            <w:r>
              <w:rPr>
                <w:rFonts w:ascii="Arial" w:cs="Arial" w:eastAsia="Arial" w:hAnsi="Arial"/>
                <w:sz w:val="14"/>
                <w:szCs w:val="14"/>
                <w:b w:val="1"/>
                <w:bCs w:val="1"/>
                <w:color w:val="auto"/>
                <w:w w:val="96"/>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spacing w:after="0" w:line="211" w:lineRule="exact"/>
              <w:rPr>
                <w:sz w:val="20"/>
                <w:szCs w:val="20"/>
                <w:color w:val="auto"/>
              </w:rPr>
            </w:pPr>
            <w:r>
              <w:rPr>
                <w:rFonts w:ascii="Arial" w:cs="Arial" w:eastAsia="Arial" w:hAnsi="Arial"/>
                <w:sz w:val="17"/>
                <w:szCs w:val="17"/>
                <w:color w:val="auto"/>
              </w:rPr>
              <w:t>March 1</w:t>
            </w:r>
            <w:r>
              <w:rPr>
                <w:rFonts w:ascii="Arial" w:cs="Arial" w:eastAsia="Arial" w:hAnsi="Arial"/>
                <w:sz w:val="22"/>
                <w:szCs w:val="22"/>
                <w:color w:val="auto"/>
                <w:vertAlign w:val="superscript"/>
              </w:rPr>
              <w:t>st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r>
      <w:tr>
        <w:trPr>
          <w:trHeight w:val="291"/>
        </w:trPr>
        <w:tc>
          <w:tcPr>
            <w:tcW w:w="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June 1</w:t>
            </w:r>
            <w:r>
              <w:rPr>
                <w:rFonts w:ascii="Arial" w:cs="Arial" w:eastAsia="Arial" w:hAnsi="Arial"/>
                <w:sz w:val="22"/>
                <w:szCs w:val="22"/>
                <w:color w:val="auto"/>
                <w:vertAlign w:val="superscript"/>
              </w:rPr>
              <w:t>st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0.075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1,343</w:t>
            </w:r>
          </w:p>
        </w:tc>
      </w:tr>
    </w:tbl>
    <w:p>
      <w:pPr>
        <w:spacing w:after="0" w:line="259" w:lineRule="exact"/>
        <w:rPr>
          <w:sz w:val="20"/>
          <w:szCs w:val="20"/>
          <w:color w:val="auto"/>
        </w:rPr>
      </w:pPr>
    </w:p>
    <w:p>
      <w:pPr>
        <w:ind w:left="620" w:hanging="617"/>
        <w:spacing w:after="0"/>
        <w:tabs>
          <w:tab w:leader="none" w:pos="62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ind w:left="400"/>
              <w:spacing w:after="0"/>
              <w:rPr>
                <w:sz w:val="20"/>
                <w:szCs w:val="20"/>
                <w:color w:val="auto"/>
              </w:rPr>
            </w:pPr>
            <w:r>
              <w:rPr>
                <w:rFonts w:ascii="Arial" w:cs="Arial" w:eastAsia="Arial" w:hAnsi="Arial"/>
                <w:sz w:val="17"/>
                <w:szCs w:val="17"/>
                <w:color w:val="auto"/>
              </w:rPr>
              <w:t>The  following  table  sets</w:t>
            </w:r>
          </w:p>
        </w:tc>
        <w:tc>
          <w:tcPr>
            <w:tcW w:w="740" w:type="dxa"/>
            <w:vAlign w:val="bottom"/>
          </w:tcPr>
          <w:p>
            <w:pPr>
              <w:jc w:val="right"/>
              <w:spacing w:after="0"/>
              <w:rPr>
                <w:sz w:val="20"/>
                <w:szCs w:val="20"/>
                <w:color w:val="auto"/>
              </w:rPr>
            </w:pPr>
            <w:r>
              <w:rPr>
                <w:rFonts w:ascii="Arial" w:cs="Arial" w:eastAsia="Arial" w:hAnsi="Arial"/>
                <w:sz w:val="17"/>
                <w:szCs w:val="17"/>
                <w:color w:val="auto"/>
              </w:rPr>
              <w:t>forth  the</w:t>
            </w:r>
          </w:p>
        </w:tc>
        <w:tc>
          <w:tcPr>
            <w:tcW w:w="1060" w:type="dxa"/>
            <w:vAlign w:val="bottom"/>
            <w:gridSpan w:val="3"/>
          </w:tcPr>
          <w:p>
            <w:pPr>
              <w:ind w:left="120"/>
              <w:spacing w:after="0"/>
              <w:rPr>
                <w:sz w:val="20"/>
                <w:szCs w:val="20"/>
                <w:color w:val="auto"/>
              </w:rPr>
            </w:pPr>
            <w:r>
              <w:rPr>
                <w:rFonts w:ascii="Arial" w:cs="Arial" w:eastAsia="Arial" w:hAnsi="Arial"/>
                <w:sz w:val="17"/>
                <w:szCs w:val="17"/>
                <w:color w:val="auto"/>
                <w:w w:val="99"/>
              </w:rPr>
              <w:t>computation</w:t>
            </w:r>
          </w:p>
        </w:tc>
        <w:tc>
          <w:tcPr>
            <w:tcW w:w="640" w:type="dxa"/>
            <w:vAlign w:val="bottom"/>
          </w:tcPr>
          <w:p>
            <w:pPr>
              <w:jc w:val="right"/>
              <w:spacing w:after="0"/>
              <w:rPr>
                <w:sz w:val="20"/>
                <w:szCs w:val="20"/>
                <w:color w:val="auto"/>
              </w:rPr>
            </w:pPr>
            <w:r>
              <w:rPr>
                <w:rFonts w:ascii="Arial" w:cs="Arial" w:eastAsia="Arial" w:hAnsi="Arial"/>
                <w:sz w:val="17"/>
                <w:szCs w:val="17"/>
                <w:color w:val="auto"/>
              </w:rPr>
              <w:t>of  the</w:t>
            </w:r>
          </w:p>
        </w:tc>
        <w:tc>
          <w:tcPr>
            <w:tcW w:w="840" w:type="dxa"/>
            <w:vAlign w:val="bottom"/>
            <w:gridSpan w:val="2"/>
          </w:tcPr>
          <w:p>
            <w:pPr>
              <w:ind w:left="80"/>
              <w:spacing w:after="0"/>
              <w:rPr>
                <w:sz w:val="20"/>
                <w:szCs w:val="20"/>
                <w:color w:val="auto"/>
              </w:rPr>
            </w:pPr>
            <w:r>
              <w:rPr>
                <w:rFonts w:ascii="Arial" w:cs="Arial" w:eastAsia="Arial" w:hAnsi="Arial"/>
                <w:sz w:val="17"/>
                <w:szCs w:val="17"/>
                <w:color w:val="auto"/>
                <w:w w:val="95"/>
              </w:rPr>
              <w:t>basic  and</w:t>
            </w:r>
          </w:p>
        </w:tc>
        <w:tc>
          <w:tcPr>
            <w:tcW w:w="680" w:type="dxa"/>
            <w:vAlign w:val="bottom"/>
          </w:tcPr>
          <w:p>
            <w:pPr>
              <w:jc w:val="right"/>
              <w:spacing w:after="0"/>
              <w:rPr>
                <w:sz w:val="20"/>
                <w:szCs w:val="20"/>
                <w:color w:val="auto"/>
              </w:rPr>
            </w:pPr>
            <w:r>
              <w:rPr>
                <w:rFonts w:ascii="Arial" w:cs="Arial" w:eastAsia="Arial" w:hAnsi="Arial"/>
                <w:sz w:val="17"/>
                <w:szCs w:val="17"/>
                <w:color w:val="auto"/>
              </w:rPr>
              <w:t>diluted</w:t>
            </w:r>
          </w:p>
        </w:tc>
        <w:tc>
          <w:tcPr>
            <w:tcW w:w="1100" w:type="dxa"/>
            <w:vAlign w:val="bottom"/>
            <w:gridSpan w:val="3"/>
          </w:tcPr>
          <w:p>
            <w:pPr>
              <w:ind w:left="80"/>
              <w:spacing w:after="0"/>
              <w:rPr>
                <w:sz w:val="20"/>
                <w:szCs w:val="20"/>
                <w:color w:val="auto"/>
              </w:rPr>
            </w:pPr>
            <w:r>
              <w:rPr>
                <w:rFonts w:ascii="Arial" w:cs="Arial" w:eastAsia="Arial" w:hAnsi="Arial"/>
                <w:sz w:val="17"/>
                <w:szCs w:val="17"/>
                <w:color w:val="auto"/>
              </w:rPr>
              <w:t>earnings  per</w:t>
            </w: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share</w:t>
            </w:r>
          </w:p>
        </w:tc>
        <w:tc>
          <w:tcPr>
            <w:tcW w:w="3160" w:type="dxa"/>
            <w:vAlign w:val="bottom"/>
            <w:gridSpan w:val="2"/>
          </w:tcPr>
          <w:p>
            <w:pPr>
              <w:ind w:left="80"/>
              <w:spacing w:after="0"/>
              <w:rPr>
                <w:sz w:val="20"/>
                <w:szCs w:val="20"/>
                <w:color w:val="auto"/>
              </w:rPr>
            </w:pPr>
            <w:r>
              <w:rPr>
                <w:rFonts w:ascii="Arial" w:cs="Arial" w:eastAsia="Arial" w:hAnsi="Arial"/>
                <w:sz w:val="17"/>
                <w:szCs w:val="17"/>
                <w:color w:val="auto"/>
                <w:w w:val="98"/>
              </w:rPr>
              <w:t>(in  thousands,  except  per  share  data):</w:t>
            </w: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40" w:type="dxa"/>
            <w:vAlign w:val="bottom"/>
            <w:gridSpan w:val="6"/>
          </w:tcPr>
          <w:p>
            <w:pPr>
              <w:ind w:left="40"/>
              <w:spacing w:after="0"/>
              <w:rPr>
                <w:sz w:val="20"/>
                <w:szCs w:val="20"/>
                <w:color w:val="auto"/>
              </w:rPr>
            </w:pPr>
            <w:r>
              <w:rPr>
                <w:rFonts w:ascii="Arial" w:cs="Arial" w:eastAsia="Arial" w:hAnsi="Arial"/>
                <w:sz w:val="15"/>
                <w:szCs w:val="15"/>
                <w:b w:val="1"/>
                <w:bCs w:val="1"/>
                <w:color w:val="auto"/>
              </w:rPr>
              <w:t>Three months ended June 30,</w:t>
            </w:r>
          </w:p>
        </w:tc>
        <w:tc>
          <w:tcPr>
            <w:tcW w:w="680" w:type="dxa"/>
            <w:vAlign w:val="bottom"/>
          </w:tcPr>
          <w:p>
            <w:pPr>
              <w:spacing w:after="0"/>
              <w:rPr>
                <w:sz w:val="20"/>
                <w:szCs w:val="20"/>
                <w:color w:val="auto"/>
              </w:rPr>
            </w:pPr>
          </w:p>
        </w:tc>
        <w:tc>
          <w:tcPr>
            <w:tcW w:w="4780" w:type="dxa"/>
            <w:vAlign w:val="bottom"/>
            <w:gridSpan w:val="6"/>
          </w:tcPr>
          <w:p>
            <w:pPr>
              <w:ind w:left="16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200"/>
        </w:trPr>
        <w:tc>
          <w:tcPr>
            <w:tcW w:w="25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5"/>
                <w:szCs w:val="15"/>
                <w:b w:val="1"/>
                <w:bCs w:val="1"/>
                <w:color w:val="auto"/>
                <w:w w:val="95"/>
              </w:rPr>
              <w:t>2020</w:t>
            </w:r>
          </w:p>
        </w:tc>
        <w:tc>
          <w:tcPr>
            <w:tcW w:w="1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4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5"/>
                <w:szCs w:val="15"/>
                <w:b w:val="1"/>
                <w:bCs w:val="1"/>
                <w:color w:val="auto"/>
                <w:w w:val="95"/>
              </w:rPr>
              <w:t>2021</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00" w:type="dxa"/>
            <w:vAlign w:val="bottom"/>
            <w:shd w:val="clear" w:color="auto" w:fill="CCEEFF"/>
          </w:tcPr>
          <w:p>
            <w:pPr>
              <w:ind w:left="400"/>
              <w:spacing w:after="0" w:line="150" w:lineRule="exact"/>
              <w:rPr>
                <w:sz w:val="20"/>
                <w:szCs w:val="20"/>
                <w:color w:val="auto"/>
              </w:rPr>
            </w:pPr>
            <w:r>
              <w:rPr>
                <w:rFonts w:ascii="Arial" w:cs="Arial" w:eastAsia="Arial" w:hAnsi="Arial"/>
                <w:sz w:val="17"/>
                <w:szCs w:val="17"/>
                <w:b w:val="1"/>
                <w:bCs w:val="1"/>
                <w:color w:val="auto"/>
              </w:rPr>
              <w:t>Numerator for basic and</w:t>
            </w: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diluted earnings per share:</w:t>
            </w: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500" w:type="dxa"/>
            <w:vAlign w:val="bottom"/>
          </w:tcPr>
          <w:p>
            <w:pPr>
              <w:ind w:left="400"/>
              <w:spacing w:after="0"/>
              <w:rPr>
                <w:sz w:val="20"/>
                <w:szCs w:val="20"/>
                <w:color w:val="auto"/>
              </w:rPr>
            </w:pPr>
            <w:r>
              <w:rPr>
                <w:rFonts w:ascii="Arial" w:cs="Arial" w:eastAsia="Arial" w:hAnsi="Arial"/>
                <w:sz w:val="17"/>
                <w:szCs w:val="17"/>
                <w:color w:val="auto"/>
              </w:rPr>
              <w:t>Net income (loss)</w:t>
            </w:r>
          </w:p>
        </w:tc>
        <w:tc>
          <w:tcPr>
            <w:tcW w:w="74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6,397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(6,167)</w:t>
            </w:r>
          </w:p>
        </w:tc>
        <w:tc>
          <w:tcPr>
            <w:tcW w:w="160" w:type="dxa"/>
            <w:vAlign w:val="bottom"/>
          </w:tcPr>
          <w:p>
            <w:pPr>
              <w:spacing w:after="0"/>
              <w:rPr>
                <w:sz w:val="21"/>
                <w:szCs w:val="21"/>
                <w:color w:val="auto"/>
              </w:rPr>
            </w:pP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2,200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6,766</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500" w:type="dxa"/>
            <w:vAlign w:val="bottom"/>
            <w:shd w:val="clear" w:color="auto" w:fill="CCEEFF"/>
          </w:tcPr>
          <w:p>
            <w:pPr>
              <w:ind w:left="600"/>
              <w:spacing w:after="0" w:line="169" w:lineRule="exact"/>
              <w:rPr>
                <w:sz w:val="20"/>
                <w:szCs w:val="20"/>
                <w:color w:val="auto"/>
              </w:rPr>
            </w:pPr>
            <w:r>
              <w:rPr>
                <w:rFonts w:ascii="Arial" w:cs="Arial" w:eastAsia="Arial" w:hAnsi="Arial"/>
                <w:sz w:val="17"/>
                <w:szCs w:val="17"/>
                <w:color w:val="auto"/>
              </w:rPr>
              <w:t>Less: Loss (earnings)</w:t>
            </w: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w w:val="96"/>
              </w:rPr>
              <w:t>allocated to unvested restricted</w:t>
            </w:r>
          </w:p>
        </w:tc>
        <w:tc>
          <w:tcPr>
            <w:tcW w:w="7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ind w:left="380"/>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420"/>
              <w:spacing w:after="0"/>
              <w:rPr>
                <w:sz w:val="20"/>
                <w:szCs w:val="20"/>
                <w:color w:val="auto"/>
              </w:rPr>
            </w:pPr>
            <w:r>
              <w:rPr>
                <w:rFonts w:ascii="Arial" w:cs="Arial" w:eastAsia="Arial" w:hAnsi="Arial"/>
                <w:sz w:val="17"/>
                <w:szCs w:val="17"/>
                <w:color w:val="auto"/>
              </w:rPr>
              <w:t>(13)</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w:t>
            </w:r>
          </w:p>
        </w:tc>
        <w:tc>
          <w:tcPr>
            <w:tcW w:w="7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400"/>
              <w:spacing w:after="0" w:line="149" w:lineRule="exact"/>
              <w:rPr>
                <w:sz w:val="20"/>
                <w:szCs w:val="20"/>
                <w:color w:val="auto"/>
              </w:rPr>
            </w:pPr>
            <w:r>
              <w:rPr>
                <w:rFonts w:ascii="Arial" w:cs="Arial" w:eastAsia="Arial" w:hAnsi="Arial"/>
                <w:sz w:val="17"/>
                <w:szCs w:val="17"/>
                <w:color w:val="auto"/>
                <w:w w:val="99"/>
              </w:rPr>
              <w:t>Income (loss) attributable to</w:t>
            </w:r>
          </w:p>
        </w:tc>
        <w:tc>
          <w:tcPr>
            <w:tcW w:w="740" w:type="dxa"/>
            <w:vAlign w:val="bottom"/>
            <w:vMerge w:val="restart"/>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6,379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234"/>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(6,159)</w:t>
            </w:r>
          </w:p>
        </w:tc>
        <w:tc>
          <w:tcPr>
            <w:tcW w:w="160" w:type="dxa"/>
            <w:vAlign w:val="bottom"/>
          </w:tcPr>
          <w:p>
            <w:pPr>
              <w:spacing w:after="0"/>
              <w:rPr>
                <w:sz w:val="12"/>
                <w:szCs w:val="12"/>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auto"/>
              </w:rPr>
              <w:t>2,192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84"/>
              </w:rPr>
              <w:t>$</w:t>
            </w:r>
          </w:p>
        </w:tc>
        <w:tc>
          <w:tcPr>
            <w:tcW w:w="760" w:type="dxa"/>
            <w:vAlign w:val="bottom"/>
            <w:vMerge w:val="restart"/>
          </w:tcPr>
          <w:p>
            <w:pPr>
              <w:jc w:val="right"/>
              <w:ind w:right="15"/>
              <w:spacing w:after="0"/>
              <w:rPr>
                <w:sz w:val="20"/>
                <w:szCs w:val="20"/>
                <w:color w:val="auto"/>
              </w:rPr>
            </w:pPr>
            <w:r>
              <w:rPr>
                <w:rFonts w:ascii="Arial" w:cs="Arial" w:eastAsia="Arial" w:hAnsi="Arial"/>
                <w:sz w:val="17"/>
                <w:szCs w:val="17"/>
                <w:color w:val="auto"/>
              </w:rPr>
              <w:t>6,753</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line="194" w:lineRule="exact"/>
              <w:rPr>
                <w:sz w:val="20"/>
                <w:szCs w:val="20"/>
                <w:color w:val="auto"/>
              </w:rPr>
            </w:pPr>
            <w:r>
              <w:rPr>
                <w:rFonts w:ascii="Arial" w:cs="Arial" w:eastAsia="Arial" w:hAnsi="Arial"/>
                <w:sz w:val="17"/>
                <w:szCs w:val="17"/>
                <w:color w:val="auto"/>
              </w:rPr>
              <w:t>common stockholders</w:t>
            </w:r>
          </w:p>
        </w:tc>
        <w:tc>
          <w:tcPr>
            <w:tcW w:w="7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00" w:type="dxa"/>
            <w:vAlign w:val="bottom"/>
          </w:tcPr>
          <w:p>
            <w:pPr>
              <w:ind w:left="400"/>
              <w:spacing w:after="0"/>
              <w:rPr>
                <w:sz w:val="20"/>
                <w:szCs w:val="20"/>
                <w:color w:val="auto"/>
              </w:rPr>
            </w:pPr>
            <w:r>
              <w:rPr>
                <w:rFonts w:ascii="Arial" w:cs="Arial" w:eastAsia="Arial" w:hAnsi="Arial"/>
                <w:sz w:val="17"/>
                <w:szCs w:val="17"/>
                <w:b w:val="1"/>
                <w:bCs w:val="1"/>
                <w:color w:val="auto"/>
              </w:rPr>
              <w:t>Denominator:</w:t>
            </w: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500" w:type="dxa"/>
            <w:vAlign w:val="bottom"/>
            <w:shd w:val="clear" w:color="auto" w:fill="CCEEFF"/>
          </w:tcPr>
          <w:p>
            <w:pPr>
              <w:ind w:left="400"/>
              <w:spacing w:after="0" w:line="169" w:lineRule="exact"/>
              <w:rPr>
                <w:sz w:val="20"/>
                <w:szCs w:val="20"/>
                <w:color w:val="auto"/>
              </w:rPr>
            </w:pPr>
            <w:r>
              <w:rPr>
                <w:rFonts w:ascii="Arial" w:cs="Arial" w:eastAsia="Arial" w:hAnsi="Arial"/>
                <w:sz w:val="17"/>
                <w:szCs w:val="17"/>
                <w:color w:val="auto"/>
              </w:rPr>
              <w:t>Denominator for basic</w:t>
            </w: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earnings per common share -</w:t>
            </w: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weighted average shares</w:t>
            </w:r>
          </w:p>
        </w:tc>
        <w:tc>
          <w:tcPr>
            <w:tcW w:w="7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17,860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17,967</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17,833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17,966</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w:t>
            </w:r>
          </w:p>
        </w:tc>
        <w:tc>
          <w:tcPr>
            <w:tcW w:w="7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00" w:type="dxa"/>
            <w:vAlign w:val="bottom"/>
          </w:tcPr>
          <w:p>
            <w:pPr>
              <w:ind w:left="400"/>
              <w:spacing w:after="0"/>
              <w:rPr>
                <w:sz w:val="20"/>
                <w:szCs w:val="20"/>
                <w:color w:val="auto"/>
              </w:rPr>
            </w:pPr>
            <w:r>
              <w:rPr>
                <w:rFonts w:ascii="Arial" w:cs="Arial" w:eastAsia="Arial" w:hAnsi="Arial"/>
                <w:sz w:val="17"/>
                <w:szCs w:val="17"/>
                <w:color w:val="auto"/>
              </w:rPr>
              <w:t>Effect of dilutive securities:</w:t>
            </w: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500" w:type="dxa"/>
            <w:vAlign w:val="bottom"/>
            <w:shd w:val="clear" w:color="auto" w:fill="CCEEFF"/>
          </w:tcPr>
          <w:p>
            <w:pPr>
              <w:ind w:left="600"/>
              <w:spacing w:after="0"/>
              <w:rPr>
                <w:sz w:val="20"/>
                <w:szCs w:val="20"/>
                <w:color w:val="auto"/>
              </w:rPr>
            </w:pPr>
            <w:r>
              <w:rPr>
                <w:rFonts w:ascii="Arial" w:cs="Arial" w:eastAsia="Arial" w:hAnsi="Arial"/>
                <w:sz w:val="17"/>
                <w:szCs w:val="17"/>
                <w:color w:val="auto"/>
              </w:rPr>
              <w:t>Stock options</w:t>
            </w:r>
          </w:p>
        </w:tc>
        <w:tc>
          <w:tcPr>
            <w:tcW w:w="7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232</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00" w:type="dxa"/>
            <w:vAlign w:val="bottom"/>
          </w:tcPr>
          <w:p>
            <w:pPr>
              <w:ind w:left="600"/>
              <w:spacing w:after="0"/>
              <w:rPr>
                <w:sz w:val="20"/>
                <w:szCs w:val="20"/>
                <w:color w:val="auto"/>
              </w:rPr>
            </w:pPr>
            <w:r>
              <w:rPr>
                <w:rFonts w:ascii="Arial" w:cs="Arial" w:eastAsia="Arial" w:hAnsi="Arial"/>
                <w:sz w:val="17"/>
                <w:szCs w:val="17"/>
                <w:color w:val="auto"/>
              </w:rPr>
              <w:t>Performance awards</w:t>
            </w:r>
          </w:p>
        </w:tc>
        <w:tc>
          <w:tcPr>
            <w:tcW w:w="740" w:type="dxa"/>
            <w:vAlign w:val="bottom"/>
          </w:tcPr>
          <w:p>
            <w:pPr>
              <w:spacing w:after="0"/>
              <w:rPr>
                <w:sz w:val="21"/>
                <w:szCs w:val="21"/>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331</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166</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500" w:type="dxa"/>
            <w:vAlign w:val="bottom"/>
            <w:tcBorders>
              <w:top w:val="single" w:sz="8" w:color="CCEEFF"/>
            </w:tcBorders>
            <w:shd w:val="clear" w:color="auto" w:fill="CCEEFF"/>
          </w:tcPr>
          <w:p>
            <w:pPr>
              <w:ind w:left="400"/>
              <w:spacing w:after="0" w:line="150" w:lineRule="exact"/>
              <w:rPr>
                <w:sz w:val="20"/>
                <w:szCs w:val="20"/>
                <w:color w:val="auto"/>
              </w:rPr>
            </w:pPr>
            <w:r>
              <w:rPr>
                <w:rFonts w:ascii="Arial" w:cs="Arial" w:eastAsia="Arial" w:hAnsi="Arial"/>
                <w:sz w:val="17"/>
                <w:szCs w:val="17"/>
                <w:color w:val="auto"/>
              </w:rPr>
              <w:t>Denominator for diluted</w:t>
            </w:r>
          </w:p>
        </w:tc>
        <w:tc>
          <w:tcPr>
            <w:tcW w:w="7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earnings per common share -</w:t>
            </w: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weighted average shares</w:t>
            </w:r>
          </w:p>
        </w:tc>
        <w:tc>
          <w:tcPr>
            <w:tcW w:w="7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17,889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18,511</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17,862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18,364</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outstanding</w:t>
            </w:r>
          </w:p>
        </w:tc>
        <w:tc>
          <w:tcPr>
            <w:tcW w:w="7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00" w:type="dxa"/>
            <w:vAlign w:val="bottom"/>
            <w:shd w:val="clear" w:color="auto" w:fill="CCEEFF"/>
          </w:tcPr>
          <w:p>
            <w:pPr>
              <w:ind w:left="400"/>
              <w:spacing w:after="0" w:line="168" w:lineRule="exact"/>
              <w:rPr>
                <w:sz w:val="20"/>
                <w:szCs w:val="20"/>
                <w:color w:val="auto"/>
              </w:rPr>
            </w:pPr>
            <w:r>
              <w:rPr>
                <w:rFonts w:ascii="Arial" w:cs="Arial" w:eastAsia="Arial" w:hAnsi="Arial"/>
                <w:sz w:val="17"/>
                <w:szCs w:val="17"/>
                <w:color w:val="auto"/>
              </w:rPr>
              <w:t>Basic earnings (loss) per</w:t>
            </w:r>
          </w:p>
        </w:tc>
        <w:tc>
          <w:tcPr>
            <w:tcW w:w="7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0.12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0.38</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share:</w:t>
            </w: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400"/>
              <w:spacing w:after="0" w:line="149" w:lineRule="exact"/>
              <w:rPr>
                <w:sz w:val="20"/>
                <w:szCs w:val="20"/>
                <w:color w:val="auto"/>
              </w:rPr>
            </w:pPr>
            <w:r>
              <w:rPr>
                <w:rFonts w:ascii="Arial" w:cs="Arial" w:eastAsia="Arial" w:hAnsi="Arial"/>
                <w:sz w:val="17"/>
                <w:szCs w:val="17"/>
                <w:color w:val="auto"/>
              </w:rPr>
              <w:t>Diluted earnings (loss) per</w:t>
            </w:r>
          </w:p>
        </w:tc>
        <w:tc>
          <w:tcPr>
            <w:tcW w:w="740" w:type="dxa"/>
            <w:vAlign w:val="bottom"/>
            <w:vMerge w:val="restart"/>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0.36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234"/>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(0.33)</w:t>
            </w:r>
          </w:p>
        </w:tc>
        <w:tc>
          <w:tcPr>
            <w:tcW w:w="160" w:type="dxa"/>
            <w:vAlign w:val="bottom"/>
          </w:tcPr>
          <w:p>
            <w:pPr>
              <w:spacing w:after="0"/>
              <w:rPr>
                <w:sz w:val="12"/>
                <w:szCs w:val="12"/>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auto"/>
              </w:rPr>
              <w:t>0.12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84"/>
              </w:rPr>
              <w:t>$</w:t>
            </w:r>
          </w:p>
        </w:tc>
        <w:tc>
          <w:tcPr>
            <w:tcW w:w="760" w:type="dxa"/>
            <w:vAlign w:val="bottom"/>
            <w:vMerge w:val="restart"/>
          </w:tcPr>
          <w:p>
            <w:pPr>
              <w:jc w:val="right"/>
              <w:ind w:right="15"/>
              <w:spacing w:after="0"/>
              <w:rPr>
                <w:sz w:val="20"/>
                <w:szCs w:val="20"/>
                <w:color w:val="auto"/>
              </w:rPr>
            </w:pPr>
            <w:r>
              <w:rPr>
                <w:rFonts w:ascii="Arial" w:cs="Arial" w:eastAsia="Arial" w:hAnsi="Arial"/>
                <w:sz w:val="17"/>
                <w:szCs w:val="17"/>
                <w:color w:val="auto"/>
              </w:rPr>
              <w:t>0.37</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line="194" w:lineRule="exact"/>
              <w:rPr>
                <w:sz w:val="20"/>
                <w:szCs w:val="20"/>
                <w:color w:val="auto"/>
              </w:rPr>
            </w:pPr>
            <w:r>
              <w:rPr>
                <w:rFonts w:ascii="Arial" w:cs="Arial" w:eastAsia="Arial" w:hAnsi="Arial"/>
                <w:sz w:val="17"/>
                <w:szCs w:val="17"/>
                <w:color w:val="auto"/>
              </w:rPr>
              <w:t>common share:</w:t>
            </w:r>
          </w:p>
        </w:tc>
        <w:tc>
          <w:tcPr>
            <w:tcW w:w="7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For the three and six months ended June 30, 2020 there were 1,017,383 and 1,025,734 stock options, respectively, excluded from the computation of diluted earnings per share because the inclusion of such stock options would result in an</w:t>
      </w:r>
    </w:p>
    <w:p>
      <w:pPr>
        <w:sectPr>
          <w:pgSz w:w="11900" w:h="16838" w:orient="portrait"/>
          <w:cols w:equalWidth="0" w:num="1">
            <w:col w:w="11240"/>
          </w:cols>
          <w:pgMar w:left="320" w:top="966"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74930</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color w:val="auto"/>
        </w:rPr>
        <w:t>antidilutive effect. For the three and six months ended June 30, 2021, no stock options were excluded from the computation of diluted earnings per share.</w:t>
      </w:r>
    </w:p>
    <w:p>
      <w:pPr>
        <w:spacing w:after="0" w:line="126" w:lineRule="exact"/>
        <w:rPr>
          <w:sz w:val="20"/>
          <w:szCs w:val="20"/>
          <w:color w:val="auto"/>
        </w:rPr>
      </w:pPr>
    </w:p>
    <w:p>
      <w:pPr>
        <w:jc w:val="both"/>
        <w:ind w:right="100" w:firstLine="387"/>
        <w:spacing w:after="0" w:line="262" w:lineRule="auto"/>
        <w:rPr>
          <w:sz w:val="20"/>
          <w:szCs w:val="20"/>
          <w:color w:val="auto"/>
        </w:rPr>
      </w:pPr>
      <w:r>
        <w:rPr>
          <w:rFonts w:ascii="Arial" w:cs="Arial" w:eastAsia="Arial" w:hAnsi="Arial"/>
          <w:sz w:val="17"/>
          <w:szCs w:val="17"/>
          <w:color w:val="auto"/>
        </w:rPr>
        <w:t>Our performance awards are considered to be contingently issuable shares because their issuance is contingent upon the satisfaction of certain performance and service conditions. On April 1, 2021, our stock price reached $35.80 for an average of twenty days, thus meeting the performance criteria for the first tranche of performance awards to be considered outstanding and therefore, included in the computation of diluted earnings per share as of the beginning of the reporting period.</w:t>
      </w:r>
    </w:p>
    <w:p>
      <w:pPr>
        <w:spacing w:after="0" w:line="225" w:lineRule="exact"/>
        <w:rPr>
          <w:sz w:val="20"/>
          <w:szCs w:val="20"/>
          <w:color w:val="auto"/>
        </w:rPr>
      </w:pPr>
    </w:p>
    <w:p>
      <w:pPr>
        <w:ind w:left="620" w:hanging="617"/>
        <w:spacing w:after="0"/>
        <w:tabs>
          <w:tab w:leader="none" w:pos="62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Revenue, disaggregated by major source for each of our reportable segments was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2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Three months ended June 30, 2021</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Funeral</w:t>
            </w:r>
          </w:p>
        </w:tc>
        <w:tc>
          <w:tcPr>
            <w:tcW w:w="30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380"/>
              <w:spacing w:after="0"/>
              <w:rPr>
                <w:sz w:val="20"/>
                <w:szCs w:val="20"/>
                <w:color w:val="auto"/>
              </w:rPr>
            </w:pPr>
            <w:r>
              <w:rPr>
                <w:rFonts w:ascii="Arial" w:cs="Arial" w:eastAsia="Arial" w:hAnsi="Arial"/>
                <w:sz w:val="15"/>
                <w:szCs w:val="15"/>
                <w:b w:val="1"/>
                <w:bCs w:val="1"/>
                <w:color w:val="auto"/>
                <w:w w:val="93"/>
              </w:rPr>
              <w:t>Cemetery</w:t>
            </w:r>
          </w:p>
        </w:tc>
        <w:tc>
          <w:tcPr>
            <w:tcW w:w="2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w w:val="86"/>
              </w:rPr>
              <w:t>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Services</w:t>
            </w:r>
          </w:p>
        </w:tc>
        <w:tc>
          <w:tcPr>
            <w:tcW w:w="2740" w:type="dxa"/>
            <w:vAlign w:val="bottom"/>
            <w:gridSpan w:val="5"/>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3,894</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tcPr>
          <w:p>
            <w:pPr>
              <w:ind w:left="400"/>
              <w:spacing w:after="0"/>
              <w:rPr>
                <w:sz w:val="20"/>
                <w:szCs w:val="20"/>
                <w:color w:val="auto"/>
              </w:rPr>
            </w:pPr>
            <w:r>
              <w:rPr>
                <w:rFonts w:ascii="Arial" w:cs="Arial" w:eastAsia="Arial" w:hAnsi="Arial"/>
                <w:sz w:val="17"/>
                <w:szCs w:val="17"/>
                <w:color w:val="auto"/>
              </w:rPr>
              <w:t>Merchandise</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20,370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3,658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Cemetery property</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17,578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tcBorders>
              <w:bottom w:val="single" w:sz="8" w:color="CCEEFF"/>
            </w:tcBorders>
          </w:tcPr>
          <w:p>
            <w:pPr>
              <w:ind w:left="400"/>
              <w:spacing w:after="0"/>
              <w:rPr>
                <w:sz w:val="20"/>
                <w:szCs w:val="20"/>
                <w:color w:val="auto"/>
              </w:rPr>
            </w:pPr>
            <w:r>
              <w:rPr>
                <w:rFonts w:ascii="Arial" w:cs="Arial" w:eastAsia="Arial" w:hAnsi="Arial"/>
                <w:sz w:val="17"/>
                <w:szCs w:val="17"/>
                <w:color w:val="auto"/>
              </w:rPr>
              <w:t>Other revenue</w:t>
            </w: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3,237</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3,315</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Total</w:t>
            </w:r>
          </w:p>
        </w:tc>
        <w:tc>
          <w:tcPr>
            <w:tcW w:w="1860" w:type="dxa"/>
            <w:vAlign w:val="bottom"/>
            <w:tcBorders>
              <w:bottom w:val="single" w:sz="8" w:color="CCEEFF"/>
            </w:tcBorders>
            <w:gridSpan w:val="3"/>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59,832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28,445</w:t>
            </w: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Three months ended June 30, 2020</w:t>
            </w: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360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Funeral</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Cemetery</w:t>
            </w:r>
          </w:p>
        </w:tc>
        <w:tc>
          <w:tcPr>
            <w:tcW w:w="100" w:type="dxa"/>
            <w:vAlign w:val="bottom"/>
            <w:tcBorders>
              <w:bottom w:val="single" w:sz="8" w:color="CCEEFF"/>
            </w:tcBorders>
            <w:gridSpan w:val="2"/>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Services</w:t>
            </w:r>
          </w:p>
        </w:tc>
        <w:tc>
          <w:tcPr>
            <w:tcW w:w="2740" w:type="dxa"/>
            <w:vAlign w:val="bottom"/>
            <w:gridSpan w:val="5"/>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35,653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7"/>
                <w:szCs w:val="17"/>
                <w:color w:val="auto"/>
              </w:rPr>
              <w:t>Merchandise</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20,121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22,633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Cemetery property</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revenue</w:t>
            </w: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3,347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740" w:type="dxa"/>
            <w:vAlign w:val="bottom"/>
            <w:gridSpan w:val="5"/>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59,121</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77,477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5"/>
                <w:szCs w:val="15"/>
                <w:b w:val="1"/>
                <w:bCs w:val="1"/>
                <w:color w:val="auto"/>
              </w:rPr>
              <w:t>Six months ended June 30, 2021</w:t>
            </w: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Funeral</w:t>
            </w:r>
          </w:p>
        </w:tc>
        <w:tc>
          <w:tcPr>
            <w:tcW w:w="30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Cemetery</w:t>
            </w: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w w:val="86"/>
              </w:rPr>
              <w:t>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Services</w:t>
            </w:r>
          </w:p>
        </w:tc>
        <w:tc>
          <w:tcPr>
            <w:tcW w:w="23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8,129</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tcPr>
          <w:p>
            <w:pPr>
              <w:ind w:left="400"/>
              <w:spacing w:after="0"/>
              <w:rPr>
                <w:sz w:val="20"/>
                <w:szCs w:val="20"/>
                <w:color w:val="auto"/>
              </w:rPr>
            </w:pPr>
            <w:r>
              <w:rPr>
                <w:rFonts w:ascii="Arial" w:cs="Arial" w:eastAsia="Arial" w:hAnsi="Arial"/>
                <w:sz w:val="17"/>
                <w:szCs w:val="17"/>
                <w:color w:val="auto"/>
              </w:rPr>
              <w:t>Merchandise</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44,831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7,082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51,9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Cemetery property</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31,589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tcBorders>
              <w:bottom w:val="single" w:sz="8" w:color="CCEEFF"/>
            </w:tcBorders>
          </w:tcPr>
          <w:p>
            <w:pPr>
              <w:ind w:left="400"/>
              <w:spacing w:after="0"/>
              <w:rPr>
                <w:sz w:val="20"/>
                <w:szCs w:val="20"/>
                <w:color w:val="auto"/>
              </w:rPr>
            </w:pPr>
            <w:r>
              <w:rPr>
                <w:rFonts w:ascii="Arial" w:cs="Arial" w:eastAsia="Arial" w:hAnsi="Arial"/>
                <w:sz w:val="17"/>
                <w:szCs w:val="17"/>
                <w:color w:val="auto"/>
              </w:rPr>
              <w:t>Other revenue</w:t>
            </w: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7,028</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6,508</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Total</w:t>
            </w:r>
          </w:p>
        </w:tc>
        <w:tc>
          <w:tcPr>
            <w:tcW w:w="1820" w:type="dxa"/>
            <w:vAlign w:val="bottom"/>
            <w:tcBorders>
              <w:bottom w:val="single" w:sz="8" w:color="CCEEFF"/>
            </w:tcBorders>
            <w:gridSpan w:val="2"/>
            <w:shd w:val="clear" w:color="auto" w:fill="CCEEFF"/>
          </w:tcPr>
          <w:p>
            <w:pPr>
              <w:spacing w:after="0"/>
              <w:rPr>
                <w:sz w:val="20"/>
                <w:szCs w:val="20"/>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131,606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53,308</w:t>
            </w: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Six months ended June 30, 2020</w:t>
            </w: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20" w:type="dxa"/>
            <w:vAlign w:val="bottom"/>
          </w:tcPr>
          <w:p>
            <w:pPr>
              <w:spacing w:after="0"/>
              <w:rPr>
                <w:sz w:val="24"/>
                <w:szCs w:val="24"/>
                <w:color w:val="auto"/>
              </w:rPr>
            </w:pPr>
          </w:p>
        </w:tc>
        <w:tc>
          <w:tcPr>
            <w:tcW w:w="360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Funeral</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Cemetery</w:t>
            </w:r>
          </w:p>
        </w:tc>
        <w:tc>
          <w:tcPr>
            <w:tcW w:w="100" w:type="dxa"/>
            <w:vAlign w:val="bottom"/>
            <w:tcBorders>
              <w:bottom w:val="single" w:sz="8" w:color="CCEEFF"/>
            </w:tcBorders>
            <w:gridSpan w:val="2"/>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Services</w:t>
            </w:r>
          </w:p>
        </w:tc>
        <w:tc>
          <w:tcPr>
            <w:tcW w:w="2740" w:type="dxa"/>
            <w:vAlign w:val="bottom"/>
            <w:gridSpan w:val="5"/>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73,212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7"/>
                <w:szCs w:val="17"/>
                <w:color w:val="auto"/>
              </w:rPr>
              <w:t>Merchandise</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40,821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45,619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Cemetery property</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revenue</w:t>
            </w: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6,830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740" w:type="dxa"/>
            <w:vAlign w:val="bottom"/>
            <w:gridSpan w:val="5"/>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120,863</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34,104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gridSpan w:val="4"/>
            <w:vMerge w:val="restart"/>
          </w:tcPr>
          <w:p>
            <w:pPr>
              <w:jc w:val="right"/>
              <w:ind w:right="54"/>
              <w:spacing w:after="0"/>
              <w:rPr>
                <w:sz w:val="20"/>
                <w:szCs w:val="20"/>
                <w:color w:val="auto"/>
              </w:rPr>
            </w:pPr>
            <w:r>
              <w:rPr>
                <w:rFonts w:ascii="Arial" w:cs="Arial" w:eastAsia="Arial" w:hAnsi="Arial"/>
                <w:sz w:val="17"/>
                <w:szCs w:val="17"/>
                <w:color w:val="auto"/>
              </w:rPr>
              <w:t>- 37 -</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34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66" w:right="239" w:bottom="1440" w:gutter="0" w:footer="0" w:header="0"/>
        </w:sectPr>
      </w:pPr>
    </w:p>
    <w:bookmarkStart w:id="34" w:name="page35"/>
    <w:bookmarkEnd w:id="34"/>
    <w:p>
      <w:pPr>
        <w:ind w:left="400"/>
        <w:spacing w:after="0"/>
        <w:rPr>
          <w:sz w:val="20"/>
          <w:szCs w:val="20"/>
          <w:color w:val="auto"/>
        </w:rPr>
      </w:pPr>
      <w:r>
        <w:rPr>
          <w:rFonts w:ascii="Arial" w:cs="Arial" w:eastAsia="Arial" w:hAnsi="Arial"/>
          <w:sz w:val="17"/>
          <w:szCs w:val="17"/>
          <w:color w:val="auto"/>
        </w:rPr>
        <w:t>The following table presents operating income (loss), income (loss) before income taxes and total assets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620"/>
              <w:spacing w:after="0"/>
              <w:rPr>
                <w:sz w:val="20"/>
                <w:szCs w:val="20"/>
                <w:color w:val="auto"/>
              </w:rPr>
            </w:pPr>
            <w:r>
              <w:rPr>
                <w:rFonts w:ascii="Arial" w:cs="Arial" w:eastAsia="Arial" w:hAnsi="Arial"/>
                <w:sz w:val="14"/>
                <w:szCs w:val="14"/>
                <w:b w:val="1"/>
                <w:bCs w:val="1"/>
                <w:color w:val="auto"/>
              </w:rPr>
              <w:t>Funeral</w:t>
            </w:r>
          </w:p>
        </w:tc>
        <w:tc>
          <w:tcPr>
            <w:tcW w:w="44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4"/>
                <w:szCs w:val="14"/>
                <w:b w:val="1"/>
                <w:bCs w:val="1"/>
                <w:color w:val="auto"/>
              </w:rPr>
              <w:t>Cemetery</w:t>
            </w:r>
          </w:p>
        </w:tc>
        <w:tc>
          <w:tcPr>
            <w:tcW w:w="44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Consolidated</w:t>
            </w:r>
          </w:p>
        </w:tc>
      </w:tr>
      <w:tr>
        <w:trPr>
          <w:trHeight w:val="205"/>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9"/>
        </w:trPr>
        <w:tc>
          <w:tcPr>
            <w:tcW w:w="4900" w:type="dxa"/>
            <w:vAlign w:val="bottom"/>
          </w:tcPr>
          <w:p>
            <w:pPr>
              <w:ind w:left="220"/>
              <w:spacing w:after="0"/>
              <w:rPr>
                <w:sz w:val="20"/>
                <w:szCs w:val="20"/>
                <w:color w:val="auto"/>
              </w:rPr>
            </w:pPr>
            <w:r>
              <w:rPr>
                <w:rFonts w:ascii="Arial" w:cs="Arial" w:eastAsia="Arial" w:hAnsi="Arial"/>
                <w:sz w:val="17"/>
                <w:szCs w:val="17"/>
                <w:color w:val="auto"/>
              </w:rPr>
              <w:t>Three months ended June 30, 2021</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16,604</w:t>
            </w:r>
          </w:p>
        </w:tc>
        <w:tc>
          <w:tcPr>
            <w:tcW w:w="2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11,498</w:t>
            </w:r>
          </w:p>
        </w:tc>
        <w:tc>
          <w:tcPr>
            <w:tcW w:w="2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(7,178)</w:t>
            </w:r>
          </w:p>
        </w:tc>
        <w:tc>
          <w:tcPr>
            <w:tcW w:w="2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20,924</w:t>
            </w:r>
          </w:p>
        </w:tc>
      </w:tr>
      <w:tr>
        <w:trPr>
          <w:trHeight w:val="220"/>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Three months ended June 30, 2020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19,869</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5,291</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(6,894)</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18,266</w:t>
            </w:r>
          </w:p>
        </w:tc>
      </w:tr>
      <w:tr>
        <w:trPr>
          <w:trHeight w:val="103"/>
        </w:trPr>
        <w:tc>
          <w:tcPr>
            <w:tcW w:w="4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19"/>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Six months ended June 30, 2021</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42,480</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20,991</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(16,301)</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47,170</w:t>
            </w:r>
          </w:p>
        </w:tc>
      </w:tr>
      <w:tr>
        <w:trPr>
          <w:trHeight w:val="219"/>
        </w:trPr>
        <w:tc>
          <w:tcPr>
            <w:tcW w:w="4900" w:type="dxa"/>
            <w:vAlign w:val="bottom"/>
          </w:tcPr>
          <w:p>
            <w:pPr>
              <w:ind w:left="220"/>
              <w:spacing w:after="0"/>
              <w:rPr>
                <w:sz w:val="20"/>
                <w:szCs w:val="20"/>
                <w:color w:val="auto"/>
              </w:rPr>
            </w:pPr>
            <w:r>
              <w:rPr>
                <w:rFonts w:ascii="Arial" w:cs="Arial" w:eastAsia="Arial" w:hAnsi="Arial"/>
                <w:sz w:val="17"/>
                <w:szCs w:val="17"/>
                <w:color w:val="auto"/>
              </w:rPr>
              <w:t>Six months ended June 30, 2020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24,180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9,458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(13,222)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20,416</w:t>
            </w:r>
          </w:p>
        </w:tc>
      </w:tr>
      <w:tr>
        <w:trPr>
          <w:trHeight w:val="104"/>
        </w:trPr>
        <w:tc>
          <w:tcPr>
            <w:tcW w:w="49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19"/>
        </w:trPr>
        <w:tc>
          <w:tcPr>
            <w:tcW w:w="490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0"/>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Three months ended June 30, 2021</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16,462</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11,552</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(38,373)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(10,359)</w:t>
            </w:r>
          </w:p>
        </w:tc>
      </w:tr>
      <w:tr>
        <w:trPr>
          <w:trHeight w:val="219"/>
        </w:trPr>
        <w:tc>
          <w:tcPr>
            <w:tcW w:w="4900" w:type="dxa"/>
            <w:vAlign w:val="bottom"/>
          </w:tcPr>
          <w:p>
            <w:pPr>
              <w:ind w:left="220"/>
              <w:spacing w:after="0"/>
              <w:rPr>
                <w:sz w:val="20"/>
                <w:szCs w:val="20"/>
                <w:color w:val="auto"/>
              </w:rPr>
            </w:pPr>
            <w:r>
              <w:rPr>
                <w:rFonts w:ascii="Arial" w:cs="Arial" w:eastAsia="Arial" w:hAnsi="Arial"/>
                <w:sz w:val="17"/>
                <w:szCs w:val="17"/>
                <w:color w:val="auto"/>
              </w:rPr>
              <w:t>Three months ended June 30, 2020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19,674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5,348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(15,176)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9,846</w:t>
            </w:r>
          </w:p>
        </w:tc>
      </w:tr>
      <w:tr>
        <w:trPr>
          <w:trHeight w:val="104"/>
        </w:trPr>
        <w:tc>
          <w:tcPr>
            <w:tcW w:w="49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19"/>
        </w:trPr>
        <w:tc>
          <w:tcPr>
            <w:tcW w:w="4900" w:type="dxa"/>
            <w:vAlign w:val="bottom"/>
          </w:tcPr>
          <w:p>
            <w:pPr>
              <w:ind w:left="220"/>
              <w:spacing w:after="0"/>
              <w:rPr>
                <w:sz w:val="20"/>
                <w:szCs w:val="20"/>
                <w:color w:val="auto"/>
              </w:rPr>
            </w:pPr>
            <w:r>
              <w:rPr>
                <w:rFonts w:ascii="Arial" w:cs="Arial" w:eastAsia="Arial" w:hAnsi="Arial"/>
                <w:sz w:val="17"/>
                <w:szCs w:val="17"/>
                <w:color w:val="auto"/>
              </w:rPr>
              <w:t>Six months ended June 30, 2021</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42,174</w:t>
            </w:r>
          </w:p>
        </w:tc>
        <w:tc>
          <w:tcPr>
            <w:tcW w:w="2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21,028</w:t>
            </w:r>
          </w:p>
        </w:tc>
        <w:tc>
          <w:tcPr>
            <w:tcW w:w="2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(54,987)</w:t>
            </w:r>
          </w:p>
        </w:tc>
        <w:tc>
          <w:tcPr>
            <w:tcW w:w="2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8,215</w:t>
            </w:r>
          </w:p>
        </w:tc>
      </w:tr>
      <w:tr>
        <w:trPr>
          <w:trHeight w:val="220"/>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Six months ended June 30, 2020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23,792</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9,453</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(29,746)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3,499</w:t>
            </w:r>
          </w:p>
        </w:tc>
      </w:tr>
      <w:tr>
        <w:trPr>
          <w:trHeight w:val="90"/>
        </w:trPr>
        <w:tc>
          <w:tcPr>
            <w:tcW w:w="4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4900" w:type="dxa"/>
            <w:vAlign w:val="bottom"/>
          </w:tcPr>
          <w:p>
            <w:pPr>
              <w:ind w:left="220"/>
              <w:spacing w:after="0"/>
              <w:rPr>
                <w:sz w:val="20"/>
                <w:szCs w:val="20"/>
                <w:color w:val="auto"/>
              </w:rPr>
            </w:pPr>
            <w:r>
              <w:rPr>
                <w:rFonts w:ascii="Arial" w:cs="Arial" w:eastAsia="Arial" w:hAnsi="Arial"/>
                <w:sz w:val="17"/>
                <w:szCs w:val="17"/>
                <w:color w:val="auto"/>
              </w:rPr>
              <w:t>June 30, 2021</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765,492</w:t>
            </w:r>
          </w:p>
        </w:tc>
        <w:tc>
          <w:tcPr>
            <w:tcW w:w="2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387,979</w:t>
            </w:r>
          </w:p>
        </w:tc>
        <w:tc>
          <w:tcPr>
            <w:tcW w:w="2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15,532</w:t>
            </w:r>
          </w:p>
        </w:tc>
        <w:tc>
          <w:tcPr>
            <w:tcW w:w="2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1,169,003</w:t>
            </w:r>
          </w:p>
        </w:tc>
      </w:tr>
      <w:tr>
        <w:trPr>
          <w:trHeight w:val="220"/>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December 31, 2020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764,535</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366,964</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1,145,825</w:t>
            </w:r>
          </w:p>
        </w:tc>
      </w:tr>
      <w:tr>
        <w:trPr>
          <w:trHeight w:val="824"/>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15"/>
              <w:spacing w:after="0"/>
              <w:rPr>
                <w:sz w:val="20"/>
                <w:szCs w:val="20"/>
                <w:color w:val="auto"/>
              </w:rPr>
            </w:pPr>
            <w:r>
              <w:rPr>
                <w:rFonts w:ascii="Arial" w:cs="Arial" w:eastAsia="Arial" w:hAnsi="Arial"/>
                <w:sz w:val="17"/>
                <w:szCs w:val="17"/>
                <w:color w:val="auto"/>
              </w:rPr>
              <w:t>- 38 -</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1"/>
        </w:trPr>
        <w:tc>
          <w:tcPr>
            <w:tcW w:w="4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3"/>
        </w:trPr>
        <w:tc>
          <w:tcPr>
            <w:tcW w:w="220" w:type="dxa"/>
            <w:vAlign w:val="bottom"/>
            <w:gridSpan w:val="2"/>
          </w:tcPr>
          <w:p>
            <w:pPr>
              <w:spacing w:after="0"/>
              <w:rPr>
                <w:sz w:val="20"/>
                <w:szCs w:val="20"/>
                <w:color w:val="auto"/>
              </w:rPr>
            </w:pPr>
            <w:r>
              <w:rPr>
                <w:rFonts w:ascii="Arial" w:cs="Arial" w:eastAsia="Arial" w:hAnsi="Arial"/>
                <w:sz w:val="17"/>
                <w:szCs w:val="17"/>
                <w:b w:val="1"/>
                <w:bCs w:val="1"/>
                <w:color w:val="auto"/>
                <w:w w:val="84"/>
              </w:rPr>
              <w:t>17.</w:t>
            </w:r>
          </w:p>
        </w:tc>
        <w:tc>
          <w:tcPr>
            <w:tcW w:w="7060" w:type="dxa"/>
            <w:vAlign w:val="bottom"/>
          </w:tcPr>
          <w:p>
            <w:pPr>
              <w:ind w:left="400"/>
              <w:spacing w:after="0"/>
              <w:rPr>
                <w:sz w:val="20"/>
                <w:szCs w:val="20"/>
                <w:color w:val="auto"/>
              </w:rPr>
            </w:pPr>
            <w:r>
              <w:rPr>
                <w:rFonts w:ascii="Arial" w:cs="Arial" w:eastAsia="Arial" w:hAnsi="Arial"/>
                <w:sz w:val="17"/>
                <w:szCs w:val="17"/>
                <w:b w:val="1"/>
                <w:bCs w:val="1"/>
                <w:color w:val="auto"/>
              </w:rPr>
              <w:t>SUPPLEMENTARY DATA</w:t>
            </w: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1"/>
        </w:trPr>
        <w:tc>
          <w:tcPr>
            <w:tcW w:w="728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Balance Sheet</w:t>
            </w:r>
          </w:p>
        </w:tc>
        <w:tc>
          <w:tcPr>
            <w:tcW w:w="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31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60" w:type="dxa"/>
            <w:vAlign w:val="bottom"/>
          </w:tcPr>
          <w:p>
            <w:pPr>
              <w:ind w:left="180"/>
              <w:spacing w:after="0"/>
              <w:rPr>
                <w:sz w:val="20"/>
                <w:szCs w:val="20"/>
                <w:color w:val="auto"/>
              </w:rPr>
            </w:pPr>
            <w:r>
              <w:rPr>
                <w:rFonts w:ascii="Arial" w:cs="Arial" w:eastAsia="Arial" w:hAnsi="Arial"/>
                <w:sz w:val="17"/>
                <w:szCs w:val="17"/>
                <w:color w:val="auto"/>
              </w:rPr>
              <w:t>The following table presents the detail of certain balance sheet accounts (in thousands):</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2"/>
          </w:tcPr>
          <w:p>
            <w:pPr>
              <w:ind w:left="240"/>
              <w:spacing w:after="0"/>
              <w:rPr>
                <w:sz w:val="20"/>
                <w:szCs w:val="20"/>
                <w:color w:val="auto"/>
              </w:rPr>
            </w:pPr>
            <w:r>
              <w:rPr>
                <w:rFonts w:ascii="Arial" w:cs="Arial" w:eastAsia="Arial" w:hAnsi="Arial"/>
                <w:sz w:val="15"/>
                <w:szCs w:val="15"/>
                <w:b w:val="1"/>
                <w:bCs w:val="1"/>
                <w:color w:val="auto"/>
              </w:rPr>
              <w:t>December 31, 2020</w:t>
            </w:r>
          </w:p>
        </w:tc>
        <w:tc>
          <w:tcPr>
            <w:tcW w:w="5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June 30, 2021</w:t>
            </w:r>
          </w:p>
        </w:tc>
      </w:tr>
      <w:tr>
        <w:trPr>
          <w:trHeight w:val="202"/>
        </w:trPr>
        <w:tc>
          <w:tcPr>
            <w:tcW w:w="20" w:type="dxa"/>
            <w:vAlign w:val="bottom"/>
          </w:tcPr>
          <w:p>
            <w:pPr>
              <w:spacing w:after="0"/>
              <w:rPr>
                <w:sz w:val="17"/>
                <w:szCs w:val="17"/>
                <w:color w:val="auto"/>
              </w:rPr>
            </w:pPr>
          </w:p>
        </w:tc>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Prepaid and other current assets:</w:t>
            </w:r>
          </w:p>
        </w:tc>
        <w:tc>
          <w:tcPr>
            <w:tcW w:w="3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1,919</w:t>
            </w:r>
          </w:p>
        </w:tc>
        <w:tc>
          <w:tcPr>
            <w:tcW w:w="24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1,702</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income taxes receivable</w:t>
            </w:r>
          </w:p>
        </w:tc>
        <w:tc>
          <w:tcPr>
            <w:tcW w:w="3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State income taxes receivable</w:t>
            </w:r>
          </w:p>
        </w:tc>
        <w:tc>
          <w:tcPr>
            <w:tcW w:w="34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513</w:t>
            </w:r>
          </w:p>
        </w:tc>
      </w:tr>
      <w:tr>
        <w:trPr>
          <w:trHeight w:val="219"/>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13"/>
        </w:trPr>
        <w:tc>
          <w:tcPr>
            <w:tcW w:w="20" w:type="dxa"/>
            <w:vAlign w:val="bottom"/>
          </w:tcPr>
          <w:p>
            <w:pPr>
              <w:spacing w:after="0"/>
              <w:rPr>
                <w:sz w:val="18"/>
                <w:szCs w:val="18"/>
                <w:color w:val="auto"/>
              </w:rPr>
            </w:pPr>
          </w:p>
        </w:tc>
        <w:tc>
          <w:tcPr>
            <w:tcW w:w="7260" w:type="dxa"/>
            <w:vAlign w:val="bottom"/>
            <w:gridSpan w:val="2"/>
          </w:tcPr>
          <w:p>
            <w:pPr>
              <w:ind w:left="20"/>
              <w:spacing w:after="0"/>
              <w:rPr>
                <w:sz w:val="20"/>
                <w:szCs w:val="20"/>
                <w:color w:val="auto"/>
              </w:rPr>
            </w:pPr>
            <w:r>
              <w:rPr>
                <w:rFonts w:ascii="Arial" w:cs="Arial" w:eastAsia="Arial" w:hAnsi="Arial"/>
                <w:sz w:val="17"/>
                <w:szCs w:val="17"/>
                <w:color w:val="auto"/>
              </w:rPr>
              <w:t>Total prepaid and other current assets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w:t>
            </w:r>
          </w:p>
        </w:tc>
        <w:tc>
          <w:tcPr>
            <w:tcW w:w="24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2,862</w:t>
            </w:r>
          </w:p>
        </w:tc>
      </w:tr>
      <w:tr>
        <w:trPr>
          <w:trHeight w:val="37"/>
        </w:trPr>
        <w:tc>
          <w:tcPr>
            <w:tcW w:w="20" w:type="dxa"/>
            <w:vAlign w:val="bottom"/>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70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9"/>
        </w:trPr>
        <w:tc>
          <w:tcPr>
            <w:tcW w:w="20" w:type="dxa"/>
            <w:vAlign w:val="bottom"/>
          </w:tcPr>
          <w:p>
            <w:pPr>
              <w:spacing w:after="0"/>
              <w:rPr>
                <w:sz w:val="19"/>
                <w:szCs w:val="19"/>
                <w:color w:val="auto"/>
              </w:rPr>
            </w:pPr>
          </w:p>
        </w:tc>
        <w:tc>
          <w:tcPr>
            <w:tcW w:w="7260" w:type="dxa"/>
            <w:vAlign w:val="bottom"/>
            <w:gridSpan w:val="2"/>
          </w:tcPr>
          <w:p>
            <w:pPr>
              <w:ind w:left="20"/>
              <w:spacing w:after="0"/>
              <w:rPr>
                <w:sz w:val="20"/>
                <w:szCs w:val="20"/>
                <w:color w:val="auto"/>
              </w:rPr>
            </w:pPr>
            <w:r>
              <w:rPr>
                <w:rFonts w:ascii="Arial" w:cs="Arial" w:eastAsia="Arial" w:hAnsi="Arial"/>
                <w:sz w:val="17"/>
                <w:szCs w:val="17"/>
                <w:color w:val="auto"/>
              </w:rPr>
              <w:t>Current portion of debt and lease obligations:</w:t>
            </w: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of acquisition debt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Current portion of finance lease obligations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323</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340</w:t>
            </w:r>
          </w:p>
        </w:tc>
      </w:tr>
      <w:tr>
        <w:trPr>
          <w:trHeight w:val="219"/>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of operating lease obligations</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2,082</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w:t>
            </w:r>
          </w:p>
        </w:tc>
      </w:tr>
      <w:tr>
        <w:trPr>
          <w:trHeight w:val="213"/>
        </w:trPr>
        <w:tc>
          <w:tcPr>
            <w:tcW w:w="20" w:type="dxa"/>
            <w:vAlign w:val="bottom"/>
          </w:tcPr>
          <w:p>
            <w:pPr>
              <w:spacing w:after="0"/>
              <w:rPr>
                <w:sz w:val="18"/>
                <w:szCs w:val="18"/>
                <w:color w:val="auto"/>
              </w:rPr>
            </w:pPr>
          </w:p>
        </w:tc>
        <w:tc>
          <w:tcPr>
            <w:tcW w:w="7260" w:type="dxa"/>
            <w:vAlign w:val="bottom"/>
            <w:gridSpan w:val="2"/>
          </w:tcPr>
          <w:p>
            <w:pPr>
              <w:ind w:left="20"/>
              <w:spacing w:after="0"/>
              <w:rPr>
                <w:sz w:val="20"/>
                <w:szCs w:val="20"/>
                <w:color w:val="auto"/>
              </w:rPr>
            </w:pPr>
            <w:r>
              <w:rPr>
                <w:rFonts w:ascii="Arial" w:cs="Arial" w:eastAsia="Arial" w:hAnsi="Arial"/>
                <w:sz w:val="17"/>
                <w:szCs w:val="17"/>
                <w:color w:val="auto"/>
              </w:rPr>
              <w:t>Total current portion of debt and lease obligations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3,432</w:t>
            </w:r>
          </w:p>
        </w:tc>
        <w:tc>
          <w:tcPr>
            <w:tcW w:w="24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3,172</w:t>
            </w:r>
          </w:p>
        </w:tc>
      </w:tr>
      <w:tr>
        <w:trPr>
          <w:trHeight w:val="37"/>
        </w:trPr>
        <w:tc>
          <w:tcPr>
            <w:tcW w:w="20" w:type="dxa"/>
            <w:vAlign w:val="bottom"/>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70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9"/>
        </w:trPr>
        <w:tc>
          <w:tcPr>
            <w:tcW w:w="20" w:type="dxa"/>
            <w:vAlign w:val="bottom"/>
          </w:tcPr>
          <w:p>
            <w:pPr>
              <w:spacing w:after="0"/>
              <w:rPr>
                <w:sz w:val="19"/>
                <w:szCs w:val="19"/>
                <w:color w:val="auto"/>
              </w:rPr>
            </w:pPr>
          </w:p>
        </w:tc>
        <w:tc>
          <w:tcPr>
            <w:tcW w:w="7260" w:type="dxa"/>
            <w:vAlign w:val="bottom"/>
            <w:gridSpan w:val="2"/>
          </w:tcPr>
          <w:p>
            <w:pPr>
              <w:ind w:left="20"/>
              <w:spacing w:after="0"/>
              <w:rPr>
                <w:sz w:val="20"/>
                <w:szCs w:val="20"/>
                <w:color w:val="auto"/>
              </w:rPr>
            </w:pPr>
            <w:r>
              <w:rPr>
                <w:rFonts w:ascii="Arial" w:cs="Arial" w:eastAsia="Arial" w:hAnsi="Arial"/>
                <w:sz w:val="17"/>
                <w:szCs w:val="17"/>
                <w:color w:val="auto"/>
              </w:rPr>
              <w:t>Accrued and other liabilities:</w:t>
            </w: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salaries and wages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4,756</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Accrued incentive compensation</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11,139</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9,144</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vacation</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3,271</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3,433</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Accrued insurance</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3,016</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3,432</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2,308</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Accrued ad valorem and franchise taxes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435</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1,593</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Employer payroll tax deferral</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Accrued commissions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634</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791</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Perpetual care trust payable</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Income tax payable</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798</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liabilities</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1,809</w:t>
            </w:r>
          </w:p>
        </w:tc>
      </w:tr>
      <w:tr>
        <w:trPr>
          <w:trHeight w:val="219"/>
        </w:trPr>
        <w:tc>
          <w:tcPr>
            <w:tcW w:w="20" w:type="dxa"/>
            <w:vAlign w:val="bottom"/>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Unrecognized tax benefit</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3,656</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3,710</w:t>
            </w:r>
          </w:p>
        </w:tc>
      </w:tr>
      <w:tr>
        <w:trPr>
          <w:trHeight w:val="238"/>
        </w:trPr>
        <w:tc>
          <w:tcPr>
            <w:tcW w:w="20" w:type="dxa"/>
            <w:vAlign w:val="bottom"/>
          </w:tcPr>
          <w:p>
            <w:pPr>
              <w:spacing w:after="0"/>
              <w:rPr>
                <w:sz w:val="20"/>
                <w:szCs w:val="20"/>
                <w:color w:val="auto"/>
              </w:rPr>
            </w:pPr>
          </w:p>
        </w:tc>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accrued and other liabilities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31,138</w:t>
            </w:r>
          </w:p>
        </w:tc>
        <w:tc>
          <w:tcPr>
            <w:tcW w:w="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33,671</w:t>
            </w: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Incentive compensation</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2,975</w:t>
            </w:r>
          </w:p>
        </w:tc>
        <w:tc>
          <w:tcPr>
            <w:tcW w:w="24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972</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Employer payroll tax deferral</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Accrued severance</w:t>
            </w:r>
          </w:p>
        </w:tc>
        <w:tc>
          <w:tcPr>
            <w:tcW w:w="34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417</w:t>
            </w:r>
          </w:p>
        </w:tc>
      </w:tr>
      <w:tr>
        <w:trPr>
          <w:trHeight w:val="238"/>
        </w:trPr>
        <w:tc>
          <w:tcPr>
            <w:tcW w:w="20" w:type="dxa"/>
            <w:vAlign w:val="bottom"/>
          </w:tcPr>
          <w:p>
            <w:pPr>
              <w:spacing w:after="0"/>
              <w:rPr>
                <w:sz w:val="20"/>
                <w:szCs w:val="20"/>
                <w:color w:val="auto"/>
              </w:rPr>
            </w:pPr>
          </w:p>
        </w:tc>
        <w:tc>
          <w:tcPr>
            <w:tcW w:w="7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other long-term liabilities</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3,162</w:t>
            </w: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information is supplemental disclosure for the Consolidated Statements of Cash Flows (in thousands):</w:t>
      </w:r>
    </w:p>
    <w:p>
      <w:pPr>
        <w:spacing w:after="0" w:line="48"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66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5"/>
                <w:szCs w:val="15"/>
                <w:b w:val="1"/>
                <w:bCs w:val="1"/>
                <w:color w:val="auto"/>
              </w:rPr>
              <w:t>Six months ended June 30,</w:t>
            </w:r>
          </w:p>
        </w:tc>
        <w:tc>
          <w:tcPr>
            <w:tcW w:w="620" w:type="dxa"/>
            <w:vAlign w:val="bottom"/>
            <w:tcBorders>
              <w:bottom w:val="single" w:sz="8" w:color="auto"/>
            </w:tcBorders>
          </w:tcPr>
          <w:p>
            <w:pPr>
              <w:spacing w:after="0"/>
              <w:rPr>
                <w:sz w:val="17"/>
                <w:szCs w:val="17"/>
                <w:color w:val="auto"/>
              </w:rPr>
            </w:pPr>
          </w:p>
        </w:tc>
      </w:tr>
      <w:tr>
        <w:trPr>
          <w:trHeight w:val="200"/>
        </w:trPr>
        <w:tc>
          <w:tcPr>
            <w:tcW w:w="66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w:t>
            </w:r>
          </w:p>
        </w:tc>
      </w:tr>
      <w:tr>
        <w:trPr>
          <w:trHeight w:val="215"/>
        </w:trPr>
        <w:tc>
          <w:tcPr>
            <w:tcW w:w="6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Cash paid for interest</w:t>
            </w:r>
          </w:p>
        </w:tc>
        <w:tc>
          <w:tcPr>
            <w:tcW w:w="10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19"/>
        </w:trPr>
        <w:tc>
          <w:tcPr>
            <w:tcW w:w="6640" w:type="dxa"/>
            <w:vAlign w:val="bottom"/>
          </w:tcPr>
          <w:p>
            <w:pPr>
              <w:ind w:left="400"/>
              <w:spacing w:after="0"/>
              <w:rPr>
                <w:sz w:val="20"/>
                <w:szCs w:val="20"/>
                <w:color w:val="auto"/>
              </w:rPr>
            </w:pPr>
            <w:r>
              <w:rPr>
                <w:rFonts w:ascii="Arial" w:cs="Arial" w:eastAsia="Arial" w:hAnsi="Arial"/>
                <w:sz w:val="17"/>
                <w:szCs w:val="17"/>
                <w:color w:val="auto"/>
              </w:rPr>
              <w:t>Cash paid for taxes</w:t>
            </w:r>
          </w:p>
        </w:tc>
        <w:tc>
          <w:tcPr>
            <w:tcW w:w="10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177</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20"/>
        </w:trPr>
        <w:tc>
          <w:tcPr>
            <w:tcW w:w="6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Fair value of donated real property</w:t>
            </w:r>
          </w:p>
        </w:tc>
        <w:tc>
          <w:tcPr>
            <w:tcW w:w="10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bl>
    <w:p>
      <w:pPr>
        <w:spacing w:after="0" w:line="330" w:lineRule="exact"/>
        <w:rPr>
          <w:sz w:val="20"/>
          <w:szCs w:val="20"/>
          <w:color w:val="auto"/>
        </w:rPr>
      </w:pPr>
    </w:p>
    <w:p>
      <w:pPr>
        <w:ind w:left="620" w:hanging="617"/>
        <w:spacing w:after="0"/>
        <w:tabs>
          <w:tab w:leader="none" w:pos="62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20" w:lineRule="exact"/>
        <w:rPr>
          <w:sz w:val="20"/>
          <w:szCs w:val="20"/>
          <w:color w:val="auto"/>
        </w:rPr>
      </w:pPr>
    </w:p>
    <w:p>
      <w:pPr>
        <w:jc w:val="both"/>
        <w:ind w:right="100" w:firstLine="387"/>
        <w:spacing w:after="0" w:line="280" w:lineRule="auto"/>
        <w:rPr>
          <w:sz w:val="20"/>
          <w:szCs w:val="20"/>
          <w:color w:val="auto"/>
        </w:rPr>
      </w:pPr>
      <w:r>
        <w:rPr>
          <w:rFonts w:ascii="Arial" w:cs="Arial" w:eastAsia="Arial" w:hAnsi="Arial"/>
          <w:sz w:val="16"/>
          <w:szCs w:val="16"/>
          <w:color w:val="auto"/>
        </w:rPr>
        <w:t>On July 26, 2021, the Board authorized an increase in the Company’s share repurchase program to permit the Company to purchase up to an additional $25 million of its outstanding common shares. Prior to the Board’s approval of the increase, as of June 30, 2021, the Company had approximately $38.3 million authorization remaining under the original repurchase program. Accordingly, as of July 26, 2021, the Company had approximately $63.3 million of share repurchase authorization remaining under the revised repurchase program. The Company may repurchase shares from time to time in the open market or in other privately negotiated transactions, subject to market conditions and applicable Security and Exchange Commission rules.</w:t>
      </w:r>
    </w:p>
    <w:p>
      <w:pPr>
        <w:spacing w:after="0" w:line="63" w:lineRule="exact"/>
        <w:rPr>
          <w:sz w:val="20"/>
          <w:szCs w:val="20"/>
          <w:color w:val="auto"/>
        </w:rPr>
      </w:pPr>
    </w:p>
    <w:p>
      <w:pPr>
        <w:jc w:val="both"/>
        <w:ind w:right="100" w:firstLine="387"/>
        <w:spacing w:after="0" w:line="312" w:lineRule="auto"/>
        <w:rPr>
          <w:sz w:val="20"/>
          <w:szCs w:val="20"/>
          <w:color w:val="auto"/>
        </w:rPr>
      </w:pPr>
      <w:r>
        <w:rPr>
          <w:rFonts w:ascii="Arial" w:cs="Arial" w:eastAsia="Arial" w:hAnsi="Arial"/>
          <w:sz w:val="16"/>
          <w:szCs w:val="16"/>
          <w:color w:val="auto"/>
        </w:rPr>
        <w:t>On and effective July 28, 2021, the Board approved a second amendment and restatement to the Company’s Amended and Restated By-laws (as so amended and restated, the Second Amended and Restated By-laws) to implement, amongst other changes, an exclusive forum bylaw provision.</w:t>
      </w:r>
    </w:p>
    <w:p>
      <w:pPr>
        <w:sectPr>
          <w:pgSz w:w="11900" w:h="16838" w:orient="portrait"/>
          <w:cols w:equalWidth="0" w:num="1">
            <w:col w:w="11340"/>
          </w:cols>
          <w:pgMar w:left="320" w:top="1115"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74930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115"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CAUTIONARY STATEMENT ON FORWARD-LOOKING STATEMENTS</w:t>
      </w:r>
    </w:p>
    <w:p>
      <w:pPr>
        <w:spacing w:after="0" w:line="120" w:lineRule="exact"/>
        <w:rPr>
          <w:sz w:val="20"/>
          <w:szCs w:val="20"/>
          <w:color w:val="auto"/>
        </w:rPr>
      </w:pPr>
    </w:p>
    <w:p>
      <w:pPr>
        <w:jc w:val="both"/>
        <w:ind w:firstLine="387"/>
        <w:spacing w:after="0" w:line="272" w:lineRule="auto"/>
        <w:rPr>
          <w:sz w:val="20"/>
          <w:szCs w:val="20"/>
          <w:color w:val="auto"/>
        </w:rPr>
      </w:pPr>
      <w:r>
        <w:rPr>
          <w:rFonts w:ascii="Arial" w:cs="Arial" w:eastAsia="Arial" w:hAnsi="Arial"/>
          <w:sz w:val="16"/>
          <w:szCs w:val="16"/>
          <w:color w:val="auto"/>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The words “may”, “will”, “estimate”, “intend”, “believe”, “expect”, “seek”, “project”, “forecast”, “foresee”, “should”, “would”, “could”, “plan”, “anticipate” and other similar words or expressions are intended to identify forward-looking statements, which are generally not historical in nature. These forward-looking statements include, but are not limited to, statements regarding any projections of earnings, revenue, asset sales, cash flow, debt levels or other financial items; any statements of the plans, strategies and objectives of management for future operations or future acquisitions; any statements of the plans, timing and objectives of management for acquisition and divestiture activities; any statements of the plans, timing, expectations and objectives of management for future financing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9" w:lineRule="exact"/>
        <w:rPr>
          <w:sz w:val="20"/>
          <w:szCs w:val="20"/>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find and retain skilled personnel;</w:t>
      </w:r>
    </w:p>
    <w:p>
      <w:pPr>
        <w:spacing w:after="0" w:line="21" w:lineRule="exact"/>
        <w:rPr>
          <w:rFonts w:ascii="Arial" w:cs="Arial" w:eastAsia="Arial" w:hAnsi="Arial"/>
          <w:sz w:val="17"/>
          <w:szCs w:val="17"/>
          <w:color w:val="auto"/>
        </w:rPr>
      </w:pPr>
    </w:p>
    <w:p>
      <w:pPr>
        <w:ind w:left="540" w:hanging="304"/>
        <w:spacing w:after="0" w:line="254" w:lineRule="auto"/>
        <w:tabs>
          <w:tab w:leader="none" w:pos="5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effects of our incentive and compensation plans and programs, including such effects on our Standards Operating Model and our operational and financial performance;</w:t>
      </w:r>
    </w:p>
    <w:p>
      <w:pPr>
        <w:spacing w:after="0" w:line="1"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execute our growth strategy;</w:t>
      </w:r>
    </w:p>
    <w:p>
      <w:pPr>
        <w:spacing w:after="0" w:line="23"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execution of our Standards Operating, 4E Leadership and Strategic Acquisition Models;</w:t>
      </w:r>
    </w:p>
    <w:p>
      <w:pPr>
        <w:spacing w:after="0" w:line="21"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effects of competition;</w:t>
      </w:r>
    </w:p>
    <w:p>
      <w:pPr>
        <w:spacing w:after="0" w:line="13"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the number of deaths in our markets;</w:t>
      </w:r>
    </w:p>
    <w:p>
      <w:pPr>
        <w:spacing w:after="0" w:line="23"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consumer preferences and our ability to adapt to or meet those changes;</w:t>
      </w:r>
    </w:p>
    <w:p>
      <w:pPr>
        <w:spacing w:after="0" w:line="21"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generate preneed sales, including implementing our cemetery portfolio sales strategy;</w:t>
      </w:r>
    </w:p>
    <w:p>
      <w:pPr>
        <w:spacing w:after="0" w:line="13"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investment performance of our funeral and cemetery trust funds;</w:t>
      </w:r>
    </w:p>
    <w:p>
      <w:pPr>
        <w:spacing w:after="0" w:line="23"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fluctuations in interest rates;</w:t>
      </w:r>
    </w:p>
    <w:p>
      <w:pPr>
        <w:spacing w:after="0" w:line="21" w:lineRule="exact"/>
        <w:rPr>
          <w:rFonts w:ascii="Arial" w:cs="Arial" w:eastAsia="Arial" w:hAnsi="Arial"/>
          <w:sz w:val="17"/>
          <w:szCs w:val="17"/>
          <w:color w:val="auto"/>
        </w:rPr>
      </w:pPr>
    </w:p>
    <w:p>
      <w:pPr>
        <w:ind w:left="540" w:hanging="304"/>
        <w:spacing w:after="0" w:line="254" w:lineRule="auto"/>
        <w:tabs>
          <w:tab w:leader="none" w:pos="5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obtain debt or equity financing on satisfactory terms to fund additional acquisitions, expansion projects, working capital requirements and the repayment or refinancing of indebtedness;</w:t>
      </w:r>
    </w:p>
    <w:p>
      <w:pPr>
        <w:spacing w:after="0" w:line="1" w:lineRule="exact"/>
        <w:rPr>
          <w:rFonts w:ascii="Arial" w:cs="Arial" w:eastAsia="Arial" w:hAnsi="Arial"/>
          <w:sz w:val="17"/>
          <w:szCs w:val="17"/>
          <w:color w:val="auto"/>
        </w:rPr>
      </w:pPr>
    </w:p>
    <w:p>
      <w:pPr>
        <w:jc w:val="both"/>
        <w:ind w:left="540" w:hanging="304"/>
        <w:spacing w:after="0" w:line="258" w:lineRule="auto"/>
        <w:tabs>
          <w:tab w:leader="none" w:pos="5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meet the timing, objectives and expectations related to our capital allocation framework, including our forecasted rates of return, planned uses of free cash flow and future capital allocation, including share repurchases, internal growth projects, potential strategic acquisitions, dividend increases, or debt repayment plans;</w:t>
      </w:r>
    </w:p>
    <w:p>
      <w:pPr>
        <w:spacing w:after="0" w:line="2"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timely and full payment of death benefits related to preneed funeral contracts funded through life insurance contracts;</w:t>
      </w:r>
    </w:p>
    <w:p>
      <w:pPr>
        <w:spacing w:after="0" w:line="21"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financial condition of third-party insurance companies that fund our preneed funeral contracts;</w:t>
      </w:r>
    </w:p>
    <w:p>
      <w:pPr>
        <w:spacing w:after="0" w:line="13"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or unanticipated costs, such as insurance or taxes;</w:t>
      </w:r>
    </w:p>
    <w:p>
      <w:pPr>
        <w:spacing w:after="0" w:line="23"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level of indebtedness and the cash required to service our indebtedness;</w:t>
      </w:r>
    </w:p>
    <w:p>
      <w:pPr>
        <w:spacing w:after="0" w:line="21" w:lineRule="exact"/>
        <w:rPr>
          <w:rFonts w:ascii="Arial" w:cs="Arial" w:eastAsia="Arial" w:hAnsi="Arial"/>
          <w:sz w:val="17"/>
          <w:szCs w:val="17"/>
          <w:color w:val="auto"/>
        </w:rPr>
      </w:pPr>
    </w:p>
    <w:p>
      <w:pPr>
        <w:ind w:left="540" w:hanging="304"/>
        <w:spacing w:after="0" w:line="254" w:lineRule="auto"/>
        <w:tabs>
          <w:tab w:leader="none" w:pos="5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federal income tax laws and regulations and the implementation and interpretation of these laws and regulations by the Internal Revenue Service;</w:t>
      </w:r>
    </w:p>
    <w:p>
      <w:pPr>
        <w:spacing w:after="0" w:line="1"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effects of the application of other applicable laws and regulations, including changes in such regulations or the interpretation thereof;</w:t>
      </w:r>
    </w:p>
    <w:p>
      <w:pPr>
        <w:spacing w:after="0" w:line="21" w:lineRule="exact"/>
        <w:rPr>
          <w:rFonts w:ascii="Arial" w:cs="Arial" w:eastAsia="Arial" w:hAnsi="Arial"/>
          <w:sz w:val="17"/>
          <w:szCs w:val="17"/>
          <w:color w:val="auto"/>
        </w:rPr>
      </w:pPr>
    </w:p>
    <w:p>
      <w:pPr>
        <w:ind w:left="540" w:hanging="304"/>
        <w:spacing w:after="0" w:line="254" w:lineRule="auto"/>
        <w:tabs>
          <w:tab w:leader="none" w:pos="5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potential impact of epidemics and pandemics, including the COVID-19 coronavirus, including new variants of COVID-19, such as the delta variant, on customer preferences and on our business;</w:t>
      </w:r>
    </w:p>
    <w:p>
      <w:pPr>
        <w:spacing w:after="0" w:line="1" w:lineRule="exact"/>
        <w:rPr>
          <w:rFonts w:ascii="Arial" w:cs="Arial" w:eastAsia="Arial" w:hAnsi="Arial"/>
          <w:sz w:val="17"/>
          <w:szCs w:val="17"/>
          <w:color w:val="auto"/>
        </w:rPr>
      </w:pPr>
    </w:p>
    <w:p>
      <w:pPr>
        <w:ind w:left="540" w:hanging="304"/>
        <w:spacing w:after="0" w:line="261" w:lineRule="auto"/>
        <w:tabs>
          <w:tab w:leader="none" w:pos="5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government, social, business and other actions that have been and will be taken in response to pandemics, including potential responses to new variants of COVID-19, such as the delta variant;</w:t>
      </w: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effects of litigation;</w:t>
      </w:r>
    </w:p>
    <w:p>
      <w:pPr>
        <w:spacing w:after="0" w:line="21"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consolidation of the funeral and cemetery industry;</w:t>
      </w:r>
    </w:p>
    <w:p>
      <w:pPr>
        <w:spacing w:after="0" w:line="13"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ability to consummate the divestiture of low performing businesses as currently expected, if at all, including expected use of proceeds related thereto;</w:t>
      </w:r>
    </w:p>
    <w:p>
      <w:pPr>
        <w:spacing w:after="0" w:line="46" w:lineRule="exact"/>
        <w:rPr>
          <w:rFonts w:ascii="Arial" w:cs="Arial" w:eastAsia="Arial" w:hAnsi="Arial"/>
          <w:sz w:val="15"/>
          <w:szCs w:val="15"/>
          <w:color w:val="auto"/>
        </w:rPr>
      </w:pPr>
    </w:p>
    <w:p>
      <w:pPr>
        <w:ind w:left="540" w:hanging="304"/>
        <w:spacing w:after="0" w:line="260" w:lineRule="auto"/>
        <w:tabs>
          <w:tab w:leader="none" w:pos="5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identify and consummate strategic acquisitions, if at all, and successfully integrate acquired businesses with our existing businesses, including expected performance and financial improvements related thereto;</w:t>
      </w: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economic, financial and stock market fluctuations;</w:t>
      </w:r>
    </w:p>
    <w:p>
      <w:pPr>
        <w:spacing w:after="0" w:line="13" w:lineRule="exact"/>
        <w:rPr>
          <w:rFonts w:ascii="Arial" w:cs="Arial" w:eastAsia="Arial" w:hAnsi="Arial"/>
          <w:sz w:val="17"/>
          <w:szCs w:val="17"/>
          <w:color w:val="auto"/>
        </w:rPr>
      </w:pPr>
    </w:p>
    <w:p>
      <w:pPr>
        <w:ind w:left="540" w:hanging="304"/>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interruptions or security lapses of our information technology, including any cybersecurity or ransomware incidents;</w:t>
      </w:r>
    </w:p>
    <w:p>
      <w:pPr>
        <w:spacing w:after="0" w:line="200" w:lineRule="exact"/>
        <w:rPr>
          <w:rFonts w:ascii="Arial" w:cs="Arial" w:eastAsia="Arial" w:hAnsi="Arial"/>
          <w:sz w:val="17"/>
          <w:szCs w:val="17"/>
          <w:color w:val="auto"/>
        </w:rPr>
      </w:pPr>
    </w:p>
    <w:p>
      <w:pPr>
        <w:spacing w:after="0" w:line="353" w:lineRule="exact"/>
        <w:rPr>
          <w:rFonts w:ascii="Arial" w:cs="Arial" w:eastAsia="Arial" w:hAnsi="Arial"/>
          <w:sz w:val="17"/>
          <w:szCs w:val="17"/>
          <w:color w:val="auto"/>
        </w:rPr>
      </w:pPr>
    </w:p>
    <w:p>
      <w:pPr>
        <w:ind w:left="5540" w:hanging="102"/>
        <w:spacing w:after="0"/>
        <w:tabs>
          <w:tab w:leader="none" w:pos="55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37" w:name="page38"/>
    <w:bookmarkEnd w:id="37"/>
    <w:p>
      <w:pPr>
        <w:ind w:left="540" w:hanging="304"/>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failure to maintain effective control over financial reporting; and</w:t>
      </w:r>
    </w:p>
    <w:p>
      <w:pPr>
        <w:spacing w:after="0" w:line="23" w:lineRule="exact"/>
        <w:rPr>
          <w:rFonts w:ascii="Arial" w:cs="Arial" w:eastAsia="Arial" w:hAnsi="Arial"/>
          <w:sz w:val="17"/>
          <w:szCs w:val="17"/>
          <w:color w:val="auto"/>
        </w:rPr>
      </w:pPr>
    </w:p>
    <w:p>
      <w:pPr>
        <w:ind w:left="540" w:hanging="304"/>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factors and uncertainties inherent in the funeral and cemetery industry.</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2020.</w:t>
      </w:r>
    </w:p>
    <w:p>
      <w:pPr>
        <w:spacing w:after="0" w:line="73"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8" w:name="page39"/>
    <w:bookmarkEnd w:id="38"/>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Carriage Services, Inc. (“Carriage,” the “Company,” “we,” “us,” or “our”) was incorporated in the State of Delaware in December 1993 and is a leading U.S. provider of funeral and cemetery services and merchandise. We operate in two business segments: Funeral Home Operations, which currently account for approximately 70% of our revenue, and Cemetery Operations, which currently account for approximately 30% of our revenue.</w:t>
      </w:r>
    </w:p>
    <w:p>
      <w:pPr>
        <w:spacing w:after="0" w:line="73"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At June 30, 2021, we operated 171 funeral homes in 26 states and 32 cemeteries in 12 states. We compete with other publicly held and independent operators of funeral and cemetery companies. We believe we are a market leader in most of our markets.</w:t>
      </w:r>
    </w:p>
    <w:p>
      <w:pPr>
        <w:spacing w:after="0" w:line="60"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Funeral home and cemetery businesses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spacing w:after="0" w:line="81"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Our cemeteries provide interment rights (primarily grave sites, lawn crypts, mausoleum spaces and niches), related cemetery merchandise (such as outer burial containers, memorial markers and floral placements) and services (interments, inurnments and installation of cemetery merchandise).</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provide funeral and cemetery services and products on both an “atneed” (time of death) and “preneed” (planned prior to death) basis.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Executive Team Appointment and Promotions</w:t>
      </w:r>
    </w:p>
    <w:p>
      <w:pPr>
        <w:spacing w:after="0" w:line="114" w:lineRule="exact"/>
        <w:rPr>
          <w:sz w:val="20"/>
          <w:szCs w:val="20"/>
          <w:color w:val="auto"/>
        </w:rPr>
      </w:pPr>
    </w:p>
    <w:p>
      <w:pPr>
        <w:jc w:val="both"/>
        <w:ind w:firstLine="387"/>
        <w:spacing w:after="0" w:line="349" w:lineRule="auto"/>
        <w:rPr>
          <w:sz w:val="20"/>
          <w:szCs w:val="20"/>
          <w:color w:val="auto"/>
        </w:rPr>
      </w:pPr>
      <w:r>
        <w:rPr>
          <w:rFonts w:ascii="Arial" w:cs="Arial" w:eastAsia="Arial" w:hAnsi="Arial"/>
          <w:sz w:val="15"/>
          <w:szCs w:val="15"/>
          <w:color w:val="auto"/>
        </w:rPr>
        <w:t>On June 1, 2021, C. Benjamin Brink, Steven D. Metzger and Carlos R. Quezada were each promoted to Executive Vice President. The Board also appointed Carlos R. Quezada to serve as the Company’s Chief Operating Officer and Steven D. Metzger to serve as the Company's Chief Administrative Officer.</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Senior Notes and Credit Facility</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On May 13, 2021, we completed the issuance of $400.0 million in aggregate principal amount 4.25% Senior Notes due 2029 (the “New Senior Notes”). In connection with the issuance of the New Senior Notes, we entered into an amended and restated $150.0 million senior secured revolving credit facility (the “New Credit Facility”).</w:t>
      </w:r>
    </w:p>
    <w:p>
      <w:pPr>
        <w:spacing w:after="0" w:line="7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used the proceeds of $395.5 million from the offering of the New Senior Notes, which are net of a 1.125% debt discount of $4.5 million, together with cash on hand and borrowings under the New Credit Facility, to redeem all of our existing $400.0 million in aggregate principal amount 6.625% senior notes due 2026 (the “Original Senior Notes”).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Divestitures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the six months ended June 30, 2021, we divested three funeral homes for a total of $3.5 million, at a gain of $0.1 million.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Litigation</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i w:val="1"/>
          <w:iCs w:val="1"/>
          <w:color w:val="auto"/>
        </w:rPr>
        <w:t>Chinchilla v. Carriage Services, Inc., et al.</w:t>
      </w:r>
      <w:r>
        <w:rPr>
          <w:rFonts w:ascii="Arial" w:cs="Arial" w:eastAsia="Arial" w:hAnsi="Arial"/>
          <w:sz w:val="16"/>
          <w:szCs w:val="16"/>
          <w:color w:val="auto"/>
        </w:rPr>
        <w:t>, Superior Court of California, San Joaquin County, Case No. STK-CV-UOE-2021-0004661. On May 19, 2021, a</w:t>
      </w:r>
      <w:r>
        <w:rPr>
          <w:rFonts w:ascii="Arial" w:cs="Arial" w:eastAsia="Arial" w:hAnsi="Arial"/>
          <w:sz w:val="16"/>
          <w:szCs w:val="16"/>
          <w:i w:val="1"/>
          <w:iCs w:val="1"/>
          <w:color w:val="auto"/>
        </w:rPr>
        <w:t xml:space="preserve"> </w:t>
      </w:r>
      <w:r>
        <w:rPr>
          <w:rFonts w:ascii="Arial" w:cs="Arial" w:eastAsia="Arial" w:hAnsi="Arial"/>
          <w:sz w:val="16"/>
          <w:szCs w:val="16"/>
          <w:color w:val="auto"/>
        </w:rPr>
        <w:t>putative class action against the Company and several of our subsidiaries was filed. Plaintiff, a former employee, seeks monetary damages on behalf of himself and other similarly situated current and former non-exempt employees. Plaintiff claims that the Company failed to, among other things, pay minimum wages, provide meal and rest breaks, pay overtime, provide accurately itemized wage statements, reimburse employees for business expenses, and provide wages when due. At June 30, 2021, we are unable to reasonably estimate the possible loss or ranges of loss, if any.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9" w:name="page40"/>
    <w:bookmarkEnd w:id="39"/>
    <w:p>
      <w:pPr>
        <w:ind w:left="420"/>
        <w:spacing w:after="0"/>
        <w:rPr>
          <w:sz w:val="20"/>
          <w:szCs w:val="20"/>
          <w:color w:val="auto"/>
        </w:rPr>
      </w:pPr>
      <w:r>
        <w:rPr>
          <w:rFonts w:ascii="Arial" w:cs="Arial" w:eastAsia="Arial" w:hAnsi="Arial"/>
          <w:sz w:val="17"/>
          <w:szCs w:val="17"/>
          <w:i w:val="1"/>
          <w:iCs w:val="1"/>
          <w:color w:val="auto"/>
        </w:rPr>
        <w:t>Business Impact under the Macroeconomic Environment of COVID-19</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On March 11, 2020, COVID-19 was deemed a global pandemic and since then, the Company has continued to proactively monitor and assess the pandemic’s current and potential impact to the Company’s operations. Beginning in early March 2020, the Company’s senior leadership team took certain steps to assist our businesses in appropriately adjusting and adapting to the conditions resulting from the COVID-19 pandemic.</w:t>
      </w:r>
    </w:p>
    <w:p>
      <w:pPr>
        <w:spacing w:after="0" w:line="73" w:lineRule="exact"/>
        <w:rPr>
          <w:sz w:val="20"/>
          <w:szCs w:val="20"/>
          <w:color w:val="auto"/>
        </w:rPr>
      </w:pPr>
    </w:p>
    <w:p>
      <w:pPr>
        <w:jc w:val="both"/>
        <w:ind w:firstLine="387"/>
        <w:spacing w:after="0" w:line="278" w:lineRule="auto"/>
        <w:rPr>
          <w:sz w:val="20"/>
          <w:szCs w:val="20"/>
          <w:color w:val="auto"/>
        </w:rPr>
      </w:pPr>
      <w:r>
        <w:rPr>
          <w:rFonts w:ascii="Arial" w:cs="Arial" w:eastAsia="Arial" w:hAnsi="Arial"/>
          <w:sz w:val="16"/>
          <w:szCs w:val="16"/>
          <w:color w:val="auto"/>
        </w:rPr>
        <w:t>Our businesses have been designated as essential services and, therefore, each one of the Company’s business locations remains open and ready to provide service to their communities in this time of need. While our businesses provide an essential public function, along with a critical responsibility to the communities and families they serve, the health and safety of our employees and the families we serve remain our top priority. The Company has taken additional steps during this time to continually review and update our processes and procedures to comply with all regulatory mandates and procure additional supplies to ensure that each of our businesses have appropriate personal protective equipment to provide these essential services. The Company has also implemented additional safety and precautionary measures as it concerns our businesses’ day-to-day interaction with the families and communities they serve.</w:t>
      </w:r>
    </w:p>
    <w:p>
      <w:pPr>
        <w:spacing w:after="0" w:line="6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overall impact of the macroeconomic environment to the deathcare industry from COVID-19 may provide varying results as compared to other industries. Our industry’s revenues are impacted by various factors, including the number of funeral services performed, the average price for a service and the mix of traditional burial versus cremation contracts. Changes in the macroeconomic environment as a result of the pandemic have, to this point, begun to normalize consistent with pre-COVID-19 levels as it relates to volumes and the services we provide. Our businesses have remained focused on being innovative and resourceful, providing families immediate service as part of the grieving process.</w:t>
      </w:r>
    </w:p>
    <w:p>
      <w:pPr>
        <w:spacing w:after="0" w:line="77" w:lineRule="exact"/>
        <w:rPr>
          <w:sz w:val="20"/>
          <w:szCs w:val="20"/>
          <w:color w:val="auto"/>
        </w:rPr>
      </w:pPr>
    </w:p>
    <w:p>
      <w:pPr>
        <w:jc w:val="both"/>
        <w:ind w:firstLine="387"/>
        <w:spacing w:after="0" w:line="299" w:lineRule="auto"/>
        <w:rPr>
          <w:sz w:val="20"/>
          <w:szCs w:val="20"/>
          <w:color w:val="auto"/>
        </w:rPr>
      </w:pPr>
      <w:r>
        <w:rPr>
          <w:rFonts w:ascii="Arial" w:cs="Arial" w:eastAsia="Arial" w:hAnsi="Arial"/>
          <w:sz w:val="15"/>
          <w:szCs w:val="15"/>
          <w:color w:val="auto"/>
        </w:rPr>
        <w:t>Within our financial reporting environment, we have considered various areas that could affect the results of our operations, though the scope, severity and duration of these impacts remain uncertain at this time because the ultimate impact of COVID-19 remains uncertain, including the potential impacts of new variants of COVID-19, such as the delta variant, and any resulting government responses to such variants. We do not believe we are vulnerable to certain concentrations, whether by geographic area, revenue for specific products or our relationships with our vendors. Our relationships with our vendors and suppliers have remained consistent and we continue to receive reliable service. Remote working arrangements, when utilized, have not materially affected our ability to maintain and support operations, including financial reporting systems, internal controls over financial reporting, and disclosure controls and procedures.</w:t>
      </w:r>
    </w:p>
    <w:p>
      <w:pPr>
        <w:spacing w:after="0" w:line="5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believe our access to capital, the cost of our capital, or the sources and uses of our cash should be relatively consistent in the near term. While the expected duration of the pandemic is unknown, we have not currently experienced any material negative impacts to our liquidity position, access to capital, or cash flows as a result of COVID-19. See Liquidity within Item 2, Management’s Discussion and Analysis of Financial Condition and Results of Operations, for additional information related to our liquidity position.</w:t>
      </w:r>
    </w:p>
    <w:p>
      <w:pPr>
        <w:spacing w:after="0" w:line="76"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have also applied certain measures of the CARES Act, which have provided a cash benefit in the form of tax payment refunds, tax credits related to employee retention, cash deferral for the employer portion of the Social Security tax and anticipated minimal cash taxes for 2020. Although we expect to take advantage of certain tax relief provisions of the CARES Act, we do not believe it will have a significant impact on our short-term or long-term liquidity position. See Item 1, Financial Statements and Supplementary Data, Note 1 for additional information related to the CARES Act.</w:t>
      </w:r>
    </w:p>
    <w:p>
      <w:pPr>
        <w:spacing w:after="0" w:line="76"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During the second quarter of 2021, as gathering restrictions were lifted by state and local officials, we saw a normalization of funeral volumes at broadly higher funeral contract revenue averages, with geographical funeral revenue and margin difference related to the COVID-19 pandemic death rates decreasing. Although we expect these trends to continue, we will continue to assess these impacts, including the potential impacts of new variants of COVID-19, such as the delta variant, and implement appropriate procedures, plans, strategy, and issue any disclosures that may be required, as the situation surrounding the pandemic and related gathering restrictions, if any, evolves.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Funeral Home Operations</w:t>
      </w:r>
    </w:p>
    <w:p>
      <w:pPr>
        <w:spacing w:after="0" w:line="11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Factors affecting our funeral operating results include, but are not limited to: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to increase average revenue per contract.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Cemetery Operations</w:t>
      </w:r>
    </w:p>
    <w:p>
      <w:pPr>
        <w:spacing w:after="0" w:line="11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Our cemeteries provide interment rights (grave sites and mausoleum spaces) and related merchandise, such as markers and outer burial containers both on an atneed and preneed basis. Factors affecting our cemetery operating results include, but are not limited to: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Strategy</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Our business strategy is based on strong, local leadership with entrepreneurial principles that is focused on sustainable long term market share, revenue, and profitability growth in each local business. We believe Carriage has the most innovative operating model in the funeral and cemetery industry, which we are able to achieve through a decentralized, high-performance culture operating framework linked with incentive compensation programs that attract top quality industry talent to our organization. We also believe that Carriage provides a unique consolidation and operating framework that offers a highly attractive succession planning solution for independent owners who want their legacy family business to remain operationally prosperous in their local communities.</w:t>
      </w:r>
    </w:p>
    <w:p>
      <w:pPr>
        <w:spacing w:after="0" w:line="57"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Mission Statement</w:t>
      </w:r>
      <w:r>
        <w:rPr>
          <w:rFonts w:ascii="Arial" w:cs="Arial" w:eastAsia="Arial" w:hAnsi="Arial"/>
          <w:sz w:val="17"/>
          <w:szCs w:val="17"/>
          <w:color w:val="auto"/>
        </w:rPr>
        <w:t xml:space="preserve"> states that “we are committed to being the most professional, ethical and highest quality funeral and cemetery service organization in our industry” and our </w:t>
      </w:r>
      <w:r>
        <w:rPr>
          <w:rFonts w:ascii="Arial" w:cs="Arial" w:eastAsia="Arial" w:hAnsi="Arial"/>
          <w:sz w:val="17"/>
          <w:szCs w:val="17"/>
          <w:b w:val="1"/>
          <w:bCs w:val="1"/>
          <w:color w:val="auto"/>
        </w:rPr>
        <w:t>Guiding Principles</w:t>
      </w:r>
      <w:r>
        <w:rPr>
          <w:rFonts w:ascii="Arial" w:cs="Arial" w:eastAsia="Arial" w:hAnsi="Arial"/>
          <w:sz w:val="17"/>
          <w:szCs w:val="17"/>
          <w:color w:val="auto"/>
        </w:rPr>
        <w:t xml:space="preserve"> state our core values, which are comprised of:</w:t>
      </w:r>
    </w:p>
    <w:p>
      <w:pPr>
        <w:spacing w:after="0" w:line="3" w:lineRule="exact"/>
        <w:rPr>
          <w:sz w:val="20"/>
          <w:szCs w:val="20"/>
          <w:color w:val="auto"/>
        </w:rPr>
      </w:pPr>
    </w:p>
    <w:p>
      <w:pPr>
        <w:ind w:left="1160" w:hanging="615"/>
        <w:spacing w:after="0"/>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Honesty, integrity and quality in all that we do;</w:t>
      </w:r>
    </w:p>
    <w:p>
      <w:pPr>
        <w:spacing w:after="0" w:line="62" w:lineRule="exact"/>
        <w:rPr>
          <w:rFonts w:ascii="Arial" w:cs="Arial" w:eastAsia="Arial" w:hAnsi="Arial"/>
          <w:sz w:val="17"/>
          <w:szCs w:val="17"/>
          <w:color w:val="auto"/>
        </w:rPr>
      </w:pPr>
    </w:p>
    <w:p>
      <w:pPr>
        <w:ind w:left="1160" w:hanging="615"/>
        <w:spacing w:after="0"/>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Hard work, pride of accomplishment, and shared success through employee ownership;</w:t>
      </w:r>
    </w:p>
    <w:p>
      <w:pPr>
        <w:spacing w:after="0" w:line="62" w:lineRule="exact"/>
        <w:rPr>
          <w:rFonts w:ascii="Arial" w:cs="Arial" w:eastAsia="Arial" w:hAnsi="Arial"/>
          <w:sz w:val="17"/>
          <w:szCs w:val="17"/>
          <w:color w:val="auto"/>
        </w:rPr>
      </w:pPr>
    </w:p>
    <w:p>
      <w:pPr>
        <w:ind w:left="1160" w:hanging="615"/>
        <w:spacing w:after="0"/>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Belief in the power of people through individual initiative and teamwork;</w:t>
      </w:r>
    </w:p>
    <w:p>
      <w:pPr>
        <w:spacing w:after="0" w:line="62" w:lineRule="exact"/>
        <w:rPr>
          <w:rFonts w:ascii="Arial" w:cs="Arial" w:eastAsia="Arial" w:hAnsi="Arial"/>
          <w:sz w:val="17"/>
          <w:szCs w:val="17"/>
          <w:color w:val="auto"/>
        </w:rPr>
      </w:pPr>
    </w:p>
    <w:p>
      <w:pPr>
        <w:ind w:left="1160" w:hanging="615"/>
        <w:spacing w:after="0"/>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Outstanding service and profitability to hand-in-hand; and</w:t>
      </w:r>
    </w:p>
    <w:p>
      <w:pPr>
        <w:spacing w:after="0" w:line="62" w:lineRule="exact"/>
        <w:rPr>
          <w:rFonts w:ascii="Arial" w:cs="Arial" w:eastAsia="Arial" w:hAnsi="Arial"/>
          <w:sz w:val="17"/>
          <w:szCs w:val="17"/>
          <w:color w:val="auto"/>
        </w:rPr>
      </w:pPr>
    </w:p>
    <w:p>
      <w:pPr>
        <w:ind w:left="1160" w:hanging="615"/>
        <w:spacing w:after="0"/>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Growth of the company is driven by decentralization and partnership.</w:t>
      </w:r>
    </w:p>
    <w:p>
      <w:pPr>
        <w:spacing w:after="0" w:line="108" w:lineRule="exact"/>
        <w:rPr>
          <w:sz w:val="20"/>
          <w:szCs w:val="20"/>
          <w:color w:val="auto"/>
        </w:rPr>
      </w:pPr>
    </w:p>
    <w:p>
      <w:pPr>
        <w:ind w:firstLine="387"/>
        <w:spacing w:after="0" w:line="287" w:lineRule="auto"/>
        <w:rPr>
          <w:sz w:val="20"/>
          <w:szCs w:val="20"/>
          <w:color w:val="auto"/>
        </w:rPr>
      </w:pPr>
      <w:r>
        <w:rPr>
          <w:rFonts w:ascii="Arial" w:cs="Arial" w:eastAsia="Arial" w:hAnsi="Arial"/>
          <w:sz w:val="17"/>
          <w:szCs w:val="17"/>
          <w:color w:val="auto"/>
        </w:rPr>
        <w:t xml:space="preserve">Our five </w:t>
      </w:r>
      <w:r>
        <w:rPr>
          <w:rFonts w:ascii="Arial" w:cs="Arial" w:eastAsia="Arial" w:hAnsi="Arial"/>
          <w:sz w:val="17"/>
          <w:szCs w:val="17"/>
          <w:b w:val="1"/>
          <w:bCs w:val="1"/>
          <w:color w:val="auto"/>
        </w:rPr>
        <w:t>Guiding Principles</w:t>
      </w:r>
      <w:r>
        <w:rPr>
          <w:rFonts w:ascii="Arial" w:cs="Arial" w:eastAsia="Arial" w:hAnsi="Arial"/>
          <w:sz w:val="17"/>
          <w:szCs w:val="17"/>
          <w:color w:val="auto"/>
        </w:rPr>
        <w:t xml:space="preserve"> collectively embody our </w:t>
      </w:r>
      <w:r>
        <w:rPr>
          <w:rFonts w:ascii="Arial" w:cs="Arial" w:eastAsia="Arial" w:hAnsi="Arial"/>
          <w:sz w:val="17"/>
          <w:szCs w:val="17"/>
          <w:b w:val="1"/>
          <w:bCs w:val="1"/>
          <w:color w:val="auto"/>
        </w:rPr>
        <w:t>Being The Best</w:t>
      </w:r>
      <w:r>
        <w:rPr>
          <w:rFonts w:ascii="Arial" w:cs="Arial" w:eastAsia="Arial" w:hAnsi="Arial"/>
          <w:sz w:val="17"/>
          <w:szCs w:val="17"/>
          <w:color w:val="auto"/>
        </w:rPr>
        <w:t xml:space="preserve"> high-performance culture and operating framework. Our operations and business strategy are built upon the execution of the following three models:</w:t>
      </w:r>
    </w:p>
    <w:p>
      <w:pPr>
        <w:spacing w:after="0" w:line="3" w:lineRule="exact"/>
        <w:rPr>
          <w:sz w:val="20"/>
          <w:szCs w:val="20"/>
          <w:color w:val="auto"/>
        </w:rPr>
      </w:pPr>
    </w:p>
    <w:p>
      <w:pPr>
        <w:ind w:left="1160" w:hanging="615"/>
        <w:spacing w:after="0"/>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Standards Operating Model;</w:t>
      </w:r>
    </w:p>
    <w:p>
      <w:pPr>
        <w:spacing w:after="0" w:line="62" w:lineRule="exact"/>
        <w:rPr>
          <w:rFonts w:ascii="Arial" w:cs="Arial" w:eastAsia="Arial" w:hAnsi="Arial"/>
          <w:sz w:val="17"/>
          <w:szCs w:val="17"/>
          <w:color w:val="auto"/>
        </w:rPr>
      </w:pPr>
    </w:p>
    <w:p>
      <w:pPr>
        <w:ind w:left="1160" w:hanging="615"/>
        <w:spacing w:after="0"/>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4E Leadership Model; and</w:t>
      </w:r>
    </w:p>
    <w:p>
      <w:pPr>
        <w:spacing w:after="0" w:line="62" w:lineRule="exact"/>
        <w:rPr>
          <w:rFonts w:ascii="Arial" w:cs="Arial" w:eastAsia="Arial" w:hAnsi="Arial"/>
          <w:sz w:val="17"/>
          <w:szCs w:val="17"/>
          <w:color w:val="auto"/>
        </w:rPr>
      </w:pPr>
    </w:p>
    <w:p>
      <w:pPr>
        <w:ind w:left="1160" w:hanging="615"/>
        <w:spacing w:after="0"/>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Strategic Acquisition Model.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Standards Operating Model</w:t>
      </w:r>
    </w:p>
    <w:p>
      <w:pPr>
        <w:spacing w:after="0" w:line="11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Our Standards Operating Model is focused on growing local market share, providing personalized high 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4E Leadership Model</w:t>
      </w:r>
    </w:p>
    <w:p>
      <w:pPr>
        <w:spacing w:after="0" w:line="11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 xml:space="preserve">Our 4E Leadership Model requires strong local leadership in each business to grow an entrepreneurial, decentralized, high-value, personal service and sales business at sustainable profit margins. Our 4E Leadership Model is based upon principles established by Jack Welch during his tenure at General Electric, and is based upon 4E qualities essential to succeed in a high performance culture: </w:t>
      </w:r>
      <w:r>
        <w:rPr>
          <w:rFonts w:ascii="Arial" w:cs="Arial" w:eastAsia="Arial" w:hAnsi="Arial"/>
          <w:sz w:val="17"/>
          <w:szCs w:val="17"/>
          <w:i w:val="1"/>
          <w:iCs w:val="1"/>
          <w:color w:val="auto"/>
        </w:rPr>
        <w:t>Energy</w:t>
      </w:r>
      <w:r>
        <w:rPr>
          <w:rFonts w:ascii="Arial" w:cs="Arial" w:eastAsia="Arial" w:hAnsi="Arial"/>
          <w:sz w:val="17"/>
          <w:szCs w:val="17"/>
          <w:color w:val="auto"/>
        </w:rPr>
        <w:t xml:space="preserve"> to get the job done; the ability to </w:t>
      </w:r>
      <w:r>
        <w:rPr>
          <w:rFonts w:ascii="Arial" w:cs="Arial" w:eastAsia="Arial" w:hAnsi="Arial"/>
          <w:sz w:val="17"/>
          <w:szCs w:val="17"/>
          <w:i w:val="1"/>
          <w:iCs w:val="1"/>
          <w:color w:val="auto"/>
        </w:rPr>
        <w:t>Energiz</w:t>
      </w:r>
      <w:r>
        <w:rPr>
          <w:rFonts w:ascii="Arial" w:cs="Arial" w:eastAsia="Arial" w:hAnsi="Arial"/>
          <w:sz w:val="17"/>
          <w:szCs w:val="17"/>
          <w:color w:val="auto"/>
        </w:rPr>
        <w:t xml:space="preserve">e others; the </w:t>
      </w:r>
      <w:r>
        <w:rPr>
          <w:rFonts w:ascii="Arial" w:cs="Arial" w:eastAsia="Arial" w:hAnsi="Arial"/>
          <w:sz w:val="17"/>
          <w:szCs w:val="17"/>
          <w:i w:val="1"/>
          <w:iCs w:val="1"/>
          <w:color w:val="auto"/>
        </w:rPr>
        <w:t>Edge</w:t>
      </w:r>
      <w:r>
        <w:rPr>
          <w:rFonts w:ascii="Arial" w:cs="Arial" w:eastAsia="Arial" w:hAnsi="Arial"/>
          <w:sz w:val="17"/>
          <w:szCs w:val="17"/>
          <w:color w:val="auto"/>
        </w:rPr>
        <w:t xml:space="preserve"> necessary to make difficult decisions; and the ability to </w:t>
      </w:r>
      <w:r>
        <w:rPr>
          <w:rFonts w:ascii="Arial" w:cs="Arial" w:eastAsia="Arial" w:hAnsi="Arial"/>
          <w:sz w:val="17"/>
          <w:szCs w:val="17"/>
          <w:i w:val="1"/>
          <w:iCs w:val="1"/>
          <w:color w:val="auto"/>
        </w:rPr>
        <w:t>Execute</w:t>
      </w:r>
      <w:r>
        <w:rPr>
          <w:rFonts w:ascii="Arial" w:cs="Arial" w:eastAsia="Arial" w:hAnsi="Arial"/>
          <w:sz w:val="17"/>
          <w:szCs w:val="17"/>
          <w:color w:val="auto"/>
        </w:rPr>
        <w:t xml:space="preserve"> and produce results. To achieve a high level within our Standards in a business year after year, we require local Managing Partners that have the 4E Leadership skills to entrepreneurially grow the business by hiring, training and developing highly motivated and productive local teams.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Acquisition Model</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ranking criteria to assess acquisition candidates. As we execute this strategy over time, we expect to acquire larger, higher margin strategic businesses.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41" w:name="page42"/>
    <w:bookmarkEnd w:id="41"/>
    <w:p>
      <w:pPr>
        <w:jc w:val="both"/>
        <w:ind w:firstLine="387"/>
        <w:spacing w:after="0" w:line="302" w:lineRule="auto"/>
        <w:rPr>
          <w:sz w:val="20"/>
          <w:szCs w:val="20"/>
          <w:color w:val="auto"/>
        </w:rPr>
      </w:pPr>
      <w:r>
        <w:rPr>
          <w:rFonts w:ascii="Arial" w:cs="Arial" w:eastAsia="Arial" w:hAnsi="Arial"/>
          <w:sz w:val="15"/>
          <w:szCs w:val="15"/>
          <w:color w:val="auto"/>
        </w:rPr>
        <w:t>We have learned that the long-term growth or decline of a local branded funeral and cemetery business is reflected by several criteria that correlate strongly with five to ten 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spacing w:after="0" w:line="45"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color w:val="auto"/>
        </w:rPr>
        <w:t xml:space="preserve">Our belief in our </w:t>
      </w:r>
      <w:r>
        <w:rPr>
          <w:rFonts w:ascii="Arial" w:cs="Arial" w:eastAsia="Arial" w:hAnsi="Arial"/>
          <w:sz w:val="17"/>
          <w:szCs w:val="17"/>
          <w:b w:val="1"/>
          <w:bCs w:val="1"/>
          <w:color w:val="auto"/>
        </w:rPr>
        <w:t>Mission Statement</w:t>
      </w:r>
      <w:r>
        <w:rPr>
          <w:rFonts w:ascii="Arial" w:cs="Arial" w:eastAsia="Arial" w:hAnsi="Arial"/>
          <w:sz w:val="17"/>
          <w:szCs w:val="17"/>
          <w:color w:val="auto"/>
        </w:rPr>
        <w:t xml:space="preserve"> and </w:t>
      </w:r>
      <w:r>
        <w:rPr>
          <w:rFonts w:ascii="Arial" w:cs="Arial" w:eastAsia="Arial" w:hAnsi="Arial"/>
          <w:sz w:val="17"/>
          <w:szCs w:val="17"/>
          <w:b w:val="1"/>
          <w:bCs w:val="1"/>
          <w:color w:val="auto"/>
        </w:rPr>
        <w:t>Guiding Principles</w:t>
      </w:r>
      <w:r>
        <w:rPr>
          <w:rFonts w:ascii="Arial" w:cs="Arial" w:eastAsia="Arial" w:hAnsi="Arial"/>
          <w:sz w:val="17"/>
          <w:szCs w:val="17"/>
          <w:color w:val="auto"/>
        </w:rPr>
        <w:t xml:space="preserve"> and proper execution of the three models that define our strategy have given us a competitive advantage in every market where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Our primary sources of liquidity and capital resources are internally generated cash flows from operating activities and availability under our New Credit Facility.</w:t>
      </w:r>
    </w:p>
    <w:p>
      <w:pPr>
        <w:spacing w:after="0" w:line="60" w:lineRule="exact"/>
        <w:rPr>
          <w:sz w:val="20"/>
          <w:szCs w:val="20"/>
          <w:color w:val="auto"/>
        </w:rPr>
      </w:pPr>
    </w:p>
    <w:p>
      <w:pPr>
        <w:jc w:val="both"/>
        <w:ind w:firstLine="387"/>
        <w:spacing w:after="0" w:line="297" w:lineRule="auto"/>
        <w:rPr>
          <w:sz w:val="20"/>
          <w:szCs w:val="20"/>
          <w:color w:val="auto"/>
        </w:rPr>
      </w:pPr>
      <w:r>
        <w:rPr>
          <w:rFonts w:ascii="Arial" w:cs="Arial" w:eastAsia="Arial" w:hAnsi="Arial"/>
          <w:sz w:val="15"/>
          <w:szCs w:val="15"/>
          <w:color w:val="auto"/>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New Credit Facility, subject to its customary terms and conditions. However, if our capital expenditures or acquisition plans change, we may need to access the capital markets to obtain additional funding.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2020 and Part II, Item 1A “Risk Factors” in this Quarterly Report on Form 10-Q.</w:t>
      </w:r>
    </w:p>
    <w:p>
      <w:pPr>
        <w:spacing w:after="0" w:line="55"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Our plan is to remain focused on integrating our newly acquired businesses and to use cash on hand and borrowings under our New Credit Facility primarily for general corporate purposes, payment of dividends and debt obligations, strategic acquisitions, internal growth capital expenditures, share repurchases, dividend increases and further debt repayments. We also expect continued divestiture activity for the next six months, which could yield approximately $3-5 million of cash from the proceeds of the sale. From time to time we may also use available cash resources (including borrowings under our New Credit Facility) to repurchase shares of our common stock, subject to satisfying certain financial covenants in our New Credit Facility and in the Indenture governing our New Senior Notes. We believe that our existing and anticipated cash resources will be sufficient to meet our anticipated working capital requirements, capital expenditures, scheduled debt payments, commitments and dividends for the next 12 months.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i w:val="1"/>
          <w:iCs w:val="1"/>
          <w:color w:val="auto"/>
        </w:rPr>
        <w:t>Cash Flows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We began 2021 with $0.9 million in cash and ended the second quarter with $1.5 million in cash. At June 30, 2021, we had borrowings of $60.5 million outstanding on our Credit Facility compared to $47.2 million at December 31, 2020.</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the elements of cash flow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r>
      <w:tr>
        <w:trPr>
          <w:trHeight w:val="200"/>
        </w:trPr>
        <w:tc>
          <w:tcPr>
            <w:tcW w:w="80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at beginning of year</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r>
      <w:tr>
        <w:trPr>
          <w:trHeight w:val="142"/>
        </w:trPr>
        <w:tc>
          <w:tcPr>
            <w:tcW w:w="8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31,001</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41,441</w:t>
            </w:r>
          </w:p>
        </w:tc>
      </w:tr>
      <w:tr>
        <w:trPr>
          <w:trHeight w:val="142"/>
        </w:trPr>
        <w:tc>
          <w:tcPr>
            <w:tcW w:w="8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businesses and real estate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(28,011)</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w:t>
            </w:r>
          </w:p>
        </w:tc>
      </w:tr>
      <w:tr>
        <w:trPr>
          <w:trHeight w:val="219"/>
        </w:trPr>
        <w:tc>
          <w:tcPr>
            <w:tcW w:w="8080" w:type="dxa"/>
            <w:vAlign w:val="bottom"/>
          </w:tcPr>
          <w:p>
            <w:pPr>
              <w:ind w:left="20"/>
              <w:spacing w:after="0"/>
              <w:rPr>
                <w:sz w:val="20"/>
                <w:szCs w:val="20"/>
                <w:color w:val="auto"/>
              </w:rPr>
            </w:pPr>
            <w:r>
              <w:rPr>
                <w:rFonts w:ascii="Arial" w:cs="Arial" w:eastAsia="Arial" w:hAnsi="Arial"/>
                <w:sz w:val="17"/>
                <w:szCs w:val="17"/>
                <w:color w:val="auto"/>
              </w:rPr>
              <w:t>Proceeds from divestitures and sale of other assets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3,622</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insurance reimbursements</w:t>
            </w: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1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expenditures</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(5,786)</w:t>
            </w: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(8,751)</w:t>
            </w:r>
          </w:p>
        </w:tc>
      </w:tr>
      <w:tr>
        <w:trPr>
          <w:trHeight w:val="213"/>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(33,719)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(7,944)</w:t>
            </w:r>
          </w:p>
        </w:tc>
      </w:tr>
      <w:tr>
        <w:trPr>
          <w:trHeight w:val="142"/>
        </w:trPr>
        <w:tc>
          <w:tcPr>
            <w:tcW w:w="8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borrowings on our Credit Facility, acquisition debt and finance lease obligations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5,221</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12,848</w:t>
            </w:r>
          </w:p>
        </w:tc>
      </w:tr>
      <w:tr>
        <w:trPr>
          <w:trHeight w:val="219"/>
        </w:trPr>
        <w:tc>
          <w:tcPr>
            <w:tcW w:w="8080" w:type="dxa"/>
            <w:vAlign w:val="bottom"/>
          </w:tcPr>
          <w:p>
            <w:pPr>
              <w:ind w:left="20"/>
              <w:spacing w:after="0"/>
              <w:rPr>
                <w:sz w:val="20"/>
                <w:szCs w:val="20"/>
                <w:color w:val="auto"/>
              </w:rPr>
            </w:pPr>
            <w:r>
              <w:rPr>
                <w:rFonts w:ascii="Arial" w:cs="Arial" w:eastAsia="Arial" w:hAnsi="Arial"/>
                <w:sz w:val="17"/>
                <w:szCs w:val="17"/>
                <w:color w:val="auto"/>
              </w:rPr>
              <w:t>Payment of call premium related to the Original Senior Notes</w:t>
            </w:r>
          </w:p>
        </w:tc>
        <w:tc>
          <w:tcPr>
            <w:tcW w:w="4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(19,876)</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 of debt issuance and transaction costs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(6,430)</w:t>
            </w:r>
          </w:p>
        </w:tc>
      </w:tr>
      <w:tr>
        <w:trPr>
          <w:trHeight w:val="219"/>
        </w:trPr>
        <w:tc>
          <w:tcPr>
            <w:tcW w:w="8080" w:type="dxa"/>
            <w:vAlign w:val="bottom"/>
          </w:tcPr>
          <w:p>
            <w:pPr>
              <w:ind w:left="20"/>
              <w:spacing w:after="0"/>
              <w:rPr>
                <w:sz w:val="20"/>
                <w:szCs w:val="20"/>
                <w:color w:val="auto"/>
              </w:rPr>
            </w:pPr>
            <w:r>
              <w:rPr>
                <w:rFonts w:ascii="Arial" w:cs="Arial" w:eastAsia="Arial" w:hAnsi="Arial"/>
                <w:sz w:val="17"/>
                <w:szCs w:val="17"/>
                <w:color w:val="auto"/>
              </w:rPr>
              <w:t>Conversions and maturity of the Convertibles Notes</w:t>
            </w:r>
          </w:p>
        </w:tc>
        <w:tc>
          <w:tcPr>
            <w:tcW w:w="4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(3,980)</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proceeds related to employee equity plans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r>
      <w:tr>
        <w:trPr>
          <w:trHeight w:val="219"/>
        </w:trPr>
        <w:tc>
          <w:tcPr>
            <w:tcW w:w="8080" w:type="dxa"/>
            <w:vAlign w:val="bottom"/>
          </w:tcPr>
          <w:p>
            <w:pPr>
              <w:ind w:left="20"/>
              <w:spacing w:after="0"/>
              <w:rPr>
                <w:sz w:val="20"/>
                <w:szCs w:val="20"/>
                <w:color w:val="auto"/>
              </w:rPr>
            </w:pPr>
            <w:r>
              <w:rPr>
                <w:rFonts w:ascii="Arial" w:cs="Arial" w:eastAsia="Arial" w:hAnsi="Arial"/>
                <w:sz w:val="17"/>
                <w:szCs w:val="17"/>
                <w:color w:val="auto"/>
              </w:rPr>
              <w:t>Dividends paid on common stock</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(2,682)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(3,607)</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treasury stock</w:t>
            </w: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(11,559)</w:t>
            </w:r>
          </w:p>
        </w:tc>
      </w:tr>
      <w:tr>
        <w:trPr>
          <w:trHeight w:val="21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financing costs</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r>
      <w:tr>
        <w:trPr>
          <w:trHeight w:val="213"/>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(32,893)</w:t>
            </w:r>
          </w:p>
        </w:tc>
      </w:tr>
      <w:tr>
        <w:trPr>
          <w:trHeight w:val="142"/>
        </w:trPr>
        <w:tc>
          <w:tcPr>
            <w:tcW w:w="80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at end of the period</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For the six months ended June 30, 2021, cash provided by operating activities was $41.4 million compared to $31.0 million for the six months ended June 30, 2020. The increase of $10.4 million is a reflection of the resilient cash generating ability of our portfolio of high-quality funeral home and cemetery operations. Our operating income (excluding the non-cash impact of the divestitures, disposals and impairment charges) increased $12.6 million, which was slightly offset by other unfavorable working capital changes.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Our investing activities, resulted in a net cash outflow of $7.9 million for the six months ended June 30, 2021 compared to $33.7 million for the six months ended June 30, 2020, a decrease of $25.8 million.</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Acquisition and Divestiture Activity</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the six months ended June 30, 2021, we sold three funeral homes for $3.5 million and purchased real estate for $2.9 million.</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During the six months ended June 30, 2020, we acquired a funeral home and cemetery combination business in Lafayette, California for $33.0 million in cash, of which $5.0 million was deposited in escrow in 2019 and $28.0 million was paid in 2020.</w:t>
      </w:r>
    </w:p>
    <w:p>
      <w:pPr>
        <w:sectPr>
          <w:pgSz w:w="11900" w:h="16838" w:orient="portrait"/>
          <w:cols w:equalWidth="0" w:num="1">
            <w:col w:w="11240"/>
          </w:cols>
          <w:pgMar w:left="320" w:top="10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74930</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type w:val="continuous"/>
        </w:sectPr>
      </w:pPr>
    </w:p>
    <w:bookmarkStart w:id="43" w:name="page44"/>
    <w:bookmarkEnd w:id="43"/>
    <w:p>
      <w:pPr>
        <w:ind w:left="400"/>
        <w:spacing w:after="0"/>
        <w:rPr>
          <w:sz w:val="20"/>
          <w:szCs w:val="20"/>
          <w:color w:val="auto"/>
        </w:rPr>
      </w:pPr>
      <w:r>
        <w:rPr>
          <w:rFonts w:ascii="Arial" w:cs="Arial" w:eastAsia="Arial" w:hAnsi="Arial"/>
          <w:sz w:val="17"/>
          <w:szCs w:val="17"/>
          <w:i w:val="1"/>
          <w:iCs w:val="1"/>
          <w:color w:val="auto"/>
        </w:rPr>
        <w:t>Capital Expenditures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For the six months ended June 30, 2021, capital expenditures (comprising of growth and maintenance spend) totaled $8.8 million compared to $5.8 million for the six months ended June 30, 2020, an increase of $3.0 million.</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present our growth and maintenance capital expenditures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5"/>
                <w:szCs w:val="15"/>
                <w:b w:val="1"/>
                <w:bCs w:val="1"/>
                <w:color w:val="auto"/>
              </w:rPr>
              <w:t>Six months ended June 30,</w:t>
            </w:r>
          </w:p>
        </w:tc>
        <w:tc>
          <w:tcPr>
            <w:tcW w:w="740" w:type="dxa"/>
            <w:vAlign w:val="bottom"/>
            <w:tcBorders>
              <w:bottom w:val="single" w:sz="8" w:color="auto"/>
            </w:tcBorders>
          </w:tcPr>
          <w:p>
            <w:pPr>
              <w:spacing w:after="0"/>
              <w:rPr>
                <w:sz w:val="17"/>
                <w:szCs w:val="17"/>
                <w:color w:val="auto"/>
              </w:rPr>
            </w:pPr>
          </w:p>
        </w:tc>
      </w:tr>
      <w:tr>
        <w:trPr>
          <w:trHeight w:val="200"/>
        </w:trPr>
        <w:tc>
          <w:tcPr>
            <w:tcW w:w="74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Growth</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9"/>
        </w:trPr>
        <w:tc>
          <w:tcPr>
            <w:tcW w:w="7400" w:type="dxa"/>
            <w:vAlign w:val="bottom"/>
          </w:tcPr>
          <w:p>
            <w:pPr>
              <w:ind w:left="20"/>
              <w:spacing w:after="0"/>
              <w:rPr>
                <w:sz w:val="20"/>
                <w:szCs w:val="20"/>
                <w:color w:val="auto"/>
              </w:rPr>
            </w:pPr>
            <w:r>
              <w:rPr>
                <w:rFonts w:ascii="Arial" w:cs="Arial" w:eastAsia="Arial" w:hAnsi="Arial"/>
                <w:sz w:val="17"/>
                <w:szCs w:val="17"/>
                <w:color w:val="auto"/>
              </w:rPr>
              <w:t>Cemetery development</w:t>
            </w: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2,127</w:t>
            </w:r>
          </w:p>
        </w:tc>
        <w:tc>
          <w:tcPr>
            <w:tcW w:w="20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2,665</w:t>
            </w: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Renovations at certain businesses</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r>
      <w:tr>
        <w:trPr>
          <w:trHeight w:val="219"/>
        </w:trPr>
        <w:tc>
          <w:tcPr>
            <w:tcW w:w="7400" w:type="dxa"/>
            <w:vAlign w:val="bottom"/>
          </w:tcPr>
          <w:p>
            <w:pPr>
              <w:ind w:left="20"/>
              <w:spacing w:after="0"/>
              <w:rPr>
                <w:sz w:val="20"/>
                <w:szCs w:val="20"/>
                <w:color w:val="auto"/>
              </w:rPr>
            </w:pPr>
            <w:r>
              <w:rPr>
                <w:rFonts w:ascii="Arial" w:cs="Arial" w:eastAsia="Arial" w:hAnsi="Arial"/>
                <w:sz w:val="17"/>
                <w:szCs w:val="17"/>
                <w:color w:val="auto"/>
              </w:rPr>
              <w:t>Live streaming equipment</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388</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400" w:type="dxa"/>
            <w:vAlign w:val="bottom"/>
          </w:tcPr>
          <w:p>
            <w:pPr>
              <w:ind w:left="120"/>
              <w:spacing w:after="0"/>
              <w:rPr>
                <w:sz w:val="20"/>
                <w:szCs w:val="20"/>
                <w:color w:val="auto"/>
              </w:rPr>
            </w:pPr>
            <w:r>
              <w:rPr>
                <w:rFonts w:ascii="Arial" w:cs="Arial" w:eastAsia="Arial" w:hAnsi="Arial"/>
                <w:sz w:val="17"/>
                <w:szCs w:val="17"/>
                <w:color w:val="auto"/>
              </w:rPr>
              <w:t>Total Growth</w:t>
            </w: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2,888</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4,149</w:t>
            </w:r>
          </w:p>
        </w:tc>
      </w:tr>
      <w:tr>
        <w:trPr>
          <w:trHeight w:val="20"/>
        </w:trPr>
        <w:tc>
          <w:tcPr>
            <w:tcW w:w="7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699"/>
        </w:trPr>
        <w:tc>
          <w:tcPr>
            <w:tcW w:w="74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5"/>
                <w:szCs w:val="15"/>
                <w:b w:val="1"/>
                <w:bCs w:val="1"/>
                <w:color w:val="auto"/>
              </w:rPr>
              <w:t>Six months ended June 30,</w:t>
            </w:r>
          </w:p>
        </w:tc>
        <w:tc>
          <w:tcPr>
            <w:tcW w:w="740" w:type="dxa"/>
            <w:vAlign w:val="bottom"/>
            <w:tcBorders>
              <w:bottom w:val="single" w:sz="8" w:color="auto"/>
            </w:tcBorders>
          </w:tcPr>
          <w:p>
            <w:pPr>
              <w:spacing w:after="0"/>
              <w:rPr>
                <w:sz w:val="24"/>
                <w:szCs w:val="24"/>
                <w:color w:val="auto"/>
              </w:rPr>
            </w:pPr>
          </w:p>
        </w:tc>
      </w:tr>
      <w:tr>
        <w:trPr>
          <w:trHeight w:val="200"/>
        </w:trPr>
        <w:tc>
          <w:tcPr>
            <w:tcW w:w="74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Maintenance</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9"/>
        </w:trPr>
        <w:tc>
          <w:tcPr>
            <w:tcW w:w="7400" w:type="dxa"/>
            <w:vAlign w:val="bottom"/>
          </w:tcPr>
          <w:p>
            <w:pPr>
              <w:ind w:left="20"/>
              <w:spacing w:after="0"/>
              <w:rPr>
                <w:sz w:val="20"/>
                <w:szCs w:val="20"/>
                <w:color w:val="auto"/>
              </w:rPr>
            </w:pPr>
            <w:r>
              <w:rPr>
                <w:rFonts w:ascii="Arial" w:cs="Arial" w:eastAsia="Arial" w:hAnsi="Arial"/>
                <w:sz w:val="17"/>
                <w:szCs w:val="17"/>
                <w:color w:val="auto"/>
              </w:rPr>
              <w:t>Facility repairs and improvements</w:t>
            </w: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694</w:t>
            </w:r>
          </w:p>
        </w:tc>
        <w:tc>
          <w:tcPr>
            <w:tcW w:w="20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870</w:t>
            </w: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Vehicles</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r>
      <w:tr>
        <w:trPr>
          <w:trHeight w:val="219"/>
        </w:trPr>
        <w:tc>
          <w:tcPr>
            <w:tcW w:w="7400" w:type="dxa"/>
            <w:vAlign w:val="bottom"/>
          </w:tcPr>
          <w:p>
            <w:pPr>
              <w:ind w:left="20"/>
              <w:spacing w:after="0"/>
              <w:rPr>
                <w:sz w:val="20"/>
                <w:szCs w:val="20"/>
                <w:color w:val="auto"/>
              </w:rPr>
            </w:pPr>
            <w:r>
              <w:rPr>
                <w:rFonts w:ascii="Arial" w:cs="Arial" w:eastAsia="Arial" w:hAnsi="Arial"/>
                <w:sz w:val="17"/>
                <w:szCs w:val="17"/>
                <w:color w:val="auto"/>
              </w:rPr>
              <w:t>General equipment and furniture</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1,176</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2,296</w:t>
            </w: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Paving roads and parking lots</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r>
      <w:tr>
        <w:trPr>
          <w:trHeight w:val="21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w:t>
            </w: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r>
      <w:tr>
        <w:trPr>
          <w:trHeight w:val="238"/>
        </w:trPr>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Maintenance</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2,898</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Our financing activities resulted in a net cash outflow of $32.9 million for the six months ended June 30, 2021 compared to a net cash inflow of $2.7 million for the six months ended June 30, 2020, an increase of $35.6 million.</w:t>
      </w:r>
    </w:p>
    <w:p>
      <w:pPr>
        <w:spacing w:after="0" w:line="6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During the six months ended June 30, 2021, we had net borrowings on our Credit Facility, acquisition debt and finance leases of $12.8 million, offset by the following payments: i) $19.9 million for the call premium to redeem our Original Senior Notes; ii) $11.6 million for the purchase of treasury stock; iii) $6.4 million for debt issuance and transactions costs related to our New Senior Notes and New Credit Facility; iv) $4.0 million for the conversions and maturity of our Convertible Notes; and v) $3.6 million in dividends.</w:t>
      </w:r>
    </w:p>
    <w:p>
      <w:pPr>
        <w:spacing w:after="0" w:line="76"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During the six months ended June 30, 2020, we had net borrowings on our Credit Facility, acquisition debt and finance leases of $5.2 million and paid $2.7 million in dividends.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Repurchase</w:t>
      </w:r>
    </w:p>
    <w:p>
      <w:pPr>
        <w:spacing w:after="0" w:line="114" w:lineRule="exact"/>
        <w:rPr>
          <w:sz w:val="20"/>
          <w:szCs w:val="20"/>
          <w:color w:val="auto"/>
        </w:rPr>
      </w:pPr>
    </w:p>
    <w:p>
      <w:pPr>
        <w:jc w:val="both"/>
        <w:ind w:firstLine="387"/>
        <w:spacing w:after="0" w:line="278" w:lineRule="auto"/>
        <w:rPr>
          <w:sz w:val="20"/>
          <w:szCs w:val="20"/>
          <w:color w:val="auto"/>
        </w:rPr>
      </w:pPr>
      <w:r>
        <w:rPr>
          <w:rFonts w:ascii="Arial" w:cs="Arial" w:eastAsia="Arial" w:hAnsi="Arial"/>
          <w:sz w:val="16"/>
          <w:szCs w:val="16"/>
          <w:color w:val="auto"/>
        </w:rPr>
        <w:t>On May 18, 2021, our Board approved an additional $25.0 million under our share repurchase program in accordance with Rule 10b-18 of the Exchange Act. During the three and six months ended June 30, 2021, we repurchased 324,700 shares of common stock (of which 24,700 settled in July 2021) for a total cost of $12.3 million (of which $742,000 settled in July 2021) at an average cost of $37.88 per share pursuant to our share repurchase program. 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shares. At June 30, 2021, we had approximately $38.3 million available for repurchase under our share repurchase program.</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i w:val="1"/>
          <w:iCs w:val="1"/>
          <w:color w:val="auto"/>
        </w:rPr>
        <w:t>Dividends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Board declared the following dividends payable on the dates below (in thousands, except per share amounts):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2020</w:t>
            </w:r>
          </w:p>
        </w:tc>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c>
          <w:tcPr>
            <w:tcW w:w="1280" w:type="dxa"/>
            <w:vAlign w:val="bottom"/>
          </w:tcPr>
          <w:p>
            <w:pPr>
              <w:jc w:val="right"/>
              <w:ind w:right="400"/>
              <w:spacing w:after="0"/>
              <w:rPr>
                <w:sz w:val="20"/>
                <w:szCs w:val="20"/>
                <w:color w:val="auto"/>
              </w:rPr>
            </w:pPr>
            <w:r>
              <w:rPr>
                <w:rFonts w:ascii="Arial" w:cs="Arial" w:eastAsia="Arial" w:hAnsi="Arial"/>
                <w:sz w:val="14"/>
                <w:szCs w:val="14"/>
                <w:b w:val="1"/>
                <w:bCs w:val="1"/>
                <w:color w:val="auto"/>
                <w:w w:val="96"/>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spacing w:after="0" w:line="211" w:lineRule="exact"/>
              <w:rPr>
                <w:sz w:val="20"/>
                <w:szCs w:val="20"/>
                <w:color w:val="auto"/>
              </w:rPr>
            </w:pPr>
            <w:r>
              <w:rPr>
                <w:rFonts w:ascii="Arial" w:cs="Arial" w:eastAsia="Arial" w:hAnsi="Arial"/>
                <w:sz w:val="17"/>
                <w:szCs w:val="17"/>
                <w:color w:val="auto"/>
              </w:rPr>
              <w:t>March 1</w:t>
            </w:r>
            <w:r>
              <w:rPr>
                <w:rFonts w:ascii="Arial" w:cs="Arial" w:eastAsia="Arial" w:hAnsi="Arial"/>
                <w:sz w:val="22"/>
                <w:szCs w:val="22"/>
                <w:color w:val="auto"/>
                <w:vertAlign w:val="superscript"/>
              </w:rPr>
              <w:t>st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r>
      <w:tr>
        <w:trPr>
          <w:trHeight w:val="291"/>
        </w:trPr>
        <w:tc>
          <w:tcPr>
            <w:tcW w:w="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June 1</w:t>
            </w:r>
            <w:r>
              <w:rPr>
                <w:rFonts w:ascii="Arial" w:cs="Arial" w:eastAsia="Arial" w:hAnsi="Arial"/>
                <w:sz w:val="22"/>
                <w:szCs w:val="22"/>
                <w:color w:val="auto"/>
                <w:vertAlign w:val="superscript"/>
              </w:rPr>
              <w:t>st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0.075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1,343</w:t>
            </w:r>
          </w:p>
        </w:tc>
      </w:tr>
      <w:tr>
        <w:trPr>
          <w:trHeight w:val="187"/>
        </w:trPr>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2021</w:t>
            </w:r>
          </w:p>
        </w:tc>
        <w:tc>
          <w:tcPr>
            <w:tcW w:w="7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6"/>
                <w:szCs w:val="16"/>
                <w:color w:val="auto"/>
              </w:rPr>
            </w:pPr>
          </w:p>
        </w:tc>
        <w:tc>
          <w:tcPr>
            <w:tcW w:w="1280" w:type="dxa"/>
            <w:vAlign w:val="bottom"/>
          </w:tcPr>
          <w:p>
            <w:pPr>
              <w:jc w:val="right"/>
              <w:ind w:right="400"/>
              <w:spacing w:after="0"/>
              <w:rPr>
                <w:sz w:val="20"/>
                <w:szCs w:val="20"/>
                <w:color w:val="auto"/>
              </w:rPr>
            </w:pPr>
            <w:r>
              <w:rPr>
                <w:rFonts w:ascii="Arial" w:cs="Arial" w:eastAsia="Arial" w:hAnsi="Arial"/>
                <w:sz w:val="14"/>
                <w:szCs w:val="14"/>
                <w:b w:val="1"/>
                <w:bCs w:val="1"/>
                <w:color w:val="auto"/>
                <w:w w:val="96"/>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spacing w:after="0" w:line="211" w:lineRule="exact"/>
              <w:rPr>
                <w:sz w:val="20"/>
                <w:szCs w:val="20"/>
                <w:color w:val="auto"/>
              </w:rPr>
            </w:pPr>
            <w:r>
              <w:rPr>
                <w:rFonts w:ascii="Arial" w:cs="Arial" w:eastAsia="Arial" w:hAnsi="Arial"/>
                <w:sz w:val="17"/>
                <w:szCs w:val="17"/>
                <w:color w:val="auto"/>
              </w:rPr>
              <w:t>March 1</w:t>
            </w:r>
            <w:r>
              <w:rPr>
                <w:rFonts w:ascii="Arial" w:cs="Arial" w:eastAsia="Arial" w:hAnsi="Arial"/>
                <w:sz w:val="22"/>
                <w:szCs w:val="22"/>
                <w:color w:val="auto"/>
                <w:vertAlign w:val="superscript"/>
              </w:rPr>
              <w:t>st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w:t>
            </w:r>
          </w:p>
        </w:tc>
      </w:tr>
      <w:tr>
        <w:trPr>
          <w:trHeight w:val="291"/>
        </w:trPr>
        <w:tc>
          <w:tcPr>
            <w:tcW w:w="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June 1</w:t>
            </w:r>
            <w:r>
              <w:rPr>
                <w:rFonts w:ascii="Arial" w:cs="Arial" w:eastAsia="Arial" w:hAnsi="Arial"/>
                <w:sz w:val="22"/>
                <w:szCs w:val="22"/>
                <w:color w:val="auto"/>
                <w:vertAlign w:val="superscript"/>
              </w:rPr>
              <w:t>st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0.100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1,808</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Facility, Lease Obligations and Acquisition Debt</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outstanding principal of our Credit Facility, lease obligations and acquisition debt at June 30, 2021 is as follows (in thousands):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91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2021</w:t>
            </w:r>
          </w:p>
        </w:tc>
      </w:tr>
      <w:tr>
        <w:trPr>
          <w:trHeight w:val="215"/>
        </w:trPr>
        <w:tc>
          <w:tcPr>
            <w:tcW w:w="9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Credit Facility</w:t>
            </w: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60,500</w:t>
            </w:r>
          </w:p>
        </w:tc>
      </w:tr>
      <w:tr>
        <w:trPr>
          <w:trHeight w:val="219"/>
        </w:trPr>
        <w:tc>
          <w:tcPr>
            <w:tcW w:w="9180" w:type="dxa"/>
            <w:vAlign w:val="bottom"/>
          </w:tcPr>
          <w:p>
            <w:pPr>
              <w:ind w:left="20"/>
              <w:spacing w:after="0"/>
              <w:rPr>
                <w:sz w:val="20"/>
                <w:szCs w:val="20"/>
                <w:color w:val="auto"/>
              </w:rPr>
            </w:pPr>
            <w:r>
              <w:rPr>
                <w:rFonts w:ascii="Arial" w:cs="Arial" w:eastAsia="Arial" w:hAnsi="Arial"/>
                <w:sz w:val="17"/>
                <w:szCs w:val="17"/>
                <w:color w:val="auto"/>
              </w:rPr>
              <w:t>Finance leases</w:t>
            </w:r>
          </w:p>
        </w:tc>
        <w:tc>
          <w:tcPr>
            <w:tcW w:w="6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5,696</w:t>
            </w:r>
          </w:p>
        </w:tc>
      </w:tr>
      <w:tr>
        <w:trPr>
          <w:trHeight w:val="220"/>
        </w:trPr>
        <w:tc>
          <w:tcPr>
            <w:tcW w:w="9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6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21,438</w:t>
            </w:r>
          </w:p>
        </w:tc>
      </w:tr>
      <w:tr>
        <w:trPr>
          <w:trHeight w:val="21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Acquisition debt</w:t>
            </w:r>
          </w:p>
        </w:tc>
        <w:tc>
          <w:tcPr>
            <w:tcW w:w="6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5,215</w:t>
            </w:r>
          </w:p>
        </w:tc>
      </w:tr>
      <w:tr>
        <w:trPr>
          <w:trHeight w:val="237"/>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92,849</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On May 13, 2021, in connection with the issuance of the New Senior Notes, we entered into the New Credit Facility with the New Credit Facility Subsidiary Guarantors (as defined below), the financial institutions party thereto, as lenders, and Bank of America, N.A., as administrative agent. We incurred $0.8 million in transactions costs related to the New Credit Facility, which were capitalized and will be amortized over the remaining term of the related debt using the straight-line method.</w:t>
      </w:r>
    </w:p>
    <w:p>
      <w:pPr>
        <w:spacing w:after="0" w:line="76"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 xml:space="preserve">On May 13, 2021, we used approximately $21.4 million of the availability under the New Credit Facility to repay the outstanding balances under our prior $190.0 million senior secured revolving credit facility (the “Former Credit Facility”) and all commitments thereunder were terminated. In connection with the repayment in full of all amounts due thereunder, the Former Credit Facility was retired and $2.1 million of letters of credit previously issued under the Former Credit Facility were deemed issued under (and remain outstanding under) the New Credit Facility. In connection with the termination of the Former Credit Facility, for the three and six months ended June 30, 2021, we recognized a loss on the write-off of $0.1 million in unamortized debt issuance costs, which was recorded in </w:t>
      </w:r>
      <w:r>
        <w:rPr>
          <w:rFonts w:ascii="Arial" w:cs="Arial" w:eastAsia="Arial" w:hAnsi="Arial"/>
          <w:sz w:val="17"/>
          <w:szCs w:val="17"/>
          <w:i w:val="1"/>
          <w:iCs w:val="1"/>
          <w:color w:val="auto"/>
        </w:rPr>
        <w:t>Net loss on extinguishment of debt</w:t>
      </w:r>
      <w:r>
        <w:rPr>
          <w:rFonts w:ascii="Arial" w:cs="Arial" w:eastAsia="Arial" w:hAnsi="Arial"/>
          <w:sz w:val="17"/>
          <w:szCs w:val="17"/>
          <w:color w:val="auto"/>
        </w:rPr>
        <w:t>.</w:t>
      </w:r>
    </w:p>
    <w:p>
      <w:pPr>
        <w:spacing w:after="0" w:line="81"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Immediately following the issuance of the New Senior Notes, we had outstanding borrowings under the New Credit Facility of $58.8 million and $89.1 million available for additional borrowings after giving effect to the $2.1 million of outstanding letters of credit.</w:t>
      </w:r>
    </w:p>
    <w:p>
      <w:pPr>
        <w:spacing w:after="0" w:line="60"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Our obligations under the New Credit Facility are unconditionally guaranteed on a joint and several basis by the same subsidiaries which guarantee the New Senior Notes and certain of our subsequently acquired or organized domestic subsidiaries (collectively, the “Subsidiary Guarantors”). The New Credit Facility allows for future increases in the facility size in the form of increased revolving commitments or new incremental term loans by an additional amount of up to $75.0 million in the aggregate. The final maturity of the New Credit Facility will occur on May 13, 2026.</w:t>
      </w:r>
    </w:p>
    <w:p>
      <w:pPr>
        <w:spacing w:after="0" w:line="6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New Credit Facility is secured by a first-priority perfected security interest in and lien on substantially all of the Company’s personal property assets and those of the Subsidiary Guarantors. In addition, the New Credit Facility includes provisions which require the Company and the Subsidiary Guarantors, upon the occurrence of an event of default or in the event the Company’s actual Total Leverage Ratio is not at least 0.25 less than the required Total Leverage Ratio covenant level under the New Credit Facility, to grant additional liens on real property assets accounting for no less than 50% of the Company’s and the Subsidiary Guarantors’ funeral operations if requested by the administrative agent.</w:t>
      </w:r>
    </w:p>
    <w:p>
      <w:pPr>
        <w:spacing w:after="0" w:line="7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New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In addition, the New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45" w:name="page46"/>
    <w:bookmarkEnd w:id="45"/>
    <w:p>
      <w:pPr>
        <w:jc w:val="both"/>
        <w:spacing w:after="0" w:line="318" w:lineRule="auto"/>
        <w:rPr>
          <w:sz w:val="20"/>
          <w:szCs w:val="20"/>
          <w:color w:val="auto"/>
        </w:rPr>
      </w:pPr>
      <w:r>
        <w:rPr>
          <w:rFonts w:ascii="Arial" w:cs="Arial" w:eastAsia="Arial" w:hAnsi="Arial"/>
          <w:sz w:val="15"/>
          <w:szCs w:val="15"/>
          <w:color w:val="auto"/>
        </w:rPr>
        <w:t>financial maintenance covenants. At June 30, 2021, we were subject to the following financial covenants under our New Credit Facility: (A) a Total Leverage Ratio not to exceed 5.00 to 1.00 and (B) a Fixed Charge Coverage Ratio (as defined in the New Credit Facility) of not less than 1.20 to 1.00 as of the end of any period of four consecutive fiscal quarters. These financial maintenance covenants are calculated for the Company and its subsidiaries on a consolidated basis.</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were in compliance with all of the covenants contained in our New Credit Facility as of June 30, 2021.</w:t>
      </w:r>
    </w:p>
    <w:p>
      <w:pPr>
        <w:spacing w:after="0" w:line="114"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At June 30, 2021, we had outstanding borrowings under the New Credit Facility of $60.5 million. We also had one letter of credit for $2.1 million outstanding under the New Credit Facility, which will expire on November 25, 2021. This letter of credit is expected to automatically renew annually and secures our obligations under our various self-insured policies. At June 30, 2021, we had $87.4 million of availability under the New Credit Facility.</w:t>
      </w:r>
    </w:p>
    <w:p>
      <w:pPr>
        <w:spacing w:after="0" w:line="5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Outstanding borrowings under our New Credit Facility bear interest at either a prime rate or a LIBOR rate, plus an applicable margin based upon our leverage ratio. At June 30, 2021, the prime rate margin was equivalent to 0.75% and the LIBOR rate margin was 1.75%. The weighted average interest rate on our New Credit Facility was 2.5% and 2.8% and for the three and six months ended June 30, 2021, respectively. The weighted average interest rate on our Former Credit Facility was 3.6% and 3.9% for the three and six months ended June 30, 2020, respectively.</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interest expense and amortization of debt issuance costs related to our Credit Facility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5"/>
                <w:szCs w:val="15"/>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5"/>
                <w:szCs w:val="15"/>
                <w:b w:val="1"/>
                <w:bCs w:val="1"/>
                <w:color w:val="auto"/>
              </w:rPr>
              <w:t>Six months ended June 30,</w:t>
            </w:r>
          </w:p>
        </w:tc>
        <w:tc>
          <w:tcPr>
            <w:tcW w:w="500" w:type="dxa"/>
            <w:vAlign w:val="bottom"/>
            <w:tcBorders>
              <w:bottom w:val="single" w:sz="8" w:color="auto"/>
            </w:tcBorders>
          </w:tcPr>
          <w:p>
            <w:pPr>
              <w:spacing w:after="0"/>
              <w:rPr>
                <w:sz w:val="17"/>
                <w:szCs w:val="17"/>
                <w:color w:val="auto"/>
              </w:rPr>
            </w:pPr>
          </w:p>
        </w:tc>
      </w:tr>
      <w:tr>
        <w:trPr>
          <w:trHeight w:val="200"/>
        </w:trPr>
        <w:tc>
          <w:tcPr>
            <w:tcW w:w="47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w w:val="89"/>
              </w:rPr>
              <w:t>2021</w:t>
            </w: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Credit Facility interest expense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817</w:t>
            </w:r>
          </w:p>
        </w:tc>
      </w:tr>
      <w:tr>
        <w:trPr>
          <w:trHeight w:val="218"/>
        </w:trPr>
        <w:tc>
          <w:tcPr>
            <w:tcW w:w="4760" w:type="dxa"/>
            <w:vAlign w:val="bottom"/>
          </w:tcPr>
          <w:p>
            <w:pPr>
              <w:ind w:left="20"/>
              <w:spacing w:after="0"/>
              <w:rPr>
                <w:sz w:val="20"/>
                <w:szCs w:val="20"/>
                <w:color w:val="auto"/>
              </w:rPr>
            </w:pPr>
            <w:r>
              <w:rPr>
                <w:rFonts w:ascii="Arial" w:cs="Arial" w:eastAsia="Arial" w:hAnsi="Arial"/>
                <w:sz w:val="17"/>
                <w:szCs w:val="17"/>
                <w:color w:val="auto"/>
              </w:rPr>
              <w:t>Credit Facility amortization of debt issuance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118</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245</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ind w:left="180"/>
              <w:spacing w:after="0"/>
              <w:rPr>
                <w:sz w:val="20"/>
                <w:szCs w:val="20"/>
                <w:color w:val="auto"/>
              </w:rPr>
            </w:pPr>
            <w:r>
              <w:rPr>
                <w:rFonts w:ascii="Arial" w:cs="Arial" w:eastAsia="Arial" w:hAnsi="Arial"/>
                <w:sz w:val="17"/>
                <w:szCs w:val="17"/>
                <w:color w:val="auto"/>
              </w:rPr>
              <w:t>217</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14"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Our lease obligations consist of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w:t>
      </w:r>
    </w:p>
    <w:p>
      <w:pPr>
        <w:spacing w:after="0" w:line="54"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7"/>
          <w:szCs w:val="17"/>
          <w:color w:val="auto"/>
        </w:rPr>
        <w:t>The lease cost related to our operating leases and short-term leases and depreciation expense and interest expense related to our finance leases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5"/>
                <w:szCs w:val="15"/>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5"/>
                <w:szCs w:val="15"/>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200"/>
        </w:trPr>
        <w:tc>
          <w:tcPr>
            <w:tcW w:w="45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1,924</w:t>
            </w: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Short-term lease cost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194"/>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9"/>
        </w:trPr>
        <w:tc>
          <w:tcPr>
            <w:tcW w:w="4580" w:type="dxa"/>
            <w:vAlign w:val="bottom"/>
          </w:tcPr>
          <w:p>
            <w:pPr>
              <w:ind w:left="220"/>
              <w:spacing w:after="0"/>
              <w:rPr>
                <w:sz w:val="20"/>
                <w:szCs w:val="20"/>
                <w:color w:val="auto"/>
              </w:rPr>
            </w:pPr>
            <w:r>
              <w:rPr>
                <w:rFonts w:ascii="Arial" w:cs="Arial" w:eastAsia="Arial" w:hAnsi="Arial"/>
                <w:sz w:val="17"/>
                <w:szCs w:val="17"/>
                <w:color w:val="auto"/>
              </w:rPr>
              <w:t>Depreciation of lease right-of-use assets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109</w:t>
            </w:r>
          </w:p>
        </w:tc>
        <w:tc>
          <w:tcPr>
            <w:tcW w:w="220" w:type="dxa"/>
            <w:vAlign w:val="bottom"/>
          </w:tcPr>
          <w:p>
            <w:pPr>
              <w:spacing w:after="0"/>
              <w:rPr>
                <w:sz w:val="19"/>
                <w:szCs w:val="19"/>
                <w:color w:val="auto"/>
              </w:rPr>
            </w:pPr>
          </w:p>
        </w:tc>
        <w:tc>
          <w:tcPr>
            <w:tcW w:w="102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109</w:t>
            </w:r>
          </w:p>
        </w:tc>
        <w:tc>
          <w:tcPr>
            <w:tcW w:w="24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218</w:t>
            </w:r>
          </w:p>
        </w:tc>
        <w:tc>
          <w:tcPr>
            <w:tcW w:w="220" w:type="dxa"/>
            <w:vAlign w:val="bottom"/>
          </w:tcPr>
          <w:p>
            <w:pPr>
              <w:spacing w:after="0"/>
              <w:rPr>
                <w:sz w:val="19"/>
                <w:szCs w:val="19"/>
                <w:color w:val="auto"/>
              </w:rPr>
            </w:pPr>
          </w:p>
        </w:tc>
        <w:tc>
          <w:tcPr>
            <w:tcW w:w="920" w:type="dxa"/>
            <w:vAlign w:val="bottom"/>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217</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on lease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Debt</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imputed interest expense related to our acquisition debt is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ind w:left="260"/>
              <w:spacing w:after="0"/>
              <w:rPr>
                <w:sz w:val="20"/>
                <w:szCs w:val="20"/>
                <w:color w:val="auto"/>
              </w:rPr>
            </w:pPr>
            <w:r>
              <w:rPr>
                <w:rFonts w:ascii="Arial" w:cs="Arial" w:eastAsia="Arial" w:hAnsi="Arial"/>
                <w:sz w:val="15"/>
                <w:szCs w:val="15"/>
                <w:b w:val="1"/>
                <w:bCs w:val="1"/>
                <w:color w:val="auto"/>
                <w:w w:val="98"/>
              </w:rPr>
              <w:t>Three months ended June 30,</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ind w:left="320"/>
              <w:spacing w:after="0"/>
              <w:rPr>
                <w:sz w:val="20"/>
                <w:szCs w:val="20"/>
                <w:color w:val="auto"/>
              </w:rPr>
            </w:pPr>
            <w:r>
              <w:rPr>
                <w:rFonts w:ascii="Arial" w:cs="Arial" w:eastAsia="Arial" w:hAnsi="Arial"/>
                <w:sz w:val="15"/>
                <w:szCs w:val="15"/>
                <w:b w:val="1"/>
                <w:bCs w:val="1"/>
                <w:color w:val="auto"/>
              </w:rPr>
              <w:t>Six months ended June 30,</w:t>
            </w:r>
          </w:p>
        </w:tc>
        <w:tc>
          <w:tcPr>
            <w:tcW w:w="520" w:type="dxa"/>
            <w:vAlign w:val="bottom"/>
            <w:tcBorders>
              <w:bottom w:val="single" w:sz="8" w:color="auto"/>
            </w:tcBorders>
          </w:tcPr>
          <w:p>
            <w:pPr>
              <w:spacing w:after="0"/>
              <w:rPr>
                <w:sz w:val="17"/>
                <w:szCs w:val="17"/>
                <w:color w:val="auto"/>
              </w:rPr>
            </w:pPr>
          </w:p>
        </w:tc>
      </w:tr>
      <w:tr>
        <w:trPr>
          <w:trHeight w:val="200"/>
        </w:trPr>
        <w:tc>
          <w:tcPr>
            <w:tcW w:w="45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5"/>
                <w:szCs w:val="15"/>
                <w:b w:val="1"/>
                <w:bCs w:val="1"/>
                <w:color w:val="auto"/>
                <w:w w:val="95"/>
              </w:rPr>
              <w:t>2020</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740"/>
              <w:spacing w:after="0"/>
              <w:rPr>
                <w:sz w:val="20"/>
                <w:szCs w:val="20"/>
                <w:color w:val="auto"/>
              </w:rPr>
            </w:pPr>
            <w:r>
              <w:rPr>
                <w:rFonts w:ascii="Arial" w:cs="Arial" w:eastAsia="Arial" w:hAnsi="Arial"/>
                <w:sz w:val="15"/>
                <w:szCs w:val="15"/>
                <w:b w:val="1"/>
                <w:bCs w:val="1"/>
                <w:color w:val="auto"/>
                <w:w w:val="95"/>
              </w:rPr>
              <w:t>2020</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w w:val="89"/>
              </w:rPr>
              <w:t>2021</w:t>
            </w: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debt imputed interest expense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ind w:left="780"/>
              <w:spacing w:after="0"/>
              <w:rPr>
                <w:sz w:val="20"/>
                <w:szCs w:val="20"/>
                <w:color w:val="auto"/>
              </w:rPr>
            </w:pPr>
            <w:r>
              <w:rPr>
                <w:rFonts w:ascii="Arial" w:cs="Arial" w:eastAsia="Arial" w:hAnsi="Arial"/>
                <w:sz w:val="17"/>
                <w:szCs w:val="17"/>
                <w:color w:val="auto"/>
              </w:rPr>
              <w:t>124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251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190</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Subordinated Notes due 2021</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During the six months ended June 30, 2021, we converted approximately $2.4 million in aggregate principal amount of our Convertible Notes held by certain holders for approximately $3.8 million in cash. The Convertible Notes matured on March 15, 2021, at which time all Convertible Notes outstanding, approximately $0.2 million in aggregate principal amount, were paid in full in cash at par value. Therefore, no Convertible Notes remain outstanding at June 30, 2021.</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6" w:name="page47"/>
    <w:bookmarkEnd w:id="46"/>
    <w:p>
      <w:pPr>
        <w:ind w:left="400"/>
        <w:spacing w:after="0"/>
        <w:rPr>
          <w:sz w:val="20"/>
          <w:szCs w:val="20"/>
          <w:color w:val="auto"/>
        </w:rPr>
      </w:pPr>
      <w:r>
        <w:rPr>
          <w:rFonts w:ascii="Arial" w:cs="Arial" w:eastAsia="Arial" w:hAnsi="Arial"/>
          <w:sz w:val="17"/>
          <w:szCs w:val="17"/>
          <w:color w:val="auto"/>
        </w:rPr>
        <w:t>The interest expense and accretion of debt discount and debt issuance costs related to our Convertible Notes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5"/>
                <w:szCs w:val="15"/>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5"/>
                <w:szCs w:val="15"/>
                <w:b w:val="1"/>
                <w:bCs w:val="1"/>
                <w:color w:val="auto"/>
              </w:rPr>
              <w:t>Six months ended June 30,</w:t>
            </w:r>
          </w:p>
        </w:tc>
        <w:tc>
          <w:tcPr>
            <w:tcW w:w="520" w:type="dxa"/>
            <w:vAlign w:val="bottom"/>
            <w:tcBorders>
              <w:bottom w:val="single" w:sz="8" w:color="auto"/>
            </w:tcBorders>
          </w:tcPr>
          <w:p>
            <w:pPr>
              <w:spacing w:after="0"/>
              <w:rPr>
                <w:sz w:val="17"/>
                <w:szCs w:val="17"/>
                <w:color w:val="auto"/>
              </w:rPr>
            </w:pPr>
          </w:p>
        </w:tc>
      </w:tr>
      <w:tr>
        <w:trPr>
          <w:trHeight w:val="200"/>
        </w:trPr>
        <w:tc>
          <w:tcPr>
            <w:tcW w:w="45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Notes interest expense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Convertible Notes accretion of debt discount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Notes amortization of debt issuance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181"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The effective interest rate on the unamortized debt discount for both the three months ended June 30, 2020 and 2021 was 11.4%. The effective interest rate on the debt issuance costs for the three months ended June 30, 2020 and 2021 was 3.2% and 3.1%,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May 13, 2021, we completed the issuance of the New Senior Notes and related guarantees by the Subsidiary Guarantors in a private offering under Rule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144A and Regulation S of the Securities Act of 1933, as amended (the “Securities Act”).</w:t>
      </w:r>
    </w:p>
    <w:p>
      <w:pPr>
        <w:spacing w:after="0" w:line="10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used the proceeds of $395.5 million from the offering of the New Senior Notes, which are net of a 1.125% debt discount of $4.5 million, together with cash on hand and borrowings under the New Credit Facility, to redeem all of the Original Senior Notes. We paid a premium of $19.9 million to redeem the Original Senior Notes on June 1, 2021 at a redemption price of 104.97% of the principal amount thereof, plus accrued and unpaid interest of $13.25 million. We incurred $1.3 million in transaction costs related to the New Senior Notes.</w:t>
      </w:r>
    </w:p>
    <w:p>
      <w:pPr>
        <w:spacing w:after="0" w:line="76"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For the three and six months ended June 30, 2021, we recognized a net loss of $23.7 million related to the redemption of the Original Senior Notes, which was recorded in </w:t>
      </w:r>
      <w:r>
        <w:rPr>
          <w:rFonts w:ascii="Arial" w:cs="Arial" w:eastAsia="Arial" w:hAnsi="Arial"/>
          <w:sz w:val="16"/>
          <w:szCs w:val="16"/>
          <w:i w:val="1"/>
          <w:iCs w:val="1"/>
          <w:color w:val="auto"/>
        </w:rPr>
        <w:t>Net loss on extinguishment of debt</w:t>
      </w:r>
      <w:r>
        <w:rPr>
          <w:rFonts w:ascii="Arial" w:cs="Arial" w:eastAsia="Arial" w:hAnsi="Arial"/>
          <w:sz w:val="16"/>
          <w:szCs w:val="16"/>
          <w:color w:val="auto"/>
        </w:rPr>
        <w:t>. The loss is composed of the $19.9 million call premium, the write-off of $3.4 million in unamortized debt discount, the write-off of $1.8 million in unamortized debt issuance costs, offset by the write-off of $1.4 million in unamortized debt premium.</w:t>
      </w:r>
    </w:p>
    <w:p>
      <w:pPr>
        <w:spacing w:after="0" w:line="5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The New Senior Notes were issued under an indenture, dated as of May 13, 2021 (the “Indenture”), among the Company, the Subsidiary Guarantors and Wilmington Trust, National Association, as trustee (“Collateral Trustee”).</w:t>
      </w:r>
    </w:p>
    <w:p>
      <w:pPr>
        <w:spacing w:after="0" w:line="60"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The New Senior Notes bear interest at 4.25% per year. Interest on the New Senior Notes is payable semi-annually in arrears on May 15 and November 15 of each year, beginning on November 15, 2021. The New Senior Notes mature on May 15, 2029, unless earlier redeemed or purchased. The New Senior Notes are unsecured, senior obligations and are fully and unconditionally guaranteed on a senior unsecured basis, jointly and severally by each of the Subsidiary Guarantors.</w:t>
      </w:r>
    </w:p>
    <w:p>
      <w:pPr>
        <w:spacing w:after="0" w:line="37"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7"/>
          <w:szCs w:val="17"/>
          <w:color w:val="auto"/>
        </w:rPr>
        <w:t>We may redeem the New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New Senior Notes at the redemption prices described in the Indenture, plus accrued and unpaid interest, if any, to (but excluding) the date of redemption. In addition, before May 15, 2024, we may redeem up to 40% of the aggregate principal amount of the New Senior Notes outstanding using an amount of cash equal to the net proceeds of certain equity offerings, at a price of 104.25% of the principal amount of the New Senior Notes, plus accrued and unpaid interest, if any, to (but excluding) the date of redemption; provided that (1) at least 50% of the aggregate principal amount of the New Senior Notes (including any additional New Senior Notes) outstanding under the Indenture remain outstanding immediately after the occurrence of such redemption (unless all New Senior Notes are redeemed concurrently), and (2) each such redemption must occur within 180 days of the date of the consummation of any such equity offering.</w:t>
      </w:r>
    </w:p>
    <w:p>
      <w:pPr>
        <w:spacing w:after="0" w:line="85"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If a “change of control” occurs, holders of the New Senior Notes will have the option to require us to purchase for cash all or a portion of their New Senior Notes at a price equal to 101% of the principal amount of the New Senior Notes, plus accrued and unpaid interest. In addition, if we make certain asset sales and do not reinvest the proceeds thereof or use such proceeds to repay certain debt, we will be required to use the proceeds of such asset sales to make an offer to purchase the New Senior Notes at a price equal to 100% of the principal amount of the New Senior Notes, plus accrued and unpaid interest.</w:t>
      </w:r>
    </w:p>
    <w:p>
      <w:pPr>
        <w:spacing w:after="0" w:line="6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7" w:name="page48"/>
    <w:bookmarkEnd w:id="47"/>
    <w:p>
      <w:pPr>
        <w:jc w:val="both"/>
        <w:ind w:firstLine="387"/>
        <w:spacing w:after="0" w:line="266" w:lineRule="auto"/>
        <w:rPr>
          <w:sz w:val="20"/>
          <w:szCs w:val="20"/>
          <w:color w:val="auto"/>
        </w:rPr>
      </w:pPr>
      <w:r>
        <w:rPr>
          <w:rFonts w:ascii="Arial" w:cs="Arial" w:eastAsia="Arial" w:hAnsi="Arial"/>
          <w:sz w:val="17"/>
          <w:szCs w:val="17"/>
          <w:color w:val="auto"/>
        </w:rPr>
        <w:t>The debt discount and the debt issuance costs are being amortized using the effective interest method over the remaining term of approximately 95 months of the New Senior Notes. The effective interest rate on the unamortized debt discount and the unamortized debt issuance costs for the New Senior Notes for both three and six months ended June 30, 2021 was 4.42% and 4.30%, respectively.</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interest expense and amortization of debt discount, debt premium and debt issuance costs related to our Senior Notes are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r>
      <w:tr>
        <w:trPr>
          <w:trHeight w:val="200"/>
        </w:trPr>
        <w:tc>
          <w:tcPr>
            <w:tcW w:w="45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interest expense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13,267</w:t>
            </w: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Senior Notes amortization of debt discount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131</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260</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266</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amortization of debt premium</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Senior Notes amortization of debt issuance costs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136</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127</w:t>
            </w:r>
          </w:p>
        </w:tc>
      </w:tr>
    </w:tbl>
    <w:p>
      <w:pPr>
        <w:spacing w:after="0" w:line="18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 June 30, 2021, the fair value of the New Senior Notes, which are Level 2 measurements, was $399.5 million.</w:t>
      </w:r>
    </w:p>
    <w:p>
      <w:pPr>
        <w:spacing w:after="0" w:line="114"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The effective interest rate on the unamortized debt issuance costs for the Original Senior Notes, issued in May 2018, for both three and six months ended June 30, 2021 was 6.87% and 6.69%, respectively. The effective interest rate on the unamortized debt premium and the unamortized debt issuance costs for the additional Original Senior Notes, issued in December 2019, for both three and six months ended June 30, 2021 was 6.20% and 6.88%,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HIGHLIGHTS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Below are our financial highlights (in thousands except for volumes and averages):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680" w:type="dxa"/>
            <w:vAlign w:val="bottom"/>
            <w:tcBorders>
              <w:bottom w:val="single" w:sz="8" w:color="auto"/>
            </w:tcBorders>
          </w:tcPr>
          <w:p>
            <w:pPr>
              <w:spacing w:after="0"/>
              <w:rPr>
                <w:sz w:val="17"/>
                <w:szCs w:val="17"/>
                <w:color w:val="auto"/>
              </w:rPr>
            </w:pPr>
          </w:p>
        </w:tc>
      </w:tr>
      <w:tr>
        <w:trPr>
          <w:trHeight w:val="200"/>
        </w:trPr>
        <w:tc>
          <w:tcPr>
            <w:tcW w:w="45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77,477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88,277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154,967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184,914</w:t>
            </w: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Funeral contracts</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11,737</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10,842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23,230</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24,138</w:t>
            </w:r>
          </w:p>
        </w:tc>
      </w:tr>
      <w:tr>
        <w:trPr>
          <w:trHeight w:val="22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revenue per funeral contract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4,908</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5,069</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5,325</w:t>
            </w: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Preneed interment rights (property) sold</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2,338</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3,276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4,206</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5,934</w:t>
            </w:r>
          </w:p>
        </w:tc>
      </w:tr>
      <w:tr>
        <w:trPr>
          <w:trHeight w:val="22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price per preneed interment right sold</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3,988</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4,592</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3,895</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4,573</w:t>
            </w: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25,160</w:t>
            </w:r>
          </w:p>
        </w:tc>
        <w:tc>
          <w:tcPr>
            <w:tcW w:w="220" w:type="dxa"/>
            <w:vAlign w:val="bottom"/>
          </w:tcPr>
          <w:p>
            <w:pPr>
              <w:spacing w:after="0"/>
              <w:rPr>
                <w:sz w:val="19"/>
                <w:szCs w:val="19"/>
                <w:color w:val="auto"/>
              </w:rPr>
            </w:pPr>
          </w:p>
        </w:tc>
        <w:tc>
          <w:tcPr>
            <w:tcW w:w="920" w:type="dxa"/>
            <w:vAlign w:val="bottom"/>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28,927</w:t>
            </w:r>
          </w:p>
        </w:tc>
        <w:tc>
          <w:tcPr>
            <w:tcW w:w="24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48,331</w:t>
            </w:r>
          </w:p>
        </w:tc>
        <w:tc>
          <w:tcPr>
            <w:tcW w:w="220" w:type="dxa"/>
            <w:vAlign w:val="bottom"/>
          </w:tcPr>
          <w:p>
            <w:pPr>
              <w:spacing w:after="0"/>
              <w:rPr>
                <w:sz w:val="19"/>
                <w:szCs w:val="19"/>
                <w:color w:val="auto"/>
              </w:rPr>
            </w:pPr>
          </w:p>
        </w:tc>
        <w:tc>
          <w:tcPr>
            <w:tcW w:w="820" w:type="dxa"/>
            <w:vAlign w:val="bottom"/>
          </w:tcPr>
          <w:p>
            <w:pPr>
              <w:jc w:val="right"/>
              <w:ind w:right="61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63,988</w:t>
            </w:r>
          </w:p>
        </w:tc>
      </w:tr>
      <w:tr>
        <w:trPr>
          <w:trHeight w:val="22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6,397</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(6,167)</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6,766</w:t>
            </w:r>
          </w:p>
        </w:tc>
      </w:tr>
    </w:tbl>
    <w:p>
      <w:pPr>
        <w:spacing w:after="0" w:line="168" w:lineRule="exact"/>
        <w:rPr>
          <w:sz w:val="20"/>
          <w:szCs w:val="20"/>
          <w:color w:val="auto"/>
        </w:rPr>
      </w:pPr>
    </w:p>
    <w:p>
      <w:pPr>
        <w:jc w:val="both"/>
        <w:ind w:firstLine="387"/>
        <w:spacing w:after="0" w:line="275" w:lineRule="auto"/>
        <w:rPr>
          <w:sz w:val="20"/>
          <w:szCs w:val="20"/>
          <w:color w:val="auto"/>
        </w:rPr>
      </w:pPr>
      <w:r>
        <w:rPr>
          <w:rFonts w:ascii="Arial" w:cs="Arial" w:eastAsia="Arial" w:hAnsi="Arial"/>
          <w:sz w:val="16"/>
          <w:szCs w:val="16"/>
          <w:color w:val="auto"/>
        </w:rPr>
        <w:t>Revenue for the three months ended June 30, 2021 increased $10.8 million compared to the three months ended June 30, 2020, as we experienced a 40.1% increase in the number of preneed interment rights (property) sold, as well as a 15.1% increase in the average price per interment right sold, primarily due to (1) our sales personnel being less impacted by social distancing restrictions that were in place in the second quarter of 2020 due to COVID-19; (2) the full integration of the cemetery acquisitions made in the fourth quarter of 2019 and first quarter of 2020; and (3) the execution of the initial stages of our two year cemetery sales strategy of building high performance sales teams and standardized sales systems across our portfolio of cemeteries. We also experienced a 9.7% increase in the average revenue per funeral contract for the three months ended June 30, 2021 compared to the same period in 2020, which reflects a normalization of contracts under which we provide memorial services returning to pre-COVID-19 levels. Total funeral contracts decreased 7.6% for the same comparable period as the volume lift related to the COVID-19 death rate we experienced in the second quarter of 2020 tapered off.</w:t>
      </w:r>
    </w:p>
    <w:p>
      <w:pPr>
        <w:spacing w:after="0" w:line="69"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Gross profit for the three months ended June 30, 2021 increased $3.8 million compared to the three months ended June 30, 2020, primarily due to the increase in revenue from our cemetery segment, as well as decreases in cemetery operating expenses as a percent of operating revenue primarily in salaries and benefits expense as we increased revenue without adding extra personnel. These decreases were partially offset by increases in salaries and benefits expense in our funeral segment as a percent of operating revenue, which reflects the normalization of funeral personnel hours returning to pre-COVID-19 levels from being reduced during the second quarter of 2020 due to COVID-19.</w:t>
      </w:r>
    </w:p>
    <w:p>
      <w:pPr>
        <w:spacing w:after="0" w:line="77"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Net income for the three months ended June 30, 2021 decreased $12.6 million compared to the three months ended June 30, 2020, primarily due to the $23.8 million loss on extinguishment of debt, offset by the $7.6 million decrease in tax expense and $3.8 million increase in gross profit.</w:t>
      </w:r>
    </w:p>
    <w:p>
      <w:pPr>
        <w:spacing w:after="0" w:line="6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Revenue for the six months ended June 30, 2021 increased $29.9 million compared to the six months ended June 30, 2020, as we experienced a 41.1% increase in the number of preneed interment rights (property) sold, as well as a 17.4% increase in the average price per interment right sold, primarily due to (1) our sales personnel being less impacted by social distancing restrictions that were in place in 2020 due to COVID-19; (2) the full integration of the cemetery acquisitions made in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8" w:name="page49"/>
    <w:bookmarkEnd w:id="48"/>
    <w:p>
      <w:pPr>
        <w:jc w:val="both"/>
        <w:spacing w:after="0" w:line="258" w:lineRule="auto"/>
        <w:rPr>
          <w:sz w:val="20"/>
          <w:szCs w:val="20"/>
          <w:color w:val="auto"/>
        </w:rPr>
      </w:pPr>
      <w:r>
        <w:rPr>
          <w:rFonts w:ascii="Arial" w:cs="Arial" w:eastAsia="Arial" w:hAnsi="Arial"/>
          <w:sz w:val="17"/>
          <w:szCs w:val="17"/>
          <w:color w:val="auto"/>
        </w:rPr>
        <w:t>the fourth quarter of 2019 and first quarter of 2020; and (3) the execution of the initial stages of our two year cemetery sales strategy of building high performance sales teams and standardized sales systems across our portfolio of cemeteries. We also experienced a 3.9% increase in total funeral contracts for the six months ended June 30, 2021 compared to the same period in 2020, primarily due to a peak spike in COVID-19 deaths during the first quarter of 2021, offset by volume decreases in the second quarter as death rates began to normalize to pre-COVID-19 levels. Additionally, the average revenue per funeral contract increased 5.1% for the same comparable period in 2020 as contracts under which we provide memorial services began to normalize to pre-COVID-19 levels during the second quarter of 2021.</w:t>
      </w:r>
    </w:p>
    <w:p>
      <w:pPr>
        <w:spacing w:after="0" w:line="81"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Gross profit for the six months ended June 30, 2021 increased $15.7 million compared to the six months ended June 30, 2020, primarily due to the increase in revenue from both our funeral home and cemetery segments, as well as decreases in funeral home and cemetery operating expenses as a percent of operating revenue primarily in salaries and benefits expense as we increased revenue without adding extra personnel primarily during the first quarter of 2021.</w:t>
      </w:r>
    </w:p>
    <w:p>
      <w:pPr>
        <w:spacing w:after="0" w:line="3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Net income for the six months ended June 30, 2021 increased $4.6 million compared to the six months ended June 30, 2020, primarily due to the increase in gross profit and the $14.7 million impairment charge we recorded in the first six months of 2020 that did not occur in first six months of 2021, offset by the $23.8 million loss on extinguishment of debt in the second quarter of 2021.</w:t>
      </w:r>
    </w:p>
    <w:p>
      <w:pPr>
        <w:spacing w:after="0" w:line="73"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Further discussion of Revenue and the components of Gross profit for our funeral home and cemetery segments is presented herein under “– Results of Operations.”</w:t>
      </w:r>
    </w:p>
    <w:p>
      <w:pPr>
        <w:spacing w:after="0" w:line="60"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Further discussion of General, administrative and other expenses, Home office depreciation and amortization expense, Interest expense, Income taxes and other components of income and expenses are presented herein under “– Other Financial Statement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REPORTING AND NON-GAAP FINANCIAL MEASURES</w:t>
      </w:r>
    </w:p>
    <w:p>
      <w:pPr>
        <w:spacing w:after="0" w:line="120"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also present our financial performance in our “Operating and Financial Trend Report” (“Trend Report”) as reported in our earnings release for the three months ended June 30, 2021 issued on July 27, 2021 and discussed in the corresponding earnings conference call. The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Below is a reconciliation of Net income (loss), a GAAP measure, to Adjusted net income, a non-GAAP measure,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r>
      <w:tr>
        <w:trPr>
          <w:trHeight w:val="200"/>
        </w:trPr>
        <w:tc>
          <w:tcPr>
            <w:tcW w:w="45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6,766</w:t>
            </w:r>
          </w:p>
        </w:tc>
      </w:tr>
      <w:tr>
        <w:trPr>
          <w:trHeight w:val="219"/>
        </w:trPr>
        <w:tc>
          <w:tcPr>
            <w:tcW w:w="4580" w:type="dxa"/>
            <w:vAlign w:val="bottom"/>
          </w:tcPr>
          <w:p>
            <w:pPr>
              <w:ind w:left="20"/>
              <w:spacing w:after="0" w:line="220" w:lineRule="exact"/>
              <w:rPr>
                <w:sz w:val="20"/>
                <w:szCs w:val="20"/>
                <w:color w:val="auto"/>
              </w:rPr>
            </w:pPr>
            <w:r>
              <w:rPr>
                <w:rFonts w:ascii="Arial" w:cs="Arial" w:eastAsia="Arial" w:hAnsi="Arial"/>
                <w:sz w:val="17"/>
                <w:szCs w:val="17"/>
                <w:color w:val="auto"/>
              </w:rPr>
              <w:t>Special items, net of tax</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580" w:type="dxa"/>
            <w:vAlign w:val="bottom"/>
          </w:tcPr>
          <w:p>
            <w:pPr>
              <w:ind w:left="220"/>
              <w:spacing w:after="0" w:line="220" w:lineRule="exact"/>
              <w:rPr>
                <w:sz w:val="20"/>
                <w:szCs w:val="20"/>
                <w:color w:val="auto"/>
              </w:rPr>
            </w:pPr>
            <w:r>
              <w:rPr>
                <w:rFonts w:ascii="Arial" w:cs="Arial" w:eastAsia="Arial" w:hAnsi="Arial"/>
                <w:sz w:val="17"/>
                <w:szCs w:val="17"/>
                <w:color w:val="auto"/>
              </w:rPr>
              <w:t>Severance and separation costs</w:t>
            </w:r>
            <w:r>
              <w:rPr>
                <w:rFonts w:ascii="Arial" w:cs="Arial" w:eastAsia="Arial" w:hAnsi="Arial"/>
                <w:sz w:val="22"/>
                <w:szCs w:val="22"/>
                <w:color w:val="auto"/>
                <w:vertAlign w:val="superscript"/>
              </w:rPr>
              <w:t>(2)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217</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445</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1,126</w:t>
            </w: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Performance awards cancellation and exchange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580" w:type="dxa"/>
            <w:vAlign w:val="bottom"/>
          </w:tcPr>
          <w:p>
            <w:pPr>
              <w:ind w:left="220"/>
              <w:spacing w:after="0" w:line="220" w:lineRule="exact"/>
              <w:rPr>
                <w:sz w:val="20"/>
                <w:szCs w:val="20"/>
                <w:color w:val="auto"/>
              </w:rPr>
            </w:pPr>
            <w:r>
              <w:rPr>
                <w:rFonts w:ascii="Arial" w:cs="Arial" w:eastAsia="Arial" w:hAnsi="Arial"/>
                <w:sz w:val="17"/>
                <w:szCs w:val="17"/>
                <w:color w:val="auto"/>
              </w:rPr>
              <w:t>Accretion of discount on Convertible Notes</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9"/>
        </w:trPr>
        <w:tc>
          <w:tcPr>
            <w:tcW w:w="45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Net loss on extinguishment of debt</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17,022</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17,022</w:t>
            </w:r>
          </w:p>
        </w:tc>
      </w:tr>
      <w:tr>
        <w:trPr>
          <w:trHeight w:val="219"/>
        </w:trPr>
        <w:tc>
          <w:tcPr>
            <w:tcW w:w="4580" w:type="dxa"/>
            <w:vAlign w:val="bottom"/>
          </w:tcPr>
          <w:p>
            <w:pPr>
              <w:ind w:left="220"/>
              <w:spacing w:after="0"/>
              <w:rPr>
                <w:sz w:val="20"/>
                <w:szCs w:val="20"/>
                <w:color w:val="auto"/>
              </w:rPr>
            </w:pPr>
            <w:r>
              <w:rPr>
                <w:rFonts w:ascii="Arial" w:cs="Arial" w:eastAsia="Arial" w:hAnsi="Arial"/>
                <w:sz w:val="17"/>
                <w:szCs w:val="17"/>
                <w:color w:val="auto"/>
              </w:rPr>
              <w:t>Net (gain) loss on divestitures and other costs</w:t>
            </w:r>
          </w:p>
        </w:tc>
        <w:tc>
          <w:tcPr>
            <w:tcW w:w="3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Net impact of impairment of goodwill and other intangibles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9,808</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580" w:type="dxa"/>
            <w:vAlign w:val="bottom"/>
          </w:tcPr>
          <w:p>
            <w:pPr>
              <w:ind w:left="220"/>
              <w:spacing w:after="0" w:line="220" w:lineRule="exact"/>
              <w:rPr>
                <w:sz w:val="20"/>
                <w:szCs w:val="20"/>
                <w:color w:val="auto"/>
              </w:rPr>
            </w:pPr>
            <w:r>
              <w:rPr>
                <w:rFonts w:ascii="Arial" w:cs="Arial" w:eastAsia="Arial" w:hAnsi="Arial"/>
                <w:sz w:val="17"/>
                <w:szCs w:val="17"/>
                <w:color w:val="auto"/>
              </w:rPr>
              <w:t>Litigation reserve</w:t>
            </w:r>
            <w:r>
              <w:rPr>
                <w:rFonts w:ascii="Arial" w:cs="Arial" w:eastAsia="Arial" w:hAnsi="Arial"/>
                <w:sz w:val="22"/>
                <w:szCs w:val="22"/>
                <w:color w:val="auto"/>
                <w:vertAlign w:val="superscript"/>
              </w:rPr>
              <w:t>(4)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154</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213</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Natural disaster and pandemic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w:t>
            </w:r>
          </w:p>
        </w:tc>
      </w:tr>
      <w:tr>
        <w:trPr>
          <w:trHeight w:val="219"/>
        </w:trPr>
        <w:tc>
          <w:tcPr>
            <w:tcW w:w="4580" w:type="dxa"/>
            <w:vAlign w:val="bottom"/>
            <w:tcBorders>
              <w:bottom w:val="single" w:sz="8" w:color="CCEEFF"/>
            </w:tcBorders>
          </w:tcPr>
          <w:p>
            <w:pPr>
              <w:ind w:left="220"/>
              <w:spacing w:after="0" w:line="220" w:lineRule="exact"/>
              <w:rPr>
                <w:sz w:val="20"/>
                <w:szCs w:val="20"/>
                <w:color w:val="auto"/>
              </w:rPr>
            </w:pPr>
            <w:r>
              <w:rPr>
                <w:rFonts w:ascii="Arial" w:cs="Arial" w:eastAsia="Arial" w:hAnsi="Arial"/>
                <w:sz w:val="17"/>
                <w:szCs w:val="17"/>
                <w:color w:val="auto"/>
              </w:rPr>
              <w:t>Other special items</w:t>
            </w:r>
            <w:r>
              <w:rPr>
                <w:rFonts w:ascii="Arial" w:cs="Arial" w:eastAsia="Arial" w:hAnsi="Arial"/>
                <w:sz w:val="22"/>
                <w:szCs w:val="22"/>
                <w:color w:val="auto"/>
                <w:vertAlign w:val="superscript"/>
              </w:rPr>
              <w:t>(5)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954</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954</w:t>
            </w:r>
          </w:p>
        </w:tc>
      </w:tr>
      <w:tr>
        <w:trPr>
          <w:trHeight w:val="237"/>
        </w:trPr>
        <w:tc>
          <w:tcPr>
            <w:tcW w:w="458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2"/>
                <w:szCs w:val="22"/>
                <w:color w:val="auto"/>
                <w:vertAlign w:val="superscript"/>
              </w:rPr>
              <w:t>(6)</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8,005</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11,867</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14,118</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26,557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139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191" w:lineRule="exact"/>
        <w:rPr>
          <w:sz w:val="20"/>
          <w:szCs w:val="20"/>
          <w:color w:val="auto"/>
        </w:rPr>
      </w:pPr>
    </w:p>
    <w:p>
      <w:pPr>
        <w:jc w:val="both"/>
        <w:ind w:left="400" w:right="60" w:hanging="380"/>
        <w:spacing w:after="0" w:line="229" w:lineRule="auto"/>
        <w:tabs>
          <w:tab w:leader="none" w:pos="4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Special items are defined as charges or credits included in our GAAP financial statements that can vary from period to period and are not reflective of costs incurred in the ordinary course of our operations. In 2020, Special items are taxed at the federal statutory rate of 21.0%, except the Net (gain) loss on divestitures and other costs and the Net impact of impairment of goodwill and other intangibles, which are taxed at the operating tax rate of 33.3%. In 2021, Special items are taxed at the operating tax rate of 28.5%. The Accretion of discount on Convertible Notes is not tax effected.</w:t>
      </w:r>
    </w:p>
    <w:p>
      <w:pPr>
        <w:spacing w:after="0" w:line="25" w:lineRule="exact"/>
        <w:rPr>
          <w:rFonts w:ascii="Arial" w:cs="Arial" w:eastAsia="Arial" w:hAnsi="Arial"/>
          <w:sz w:val="15"/>
          <w:szCs w:val="15"/>
          <w:color w:val="auto"/>
        </w:rPr>
      </w:pPr>
    </w:p>
    <w:p>
      <w:pPr>
        <w:ind w:left="400" w:hanging="380"/>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increase during the six months ended June 30, 2021 is due to separation costs related to the resignation of two members of senior leadership in the first quarter of 2021.</w:t>
      </w:r>
    </w:p>
    <w:p>
      <w:pPr>
        <w:spacing w:after="0" w:line="45" w:lineRule="exact"/>
        <w:rPr>
          <w:rFonts w:ascii="Arial" w:cs="Arial" w:eastAsia="Arial" w:hAnsi="Arial"/>
          <w:sz w:val="14"/>
          <w:szCs w:val="14"/>
          <w:color w:val="auto"/>
        </w:rPr>
      </w:pPr>
    </w:p>
    <w:p>
      <w:pPr>
        <w:ind w:left="400" w:hanging="380"/>
        <w:spacing w:after="0"/>
        <w:tabs>
          <w:tab w:leader="none" w:pos="4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Loss on the redemption of our Original Senior Notes during the second quarter of 2021.</w:t>
      </w:r>
    </w:p>
    <w:p>
      <w:pPr>
        <w:spacing w:after="0" w:line="34" w:lineRule="exact"/>
        <w:rPr>
          <w:rFonts w:ascii="Arial" w:cs="Arial" w:eastAsia="Arial" w:hAnsi="Arial"/>
          <w:sz w:val="15"/>
          <w:szCs w:val="15"/>
          <w:color w:val="auto"/>
        </w:rPr>
      </w:pPr>
    </w:p>
    <w:p>
      <w:pPr>
        <w:ind w:left="400" w:hanging="380"/>
        <w:spacing w:after="0"/>
        <w:tabs>
          <w:tab w:leader="none" w:pos="4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Relates to legal costs associated with a former corporate employee lawsuit.</w:t>
      </w:r>
    </w:p>
    <w:p>
      <w:pPr>
        <w:spacing w:after="0" w:line="34" w:lineRule="exact"/>
        <w:rPr>
          <w:rFonts w:ascii="Arial" w:cs="Arial" w:eastAsia="Arial" w:hAnsi="Arial"/>
          <w:sz w:val="15"/>
          <w:szCs w:val="15"/>
          <w:color w:val="auto"/>
        </w:rPr>
      </w:pPr>
    </w:p>
    <w:p>
      <w:pPr>
        <w:ind w:left="400" w:right="60" w:hanging="380"/>
        <w:spacing w:after="0" w:line="269" w:lineRule="auto"/>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2020, the Special item relates to the costs associated with a state audit assessment. In 2021, the Special item relates to the write-off of certain fixed assets and interest paid on our Original Senior Notes for the two-week period during which our New Senior Notes were issued prior to the redemption of our Original Senior Notes.</w:t>
      </w:r>
    </w:p>
    <w:p>
      <w:pPr>
        <w:ind w:left="400" w:right="60" w:hanging="380"/>
        <w:spacing w:after="0" w:line="248" w:lineRule="auto"/>
        <w:tabs>
          <w:tab w:leader="none" w:pos="4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Adjusted net income is defined as Net income (loss) plus adjustments for Special items and other expenses or gains that we believe do not directly reflect our core operations and may not be indicative of our normal business operations.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Below is a reconciliation of Gross profit (a GAAP measure) to Operating profit (a non-GAAP measure)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r>
      <w:tr>
        <w:trPr>
          <w:trHeight w:val="200"/>
        </w:trPr>
        <w:tc>
          <w:tcPr>
            <w:tcW w:w="45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25,160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28,927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48,331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63,988</w:t>
            </w:r>
          </w:p>
        </w:tc>
      </w:tr>
      <w:tr>
        <w:trPr>
          <w:trHeight w:val="194"/>
        </w:trPr>
        <w:tc>
          <w:tcPr>
            <w:tcW w:w="4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Cemetery property amortization</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1,974</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3,692</w:t>
            </w:r>
          </w:p>
        </w:tc>
      </w:tr>
      <w:tr>
        <w:trPr>
          <w:trHeight w:val="219"/>
        </w:trPr>
        <w:tc>
          <w:tcPr>
            <w:tcW w:w="4500" w:type="dxa"/>
            <w:vAlign w:val="bottom"/>
          </w:tcPr>
          <w:p>
            <w:pPr>
              <w:ind w:left="20"/>
              <w:spacing w:after="0"/>
              <w:rPr>
                <w:sz w:val="20"/>
                <w:szCs w:val="20"/>
                <w:color w:val="auto"/>
              </w:rPr>
            </w:pPr>
            <w:r>
              <w:rPr>
                <w:rFonts w:ascii="Arial" w:cs="Arial" w:eastAsia="Arial" w:hAnsi="Arial"/>
                <w:sz w:val="17"/>
                <w:szCs w:val="17"/>
                <w:color w:val="auto"/>
              </w:rPr>
              <w:t>Field depreciation expense</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3,247</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3,142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6,537</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6,278</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Regional and unallocated funeral and cemetery costs</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3,717</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5,770</w:t>
            </w:r>
          </w:p>
        </w:tc>
        <w:tc>
          <w:tcPr>
            <w:tcW w:w="2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6,473</w:t>
            </w:r>
          </w:p>
        </w:tc>
        <w:tc>
          <w:tcPr>
            <w:tcW w:w="2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11,843</w:t>
            </w:r>
          </w:p>
        </w:tc>
      </w:tr>
      <w:tr>
        <w:trPr>
          <w:trHeight w:val="213"/>
        </w:trPr>
        <w:tc>
          <w:tcPr>
            <w:tcW w:w="4500" w:type="dxa"/>
            <w:vAlign w:val="bottom"/>
          </w:tcPr>
          <w:p>
            <w:pPr>
              <w:ind w:left="20"/>
              <w:spacing w:after="0" w:line="213" w:lineRule="exact"/>
              <w:rPr>
                <w:sz w:val="20"/>
                <w:szCs w:val="20"/>
                <w:color w:val="auto"/>
              </w:rPr>
            </w:pPr>
            <w:r>
              <w:rPr>
                <w:rFonts w:ascii="Arial" w:cs="Arial" w:eastAsia="Arial" w:hAnsi="Arial"/>
                <w:sz w:val="17"/>
                <w:szCs w:val="17"/>
                <w:color w:val="auto"/>
              </w:rPr>
              <w:t>Operating profit</w:t>
            </w:r>
            <w:r>
              <w:rPr>
                <w:rFonts w:ascii="Arial" w:cs="Arial" w:eastAsia="Arial" w:hAnsi="Arial"/>
                <w:sz w:val="22"/>
                <w:szCs w:val="22"/>
                <w:color w:val="auto"/>
                <w:vertAlign w:val="superscript"/>
              </w:rPr>
              <w:t>(1)</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33,221</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40,014</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63,315</w:t>
            </w:r>
          </w:p>
        </w:tc>
        <w:tc>
          <w:tcPr>
            <w:tcW w:w="240" w:type="dxa"/>
            <w:vAlign w:val="bottom"/>
          </w:tcPr>
          <w:p>
            <w:pPr>
              <w:spacing w:after="0"/>
              <w:rPr>
                <w:sz w:val="18"/>
                <w:szCs w:val="18"/>
                <w:color w:val="auto"/>
              </w:rPr>
            </w:pP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85,801</w:t>
            </w:r>
          </w:p>
        </w:tc>
      </w:tr>
      <w:tr>
        <w:trPr>
          <w:trHeight w:val="20"/>
        </w:trPr>
        <w:tc>
          <w:tcPr>
            <w:tcW w:w="4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22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166" w:lineRule="exact"/>
        <w:rPr>
          <w:sz w:val="20"/>
          <w:szCs w:val="20"/>
          <w:color w:val="auto"/>
        </w:rPr>
      </w:pPr>
    </w:p>
    <w:p>
      <w:pPr>
        <w:ind w:left="400" w:hanging="380"/>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Operating profit is defined as Gross profit less Cemetery property amortization, Field depreciation expense and Regional and unallocated funeral and cemetery costs.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7" w:lineRule="exact"/>
        <w:rPr>
          <w:rFonts w:ascii="Arial" w:cs="Arial" w:eastAsia="Arial" w:hAnsi="Arial"/>
          <w:sz w:val="14"/>
          <w:szCs w:val="14"/>
          <w:color w:val="auto"/>
        </w:rPr>
      </w:pPr>
    </w:p>
    <w:p>
      <w:pPr>
        <w:ind w:left="5540" w:hanging="102"/>
        <w:spacing w:after="0"/>
        <w:tabs>
          <w:tab w:leader="none" w:pos="55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50" w:name="page51"/>
    <w:bookmarkEnd w:id="50"/>
    <w:p>
      <w:pPr>
        <w:ind w:left="400"/>
        <w:spacing w:after="0"/>
        <w:rPr>
          <w:sz w:val="20"/>
          <w:szCs w:val="20"/>
          <w:color w:val="auto"/>
        </w:rPr>
      </w:pPr>
      <w:r>
        <w:rPr>
          <w:rFonts w:ascii="Arial" w:cs="Arial" w:eastAsia="Arial" w:hAnsi="Arial"/>
          <w:sz w:val="15"/>
          <w:szCs w:val="15"/>
          <w:color w:val="auto"/>
        </w:rPr>
        <w:t>Our operations are reported in two business segments: Funeral Home and Cemetery. Below is a breakdown of Operating profit (a non-GAAP measure) by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Segment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r>
      <w:tr>
        <w:trPr>
          <w:trHeight w:val="200"/>
        </w:trPr>
        <w:tc>
          <w:tcPr>
            <w:tcW w:w="45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Funeral Home</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25,552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24,184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49,826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9"/>
              </w:rPr>
              <w:t>57,090</w:t>
            </w:r>
          </w:p>
        </w:tc>
      </w:tr>
      <w:tr>
        <w:trPr>
          <w:trHeight w:val="21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Cemetery</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7,669</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15,830</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13,489</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99"/>
              </w:rPr>
              <w:t>28,711</w:t>
            </w: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profit</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33,221</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40,014</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63,315</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99"/>
              </w:rPr>
              <w:t>85,801</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4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9"/>
        </w:trPr>
        <w:tc>
          <w:tcPr>
            <w:tcW w:w="45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Operating profit margin</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42.9%</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5"/>
              </w:rPr>
              <w:t>45.3%</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40.9%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139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166" w:lineRule="exact"/>
        <w:rPr>
          <w:sz w:val="20"/>
          <w:szCs w:val="20"/>
          <w:color w:val="auto"/>
        </w:rPr>
      </w:pPr>
    </w:p>
    <w:p>
      <w:pPr>
        <w:ind w:left="400" w:hanging="380"/>
        <w:spacing w:after="0"/>
        <w:tabs>
          <w:tab w:leader="none" w:pos="4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Operating profit margin is defined as Operating profit as a percentage of Revenue.</w:t>
      </w:r>
    </w:p>
    <w:p>
      <w:pPr>
        <w:spacing w:after="0" w:line="197"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7"/>
          <w:szCs w:val="17"/>
          <w:color w:val="auto"/>
        </w:rPr>
        <w:t>Further discussion of Operating profit for our funeral home and cemetery segments is presented herein under “–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is a discussion of our results of operations for the three months ended June 30, 2021 and 2020.</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The term “same store” refers to funeral homes and cemeteries acquired prior to January 1, 2017 and owned and operated for the entirety of each period being presented, excluding certain funeral home and cemetery businesses that we intend to divest in the near future.</w:t>
      </w:r>
    </w:p>
    <w:p>
      <w:pPr>
        <w:spacing w:after="0" w:line="60"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The term “acquired” refers to funeral homes and cemeteries purchased after December 31, 2016, excluding any funeral home and cemetery businesses that we intend to divest in the near future. This classification of acquisitions has been important to management and investors in monitoring the results of these businesses and to gauge the leveraging performance contribution that a selective acquisition program can have on total company performance.</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term “divested” when discussed in the Funeral Home Segment, refers to the three funeral homes we sold in the first six months of 2021.</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“Planned divested” refers to the funeral home and cemetery businesses that we intend to divest.</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“Ancillary” in the Funeral Home Segment represents our flower shop, pet cremation business and online cremation business.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Funeral Home Segment</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certain information regarding our Revenue and Operating profit from our funeral home operations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5"/>
                <w:szCs w:val="15"/>
                <w:b w:val="1"/>
                <w:bCs w:val="1"/>
                <w:color w:val="auto"/>
              </w:rPr>
              <w:t>Three months ended June 30,</w:t>
            </w: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Same store operating revenue</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44,296</w:t>
            </w:r>
          </w:p>
        </w:tc>
        <w:tc>
          <w:tcPr>
            <w:tcW w:w="220" w:type="dxa"/>
            <w:vAlign w:val="bottom"/>
          </w:tcPr>
          <w:p>
            <w:pPr>
              <w:spacing w:after="0"/>
              <w:rPr>
                <w:sz w:val="19"/>
                <w:szCs w:val="19"/>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47,284</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operating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9,023</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8,557</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Divested/planned divested revenue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2,584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Preneed funeral insurance commissions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326</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funeral trust and insurance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1,775</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1,831</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59,121</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59,832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0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Operating profit: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Same store operating profit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18,725</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18,659</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Acquired operating profit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3,755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3,261</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Divested/planned divested operating profit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Ancillary operating profit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321</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funeral insurance commissions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Preneed funeral trust and insurance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1,761</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1,793</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25,552</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24,184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7"/>
                <w:szCs w:val="17"/>
                <w:color w:val="auto"/>
              </w:rPr>
              <w:t>The following measures reflect the significant metrics over this comparative period: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5"/>
                <w:szCs w:val="15"/>
                <w:b w:val="1"/>
                <w:bCs w:val="1"/>
                <w:color w:val="auto"/>
              </w:rPr>
              <w:t>Three months ended June 30,</w:t>
            </w: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Same store: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Contract volume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9,056</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9,061</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revenue per contract, excluding preneed funeral trust earnings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4,891</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5,218</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Average revenue per contract, including preneed funeral trust earnings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5,066</w:t>
            </w:r>
          </w:p>
        </w:tc>
        <w:tc>
          <w:tcPr>
            <w:tcW w:w="220" w:type="dxa"/>
            <w:vAlign w:val="bottom"/>
          </w:tcPr>
          <w:p>
            <w:pPr>
              <w:spacing w:after="0"/>
              <w:rPr>
                <w:sz w:val="19"/>
                <w:szCs w:val="19"/>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5,399</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Burial rate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36.1%</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Cremation rate</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57.4%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156"/>
        </w:trPr>
        <w:tc>
          <w:tcPr>
            <w:tcW w:w="80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Acquired: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volume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1,941</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Average revenue per contract, excluding preneed funeral trust earnings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4,649</w:t>
            </w:r>
          </w:p>
        </w:tc>
        <w:tc>
          <w:tcPr>
            <w:tcW w:w="220" w:type="dxa"/>
            <w:vAlign w:val="bottom"/>
          </w:tcPr>
          <w:p>
            <w:pPr>
              <w:spacing w:after="0"/>
              <w:rPr>
                <w:sz w:val="19"/>
                <w:szCs w:val="19"/>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5,266</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revenue per contract, including preneed funeral trust earnings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4,710</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5,324</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Burial rate</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41.4%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Cremation rate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55.0%</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Funeral home same store operating revenue for the three months ended June 30, 2021 increased $3.0 million compared to the same period in 2020. The increase in operating revenue is primarily driven by a 6.7% increase in the average revenue per contract excluding preneed interest, while same store contract volume remained flat. The average revenue per contract in the second quarter of 2021 reflects a normalization of contracts under which we provide memorial services returning to pre-COVID-19 levels.</w:t>
      </w:r>
    </w:p>
    <w:p>
      <w:pPr>
        <w:spacing w:after="0" w:line="76"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Funeral home same store operating profit for the three months ended June 30, 2021 decreased $0.1 million when compared to the same period in 2020. The comparable operating profit margin decreased 280 basis points to 39.5%. Operating expenses as a percent of operating revenue increased 2.8% for the three months ended June 30, 2021 compared to the same period in 2020. The largest increase was in salaries and benefits expenses, which increased 1.3% as a percent of operating revenue, when funeral personnel hours were reduced during the second quarter of 2020 due to COVID-19. This increase reflects normalization of salaries and benefits expenses returning to pre-COVID-19 levels. We also experienced increases as a</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2" w:name="page53"/>
    <w:bookmarkEnd w:id="52"/>
    <w:p>
      <w:pPr>
        <w:jc w:val="both"/>
        <w:spacing w:after="0" w:line="280" w:lineRule="auto"/>
        <w:rPr>
          <w:sz w:val="20"/>
          <w:szCs w:val="20"/>
          <w:color w:val="auto"/>
        </w:rPr>
      </w:pPr>
      <w:r>
        <w:rPr>
          <w:rFonts w:ascii="Arial" w:cs="Arial" w:eastAsia="Arial" w:hAnsi="Arial"/>
          <w:sz w:val="17"/>
          <w:szCs w:val="17"/>
          <w:color w:val="auto"/>
        </w:rPr>
        <w:t>percentage of revenue in the following areas: (1) general liability insurance costs increased 0.5%; (2) general and administrative expenses increased 0.3%; and (3) merchandise costs increased 0.2%.</w:t>
      </w:r>
    </w:p>
    <w:p>
      <w:pPr>
        <w:spacing w:after="0" w:line="60"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Funeral home acquired operating revenue for the three months ended June 30, 2021 decreased $0.5 million compared to the same period in 2020. The decrease in operating revenue is primarily due to a 16.3% decrease in acquired contract volume, which was partially offset by a 13.3% increase in the average revenue per contract. The average revenue per contract in the second quarter of 2021 reflects a normalization of contracts under which we provide memorial services returning to pre-COVID-19 levels and the volume lift related to the COVID-19 death rate we experienced in the second quarter of 2020 tapering off.</w:t>
      </w:r>
    </w:p>
    <w:p>
      <w:pPr>
        <w:spacing w:after="0" w:line="6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Acquired operating profit for the three months ended June 30, 2021 decreased by $0.5 million when compared to the same period in 2020. The comparable operating profit margin decreased 350 basis points to 38.1%. The decrease in operating profit is primarily due to the decrease in acquired operating revenue. Operating expenses as a percent of operating revenue increased 3.5% for the three months ended June 30, 2021 compared to the same period in 2020, as we experienced increases as a percentage of revenue in the following areas: (1) other funeral costs increased 1.5%; (2) general liability insurance costs increased 0.6%; and (3) salaries and benefits expenses increased 0.2%.</w:t>
      </w:r>
    </w:p>
    <w:p>
      <w:pPr>
        <w:spacing w:after="0" w:line="77"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 xml:space="preserve">Ancillary revenue, which is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represents revenue from our flower shop, pet cremation and online cremation businesses, remained flat, while Ancillary operating profit decreased 14.6% for three months ended June 30, 2021 compared to the same period in 2020. Operating expenses as a percent of operating revenue increased 1.8% for the same comparative period, as we experienced slight increases in rent expense and other funeral costs, slightly offset by a decrease in salaries and benefits expenses.</w:t>
      </w:r>
    </w:p>
    <w:p>
      <w:pPr>
        <w:spacing w:after="0" w:line="76"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 xml:space="preserve">Preneed funeral insurance commissions and preneed funeral trust and insurance revenue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xml:space="preserve"> and the respective operating profit, on a combined basis, remained flat for the three months ended June 30, 2021 compared to the same period in 2020.</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certain information regarding our Revenue and Operating profit from our funeral home operations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0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Same store operating revenue</w:t>
            </w:r>
          </w:p>
        </w:tc>
        <w:tc>
          <w:tcPr>
            <w:tcW w:w="41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90,992</w:t>
            </w:r>
          </w:p>
        </w:tc>
        <w:tc>
          <w:tcPr>
            <w:tcW w:w="220" w:type="dxa"/>
            <w:vAlign w:val="bottom"/>
          </w:tcPr>
          <w:p>
            <w:pPr>
              <w:spacing w:after="0"/>
              <w:rPr>
                <w:sz w:val="19"/>
                <w:szCs w:val="19"/>
                <w:color w:val="auto"/>
              </w:rPr>
            </w:pPr>
          </w:p>
        </w:tc>
        <w:tc>
          <w:tcPr>
            <w:tcW w:w="820" w:type="dxa"/>
            <w:vAlign w:val="bottom"/>
          </w:tcPr>
          <w:p>
            <w:pPr>
              <w:jc w:val="right"/>
              <w:ind w:right="61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103,967</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operating revenue</w:t>
            </w:r>
          </w:p>
        </w:tc>
        <w:tc>
          <w:tcPr>
            <w:tcW w:w="3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17,908</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18,696</w:t>
            </w: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Divested/planned divested revenue</w:t>
            </w:r>
          </w:p>
        </w:tc>
        <w:tc>
          <w:tcPr>
            <w:tcW w:w="3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5,341</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w:t>
            </w:r>
          </w:p>
        </w:tc>
        <w:tc>
          <w:tcPr>
            <w:tcW w:w="3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2,268</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2,295</w:t>
            </w: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Preneed funeral insurance commissions</w:t>
            </w:r>
          </w:p>
        </w:tc>
        <w:tc>
          <w:tcPr>
            <w:tcW w:w="3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692</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funeral trust and insurance</w:t>
            </w:r>
          </w:p>
        </w:tc>
        <w:tc>
          <w:tcPr>
            <w:tcW w:w="37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3,662</w:t>
            </w: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4,029</w:t>
            </w:r>
          </w:p>
        </w:tc>
        <w:tc>
          <w:tcPr>
            <w:tcW w:w="0" w:type="dxa"/>
            <w:vAlign w:val="bottom"/>
          </w:tcPr>
          <w:p>
            <w:pPr>
              <w:spacing w:after="0"/>
              <w:rPr>
                <w:sz w:val="1"/>
                <w:szCs w:val="1"/>
                <w:color w:val="auto"/>
              </w:rPr>
            </w:pPr>
          </w:p>
        </w:tc>
      </w:tr>
      <w:tr>
        <w:trPr>
          <w:trHeight w:val="212"/>
        </w:trPr>
        <w:tc>
          <w:tcPr>
            <w:tcW w:w="4300" w:type="dxa"/>
            <w:vAlign w:val="bottom"/>
          </w:tcPr>
          <w:p>
            <w:pPr>
              <w:ind w:left="20"/>
              <w:spacing w:after="0"/>
              <w:rPr>
                <w:sz w:val="20"/>
                <w:szCs w:val="20"/>
                <w:color w:val="auto"/>
              </w:rPr>
            </w:pPr>
            <w:r>
              <w:rPr>
                <w:rFonts w:ascii="Arial" w:cs="Arial" w:eastAsia="Arial" w:hAnsi="Arial"/>
                <w:sz w:val="17"/>
                <w:szCs w:val="17"/>
                <w:color w:val="auto"/>
              </w:rPr>
              <w:t>Total</w:t>
            </w:r>
          </w:p>
        </w:tc>
        <w:tc>
          <w:tcPr>
            <w:tcW w:w="41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120,863</w:t>
            </w:r>
          </w:p>
        </w:tc>
        <w:tc>
          <w:tcPr>
            <w:tcW w:w="220" w:type="dxa"/>
            <w:vAlign w:val="bottom"/>
          </w:tcPr>
          <w:p>
            <w:pPr>
              <w:spacing w:after="0"/>
              <w:rPr>
                <w:sz w:val="18"/>
                <w:szCs w:val="18"/>
                <w:color w:val="auto"/>
              </w:rPr>
            </w:pPr>
          </w:p>
        </w:tc>
        <w:tc>
          <w:tcPr>
            <w:tcW w:w="820" w:type="dxa"/>
            <w:vAlign w:val="bottom"/>
          </w:tcPr>
          <w:p>
            <w:pPr>
              <w:jc w:val="right"/>
              <w:ind w:right="61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131,606</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300" w:type="dxa"/>
            <w:vAlign w:val="bottom"/>
            <w:shd w:val="clear" w:color="auto" w:fill="CCEEFF"/>
          </w:tcPr>
          <w:p>
            <w:pPr>
              <w:spacing w:after="0"/>
              <w:rPr>
                <w:sz w:val="10"/>
                <w:szCs w:val="10"/>
                <w:color w:val="auto"/>
              </w:rPr>
            </w:pPr>
          </w:p>
        </w:tc>
        <w:tc>
          <w:tcPr>
            <w:tcW w:w="37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20"/>
              <w:spacing w:after="0"/>
              <w:rPr>
                <w:sz w:val="20"/>
                <w:szCs w:val="20"/>
                <w:color w:val="auto"/>
              </w:rPr>
            </w:pPr>
            <w:r>
              <w:rPr>
                <w:rFonts w:ascii="Arial" w:cs="Arial" w:eastAsia="Arial" w:hAnsi="Arial"/>
                <w:sz w:val="17"/>
                <w:szCs w:val="17"/>
                <w:color w:val="auto"/>
              </w:rPr>
              <w:t>Operating profit:</w:t>
            </w:r>
          </w:p>
        </w:tc>
        <w:tc>
          <w:tcPr>
            <w:tcW w:w="3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Same store operating profit</w:t>
            </w:r>
          </w:p>
        </w:tc>
        <w:tc>
          <w:tcPr>
            <w:tcW w:w="4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36,787</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44,471</w:t>
            </w: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Acquired operating profit</w:t>
            </w:r>
          </w:p>
        </w:tc>
        <w:tc>
          <w:tcPr>
            <w:tcW w:w="3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7,002</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7,728</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Divested/planned divested operating profit</w:t>
            </w:r>
          </w:p>
        </w:tc>
        <w:tc>
          <w:tcPr>
            <w:tcW w:w="3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1,503</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Ancillary operating profit</w:t>
            </w:r>
          </w:p>
        </w:tc>
        <w:tc>
          <w:tcPr>
            <w:tcW w:w="3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616</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funeral insurance commissions</w:t>
            </w:r>
          </w:p>
        </w:tc>
        <w:tc>
          <w:tcPr>
            <w:tcW w:w="3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9"/>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Preneed funeral trust and insurance</w:t>
            </w:r>
          </w:p>
        </w:tc>
        <w:tc>
          <w:tcPr>
            <w:tcW w:w="37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3,600</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3,955</w:t>
            </w:r>
          </w:p>
        </w:tc>
        <w:tc>
          <w:tcPr>
            <w:tcW w:w="0" w:type="dxa"/>
            <w:vAlign w:val="bottom"/>
          </w:tcPr>
          <w:p>
            <w:pPr>
              <w:spacing w:after="0"/>
              <w:rPr>
                <w:sz w:val="1"/>
                <w:szCs w:val="1"/>
                <w:color w:val="auto"/>
              </w:rPr>
            </w:pPr>
          </w:p>
        </w:tc>
      </w:tr>
      <w:tr>
        <w:trPr>
          <w:trHeight w:val="23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49,826</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57,090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114"/>
              <w:spacing w:after="0"/>
              <w:rPr>
                <w:sz w:val="20"/>
                <w:szCs w:val="20"/>
                <w:color w:val="auto"/>
              </w:rPr>
            </w:pPr>
            <w:r>
              <w:rPr>
                <w:rFonts w:ascii="Arial" w:cs="Arial" w:eastAsia="Arial" w:hAnsi="Arial"/>
                <w:sz w:val="17"/>
                <w:szCs w:val="17"/>
                <w:color w:val="auto"/>
              </w:rPr>
              <w:t>- 56 -</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30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0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3" w:name="page54"/>
    <w:bookmarkEnd w:id="53"/>
    <w:p>
      <w:pPr>
        <w:ind w:left="400"/>
        <w:spacing w:after="0"/>
        <w:rPr>
          <w:sz w:val="20"/>
          <w:szCs w:val="20"/>
          <w:color w:val="auto"/>
        </w:rPr>
      </w:pPr>
      <w:r>
        <w:rPr>
          <w:rFonts w:ascii="Arial" w:cs="Arial" w:eastAsia="Arial" w:hAnsi="Arial"/>
          <w:sz w:val="17"/>
          <w:szCs w:val="17"/>
          <w:color w:val="auto"/>
        </w:rPr>
        <w:t>The following measures reflect the significant metrics over this comparative period: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r>
      <w:tr>
        <w:trPr>
          <w:trHeight w:val="200"/>
        </w:trPr>
        <w:tc>
          <w:tcPr>
            <w:tcW w:w="80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Same store:</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Contract volume</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18,114</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20,089</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revenue per contract, excluding preneed funeral trust earnings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5,023</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5,175</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Average revenue per contract, including preneed funeral trust earnings</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5,205</w:t>
            </w:r>
          </w:p>
        </w:tc>
        <w:tc>
          <w:tcPr>
            <w:tcW w:w="220" w:type="dxa"/>
            <w:vAlign w:val="bottom"/>
          </w:tcPr>
          <w:p>
            <w:pPr>
              <w:spacing w:after="0"/>
              <w:rPr>
                <w:sz w:val="19"/>
                <w:szCs w:val="19"/>
                <w:color w:val="auto"/>
              </w:rPr>
            </w:pPr>
          </w:p>
        </w:tc>
        <w:tc>
          <w:tcPr>
            <w:tcW w:w="86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5,354</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Burial rate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36.0%</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Cremation rate</w:t>
            </w:r>
          </w:p>
        </w:tc>
        <w:tc>
          <w:tcPr>
            <w:tcW w:w="4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56.2%</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57.0%</w:t>
            </w:r>
          </w:p>
        </w:tc>
      </w:tr>
      <w:tr>
        <w:trPr>
          <w:trHeight w:val="156"/>
        </w:trPr>
        <w:tc>
          <w:tcPr>
            <w:tcW w:w="8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Acquired:</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volume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3,674</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3,627</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Average revenue per contract, excluding preneed funeral trust earnings</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4,874</w:t>
            </w:r>
          </w:p>
        </w:tc>
        <w:tc>
          <w:tcPr>
            <w:tcW w:w="220" w:type="dxa"/>
            <w:vAlign w:val="bottom"/>
          </w:tcPr>
          <w:p>
            <w:pPr>
              <w:spacing w:after="0"/>
              <w:rPr>
                <w:sz w:val="19"/>
                <w:szCs w:val="19"/>
                <w:color w:val="auto"/>
              </w:rPr>
            </w:pPr>
          </w:p>
        </w:tc>
        <w:tc>
          <w:tcPr>
            <w:tcW w:w="86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5,155</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revenue per contract, including preneed funeral trust earnings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4,933</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5,220</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Burial rate</w:t>
            </w:r>
          </w:p>
        </w:tc>
        <w:tc>
          <w:tcPr>
            <w:tcW w:w="4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41.6%</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40.7%</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Cremation rate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54.8%</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54.5%</w:t>
            </w:r>
          </w:p>
        </w:tc>
      </w:tr>
    </w:tbl>
    <w:p>
      <w:pPr>
        <w:spacing w:after="0" w:line="181"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Funeral home same store operating revenue for the six months ended June 30, 2021 increased $13.0 million compared to the same period in 2020. The increase in operating revenue is primarily driven by a 10.9% increase in same store contract volume, as well as a 3.0% increase in the average revenue per contract excluding preneed interest. The increase in volume is primarily due to a peak spike in COVID-19 deaths during the first quarter of 2021, offset by volume decreases in the second quarter as death rates began to normalize to pre-COVID-19 levels. Additionally, the average revenue per contract increased as contracts under which we provide memorial services began to normalize to pre-COVID-19 levels in the second quarter of 2021.</w:t>
      </w:r>
    </w:p>
    <w:p>
      <w:pPr>
        <w:spacing w:after="0" w:line="63"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Funeral home same store operating profit for the six months ended June 30, 2021 increased $7.7 million when compared to the same period in 2020. The comparable operating profit margin increased 240 basis points to 42.8%. The increase in operating profit is primarily due to the increase in same store operating revenue along with disciplined expense and cost management by leaders at each business. Operating expenses as a percent of operating revenue decreased 2.3% for the six months ended June 30, 2021 compared to the same period in 2020. The largest decrease was in salaries and benefits expense, which decreased 1.4% as a percent of operating revenue as we increased revenue during the first quarter of 2021 without adding extra personnel. We also experienced decreases as a percentage of revenue in the following areas: (1) allowance for credit losses decreased 0.3%; (2) promotional expenses decreased 0.3%; and (3) general and administrative expenses decreased 0.2%; offset slightly by a 0.2% increase in general liability insurance costs.</w:t>
      </w:r>
    </w:p>
    <w:p>
      <w:pPr>
        <w:spacing w:after="0" w:line="68" w:lineRule="exact"/>
        <w:rPr>
          <w:sz w:val="20"/>
          <w:szCs w:val="20"/>
          <w:color w:val="auto"/>
        </w:rPr>
      </w:pPr>
    </w:p>
    <w:p>
      <w:pPr>
        <w:jc w:val="both"/>
        <w:ind w:firstLine="387"/>
        <w:spacing w:after="0" w:line="308" w:lineRule="auto"/>
        <w:rPr>
          <w:sz w:val="20"/>
          <w:szCs w:val="20"/>
          <w:color w:val="auto"/>
        </w:rPr>
      </w:pPr>
      <w:r>
        <w:rPr>
          <w:rFonts w:ascii="Arial" w:cs="Arial" w:eastAsia="Arial" w:hAnsi="Arial"/>
          <w:sz w:val="15"/>
          <w:szCs w:val="15"/>
          <w:color w:val="auto"/>
        </w:rPr>
        <w:t>Funeral home acquired operating revenue for the six months ended June 30, 2021 increased $0.8 million compared to the same period in 2020. The increase in operating revenue is primarily driven by a 5.8% increase in the average revenue per contract excluding preneed interest, while acquired contract volume decreased by 1.3%. The increase in the average revenue per contract reflects a normalization of contracts under which we provide memorial services returning to pre-COVID-19 levels in the second quarter of 2021, as the volume lift related to the COVID-19 death rate we experienced in the first quarter of 2021 tapered off.</w:t>
      </w:r>
    </w:p>
    <w:p>
      <w:pPr>
        <w:spacing w:after="0" w:line="4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Acquired operating profit for the six months ended June 30, 2021 increased $0.7 million when compared to the same period in 2020. The comparable operating profit margin increased 220 basis points to 41.3%. The increase in operating profit is primarily due to the increase in acquired operating revenue along with disciplined expense and cost management by leaders at each business. Operating expenses as a percent of operating revenue decreased 2.2% for the six months ended June 30, 2021 compared to the same period in 2020. The largest decrease was in salaries and benefits expense, which decreased 3.0% as a percent of operating revenue as we increased revenue without adding extra personnel during the first quarter of 2021. We also experienced decreases as a percentage of revenue in the following areas: (1) allowance for credit losses decreased 0.4%; and (2) promotional expenses decreased 0.3%; offset slightly by a 0.8% increase in other funeral costs.</w:t>
      </w:r>
    </w:p>
    <w:p>
      <w:pPr>
        <w:spacing w:after="0" w:line="78"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 xml:space="preserve">Ancillary revenue, which is recorded in </w:t>
      </w:r>
      <w:r>
        <w:rPr>
          <w:rFonts w:ascii="Arial" w:cs="Arial" w:eastAsia="Arial" w:hAnsi="Arial"/>
          <w:sz w:val="16"/>
          <w:szCs w:val="16"/>
          <w:i w:val="1"/>
          <w:iCs w:val="1"/>
          <w:color w:val="auto"/>
        </w:rPr>
        <w:t>Other revenue</w:t>
      </w:r>
      <w:r>
        <w:rPr>
          <w:rFonts w:ascii="Arial" w:cs="Arial" w:eastAsia="Arial" w:hAnsi="Arial"/>
          <w:sz w:val="16"/>
          <w:szCs w:val="16"/>
          <w:color w:val="auto"/>
        </w:rPr>
        <w:t>, represents revenue from our flower shop, pet cremation and online cremation businesses, remained flat, while Ancillary operating profit decreased 16.2% for the six months ended June 30, 2021 compared to the same period in 2020. Operating expenses as a percent of operating revenue increased 3.4% for the same comparative period, as we experienced increases in the following areas: (1) other funeral costs increased 3.1%; (2) rent expense increased 1.7%; and (3) general and administrative expenses increased 1.6%.</w:t>
      </w:r>
    </w:p>
    <w:p>
      <w:pPr>
        <w:spacing w:after="0" w:line="6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Preneed funeral insurance commissions and preneed funeral trust and insurance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xml:space="preserve"> on a combined basis, increased $0.3 million or 6.2% for the six months ended June 30, 2021 compared to the same period in 2020. The increase is primarily related to a 1.0% increase in preneed contracts maturing to atneed which triggers the recognition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4" w:name="page55"/>
    <w:bookmarkEnd w:id="54"/>
    <w:p>
      <w:pPr>
        <w:jc w:val="both"/>
        <w:spacing w:after="0" w:line="280" w:lineRule="auto"/>
        <w:rPr>
          <w:sz w:val="20"/>
          <w:szCs w:val="20"/>
          <w:color w:val="auto"/>
        </w:rPr>
      </w:pPr>
      <w:r>
        <w:rPr>
          <w:rFonts w:ascii="Arial" w:cs="Arial" w:eastAsia="Arial" w:hAnsi="Arial"/>
          <w:sz w:val="17"/>
          <w:szCs w:val="17"/>
          <w:color w:val="auto"/>
        </w:rPr>
        <w:t>trust earnings on matured contracts. Operating profit for preneed funeral insurance commissions and preneed trust and insurance, on a combined basis, increased $0.2 million or 5.2% for the same comparative period, primarily due to the increase in preneed funeral trust and insurance revenue.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Cemetery Segment</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certain information regarding our Revenue and Operating profit from our cemetery operations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Same store operating revenue</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11,565</w:t>
            </w:r>
          </w:p>
        </w:tc>
        <w:tc>
          <w:tcPr>
            <w:tcW w:w="220" w:type="dxa"/>
            <w:vAlign w:val="bottom"/>
          </w:tcPr>
          <w:p>
            <w:pPr>
              <w:spacing w:after="0"/>
              <w:rPr>
                <w:sz w:val="19"/>
                <w:szCs w:val="19"/>
                <w:color w:val="auto"/>
              </w:rPr>
            </w:pPr>
          </w:p>
        </w:tc>
        <w:tc>
          <w:tcPr>
            <w:tcW w:w="920" w:type="dxa"/>
            <w:vAlign w:val="bottom"/>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16,516</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operating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4,056</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8,175</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Divested/planned divested revenue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162</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508</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cemetery trust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2,333</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2,992</w:t>
            </w:r>
          </w:p>
        </w:tc>
        <w:tc>
          <w:tcPr>
            <w:tcW w:w="0" w:type="dxa"/>
            <w:vAlign w:val="bottom"/>
          </w:tcPr>
          <w:p>
            <w:pPr>
              <w:spacing w:after="0"/>
              <w:rPr>
                <w:sz w:val="1"/>
                <w:szCs w:val="1"/>
                <w:color w:val="auto"/>
              </w:rPr>
            </w:pPr>
          </w:p>
        </w:tc>
      </w:tr>
      <w:tr>
        <w:trPr>
          <w:trHeight w:val="21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Preneed cemetery finance charges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18,356</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28,445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profit: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Same store operating profit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3,666</w:t>
            </w:r>
          </w:p>
        </w:tc>
        <w:tc>
          <w:tcPr>
            <w:tcW w:w="220" w:type="dxa"/>
            <w:vAlign w:val="bottom"/>
          </w:tcPr>
          <w:p>
            <w:pPr>
              <w:spacing w:after="0"/>
              <w:rPr>
                <w:sz w:val="19"/>
                <w:szCs w:val="19"/>
                <w:color w:val="auto"/>
              </w:rPr>
            </w:pPr>
          </w:p>
        </w:tc>
        <w:tc>
          <w:tcPr>
            <w:tcW w:w="920" w:type="dxa"/>
            <w:vAlign w:val="bottom"/>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7,579</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operating profit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4,737</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Divested/planned divested operating profit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cemetery trust operating profit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2,287</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2,868</w:t>
            </w:r>
          </w:p>
        </w:tc>
        <w:tc>
          <w:tcPr>
            <w:tcW w:w="0" w:type="dxa"/>
            <w:vAlign w:val="bottom"/>
          </w:tcPr>
          <w:p>
            <w:pPr>
              <w:spacing w:after="0"/>
              <w:rPr>
                <w:sz w:val="1"/>
                <w:szCs w:val="1"/>
                <w:color w:val="auto"/>
              </w:rPr>
            </w:pPr>
          </w:p>
        </w:tc>
      </w:tr>
      <w:tr>
        <w:trPr>
          <w:trHeight w:val="21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Preneed cemetery finance charges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7,669</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15,830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7"/>
                <w:szCs w:val="17"/>
                <w:color w:val="auto"/>
              </w:rPr>
              <w:t>The following measures reflect the significant metrics over this comparative period: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Same store: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Preneed revenue as a percentage of operating revenue</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61%</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revenue (in thousands)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10,338</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Atneed revenue (in thousands)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4,524</w:t>
            </w:r>
          </w:p>
        </w:tc>
        <w:tc>
          <w:tcPr>
            <w:tcW w:w="220" w:type="dxa"/>
            <w:vAlign w:val="bottom"/>
          </w:tcPr>
          <w:p>
            <w:pPr>
              <w:spacing w:after="0"/>
              <w:rPr>
                <w:sz w:val="19"/>
                <w:szCs w:val="19"/>
                <w:color w:val="auto"/>
              </w:rPr>
            </w:pPr>
          </w:p>
        </w:tc>
        <w:tc>
          <w:tcPr>
            <w:tcW w:w="920" w:type="dxa"/>
            <w:vAlign w:val="bottom"/>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6,178</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preneed interment rights sold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Average price per interment right sold</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3,964</w:t>
            </w:r>
          </w:p>
        </w:tc>
        <w:tc>
          <w:tcPr>
            <w:tcW w:w="220" w:type="dxa"/>
            <w:vAlign w:val="bottom"/>
          </w:tcPr>
          <w:p>
            <w:pPr>
              <w:spacing w:after="0"/>
              <w:rPr>
                <w:sz w:val="19"/>
                <w:szCs w:val="19"/>
                <w:color w:val="auto"/>
              </w:rPr>
            </w:pPr>
          </w:p>
        </w:tc>
        <w:tc>
          <w:tcPr>
            <w:tcW w:w="920" w:type="dxa"/>
            <w:vAlign w:val="bottom"/>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4,111</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Preneed revenue as a percentage of operating revenue</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62%</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revenue (in thousands)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2,523</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6,055</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Atneed revenue (in thousands)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1,533</w:t>
            </w:r>
          </w:p>
        </w:tc>
        <w:tc>
          <w:tcPr>
            <w:tcW w:w="220" w:type="dxa"/>
            <w:vAlign w:val="bottom"/>
          </w:tcPr>
          <w:p>
            <w:pPr>
              <w:spacing w:after="0"/>
              <w:rPr>
                <w:sz w:val="19"/>
                <w:szCs w:val="19"/>
                <w:color w:val="auto"/>
              </w:rPr>
            </w:pPr>
          </w:p>
        </w:tc>
        <w:tc>
          <w:tcPr>
            <w:tcW w:w="920" w:type="dxa"/>
            <w:vAlign w:val="bottom"/>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2,120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preneed interment rights sold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Average price per interment right sold</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4,273</w:t>
            </w:r>
          </w:p>
        </w:tc>
        <w:tc>
          <w:tcPr>
            <w:tcW w:w="220" w:type="dxa"/>
            <w:vAlign w:val="bottom"/>
          </w:tcPr>
          <w:p>
            <w:pPr>
              <w:spacing w:after="0"/>
              <w:rPr>
                <w:sz w:val="18"/>
                <w:szCs w:val="18"/>
                <w:color w:val="auto"/>
              </w:rPr>
            </w:pPr>
          </w:p>
        </w:tc>
        <w:tc>
          <w:tcPr>
            <w:tcW w:w="920" w:type="dxa"/>
            <w:vAlign w:val="bottom"/>
          </w:tcPr>
          <w:p>
            <w:pPr>
              <w:jc w:val="right"/>
              <w:ind w:right="71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5,704</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Cemetery same store preneed revenue increased $3.3 million for the three months ended June 30, 2021 compared to the same period in 2020, as we experienced a 28.7% increase in the number of interments rights sold, as well as a 3.7% increase in the average price per interment right sold. The increase is primarily due to (1) our sales personnel being less impacted by social distancing restrictions that were in place in the second quarter of 2020 due to COVID-19; and (2) the execution of the initial stages of our two year cemetery sales strategy of building high performance sales teams and standardized sales systems across our portfolio of cemeteries. Cemetery same store atneed revenue, which represents 37% of our same store operating revenue, increased $1.7 million as we experienced a 17.2% increase in same store atneed contracts and a 16.5% increase in the average sale per contract for the three months ended June 30, 2021 compared to the same period in 2020. This increase is primarily due to the increased number of deaths in 2021 related to COVID-19.</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5" w:name="page56"/>
    <w:bookmarkEnd w:id="55"/>
    <w:p>
      <w:pPr>
        <w:jc w:val="both"/>
        <w:ind w:firstLine="387"/>
        <w:spacing w:after="0" w:line="278" w:lineRule="auto"/>
        <w:rPr>
          <w:sz w:val="20"/>
          <w:szCs w:val="20"/>
          <w:color w:val="auto"/>
        </w:rPr>
      </w:pPr>
      <w:r>
        <w:rPr>
          <w:rFonts w:ascii="Arial" w:cs="Arial" w:eastAsia="Arial" w:hAnsi="Arial"/>
          <w:sz w:val="16"/>
          <w:szCs w:val="16"/>
          <w:color w:val="auto"/>
        </w:rPr>
        <w:t>Cemetery same store operating profit for the three months ended June 30, 2021 increased $3.9 million from the same period in 2020. The comparable operating profit margin increased 1,420 basis points to 45.9% primarily as a result of the increase in operating revenue, along with disciplined expense and cost management by leaders at each business. Operating expenses as a percent of operating revenue decreased 14.2% in the three months ended June 30, 2021 compared to the same period in 2020. The largest decrease was in salaries and benefits expense, which decreased 3.4% as a percent of operating revenue as we increased revenue without adding extra personnel. We also experienced decreases as a percentage of revenue in the following areas: (1) allowance for credit losses decreased 3.1%; (2) general liability insurance costs decreased 1.4%; and (3) promotional expenses decreased 1.3%.</w:t>
      </w:r>
    </w:p>
    <w:p>
      <w:pPr>
        <w:spacing w:after="0" w:line="6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There are three businesses in our acquired cemetery portfolio, two of which were acquired in the fourth quarter of 2019 and one acquired in the first quarter of 2020. In the first quarter of 2020, we hired new sales leadership at two of the newly acquired cemeteries and continue to build their respective sales teams as we execute the initial stages of our two year cemetery sales strategy of building high performance sales teams and standardized sales systems across our portfolio of cemeteries. As a result, our acquired cemetery portfolio experienced a $3.5 million increase in preneed revenue and a $0.6 million increase in atneed revenue for the three months ended June 30, 2021 compared to the same period in 2020.</w:t>
      </w:r>
    </w:p>
    <w:p>
      <w:pPr>
        <w:spacing w:after="0" w:line="77" w:lineRule="exact"/>
        <w:rPr>
          <w:sz w:val="20"/>
          <w:szCs w:val="20"/>
          <w:color w:val="auto"/>
        </w:rPr>
      </w:pPr>
    </w:p>
    <w:p>
      <w:pPr>
        <w:jc w:val="both"/>
        <w:ind w:firstLine="387"/>
        <w:spacing w:after="0" w:line="278" w:lineRule="auto"/>
        <w:rPr>
          <w:sz w:val="20"/>
          <w:szCs w:val="20"/>
          <w:color w:val="auto"/>
        </w:rPr>
      </w:pPr>
      <w:r>
        <w:rPr>
          <w:rFonts w:ascii="Arial" w:cs="Arial" w:eastAsia="Arial" w:hAnsi="Arial"/>
          <w:sz w:val="16"/>
          <w:szCs w:val="16"/>
          <w:color w:val="auto"/>
        </w:rPr>
        <w:t>Cemetery acquired operating profit increased $3.3 million for three months ended June 30, 2021 from the same period in 2020. The comparable operating profit margin increased 2,250 basis points to 57.9% primarily as a result of the increase in operating revenue, along with disciplined expense and cost management by leaders at each business. Operating expenses as a percent of operating revenue decreased 22.6% in the three months ended June 30, 2021 compared to the same period in 2020. The largest decrease was in salaries and benefits expense, which decreased 10.7% as a percent of operating revenue as we increased revenue without adding extra personnel. We also experienced decreases as a percentage of revenue in the following areas: (1) promotional expenses decreased 5.6%; (2) merchandise and services costs decreased 3.1%; and (3) general liability insurance costs decreased 1.2%.</w:t>
      </w:r>
    </w:p>
    <w:p>
      <w:pPr>
        <w:spacing w:after="0" w:line="64" w:lineRule="exact"/>
        <w:rPr>
          <w:sz w:val="20"/>
          <w:szCs w:val="20"/>
          <w:color w:val="auto"/>
        </w:rPr>
      </w:pPr>
    </w:p>
    <w:p>
      <w:pPr>
        <w:jc w:val="both"/>
        <w:ind w:firstLine="387"/>
        <w:spacing w:after="0" w:line="299" w:lineRule="auto"/>
        <w:rPr>
          <w:sz w:val="20"/>
          <w:szCs w:val="20"/>
          <w:color w:val="auto"/>
        </w:rPr>
      </w:pPr>
      <w:r>
        <w:rPr>
          <w:rFonts w:ascii="Arial" w:cs="Arial" w:eastAsia="Arial" w:hAnsi="Arial"/>
          <w:sz w:val="15"/>
          <w:szCs w:val="15"/>
          <w:color w:val="auto"/>
        </w:rPr>
        <w:t xml:space="preserve">Preneed cemetery trust revenue and preneed cemetery finance charges (recorded in </w:t>
      </w:r>
      <w:r>
        <w:rPr>
          <w:rFonts w:ascii="Arial" w:cs="Arial" w:eastAsia="Arial" w:hAnsi="Arial"/>
          <w:sz w:val="15"/>
          <w:szCs w:val="15"/>
          <w:i w:val="1"/>
          <w:iCs w:val="1"/>
          <w:color w:val="auto"/>
        </w:rPr>
        <w:t>Other revenue)</w:t>
      </w:r>
      <w:r>
        <w:rPr>
          <w:rFonts w:ascii="Arial" w:cs="Arial" w:eastAsia="Arial" w:hAnsi="Arial"/>
          <w:sz w:val="15"/>
          <w:szCs w:val="15"/>
          <w:color w:val="auto"/>
        </w:rPr>
        <w:t xml:space="preserve"> on a combined basis increased $0.7 million for the three months ended June 30, 2021 compared to the same period in 2020. The increase in our trust fund income is primarily due to our execution of a major repositioning strategy beginning at the height of the COVID-19 market crisis in March 2020, substantially increasing our preneed cemetery trust revenue and operating profit. We experienced a $0.6 million increase in income and a $0.1 million increase in realized capital gains primarily within our perpetual care trusts in the three months ended June 30, 2021 compared to the same period of 2020. Operating profit for the two categories of </w:t>
      </w:r>
      <w:r>
        <w:rPr>
          <w:rFonts w:ascii="Arial" w:cs="Arial" w:eastAsia="Arial" w:hAnsi="Arial"/>
          <w:sz w:val="15"/>
          <w:szCs w:val="15"/>
          <w:i w:val="1"/>
          <w:iCs w:val="1"/>
          <w:color w:val="auto"/>
        </w:rPr>
        <w:t>Other revenue</w:t>
      </w:r>
      <w:r>
        <w:rPr>
          <w:rFonts w:ascii="Arial" w:cs="Arial" w:eastAsia="Arial" w:hAnsi="Arial"/>
          <w:sz w:val="15"/>
          <w:szCs w:val="15"/>
          <w:color w:val="auto"/>
        </w:rPr>
        <w:t>, on a combined basis, increased $0.6 million for three months ended June 30, 2021 compared to the same period in 2020 primarily due to the increase in our perpetual care trust revenue.</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certain information regarding our Revenue and Operating profit from our cemetery operations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0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Same store operating revenue</w:t>
            </w:r>
          </w:p>
        </w:tc>
        <w:tc>
          <w:tcPr>
            <w:tcW w:w="41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22,439</w:t>
            </w:r>
          </w:p>
        </w:tc>
        <w:tc>
          <w:tcPr>
            <w:tcW w:w="220" w:type="dxa"/>
            <w:vAlign w:val="bottom"/>
          </w:tcPr>
          <w:p>
            <w:pPr>
              <w:spacing w:after="0"/>
              <w:rPr>
                <w:sz w:val="19"/>
                <w:szCs w:val="19"/>
                <w:color w:val="auto"/>
              </w:rPr>
            </w:pPr>
          </w:p>
        </w:tc>
        <w:tc>
          <w:tcPr>
            <w:tcW w:w="86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31,083</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operating revenue</w:t>
            </w:r>
          </w:p>
        </w:tc>
        <w:tc>
          <w:tcPr>
            <w:tcW w:w="3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15,155</w:t>
            </w: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Divested/planned divested revenue</w:t>
            </w:r>
          </w:p>
        </w:tc>
        <w:tc>
          <w:tcPr>
            <w:tcW w:w="3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261</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cemetery trust revenue</w:t>
            </w:r>
          </w:p>
        </w:tc>
        <w:tc>
          <w:tcPr>
            <w:tcW w:w="3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4,067</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5,856</w:t>
            </w:r>
          </w:p>
        </w:tc>
        <w:tc>
          <w:tcPr>
            <w:tcW w:w="0" w:type="dxa"/>
            <w:vAlign w:val="bottom"/>
          </w:tcPr>
          <w:p>
            <w:pPr>
              <w:spacing w:after="0"/>
              <w:rPr>
                <w:sz w:val="1"/>
                <w:szCs w:val="1"/>
                <w:color w:val="auto"/>
              </w:rPr>
            </w:pPr>
          </w:p>
        </w:tc>
      </w:tr>
      <w:tr>
        <w:trPr>
          <w:trHeight w:val="219"/>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Preneed cemetery finance charges</w:t>
            </w:r>
          </w:p>
        </w:tc>
        <w:tc>
          <w:tcPr>
            <w:tcW w:w="37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w:t>
            </w: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3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34,104</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3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profit:</w:t>
            </w:r>
          </w:p>
        </w:tc>
        <w:tc>
          <w:tcPr>
            <w:tcW w:w="3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Same store operating profit</w:t>
            </w:r>
          </w:p>
        </w:tc>
        <w:tc>
          <w:tcPr>
            <w:tcW w:w="41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6,838</w:t>
            </w:r>
          </w:p>
        </w:tc>
        <w:tc>
          <w:tcPr>
            <w:tcW w:w="220" w:type="dxa"/>
            <w:vAlign w:val="bottom"/>
          </w:tcPr>
          <w:p>
            <w:pPr>
              <w:spacing w:after="0"/>
              <w:rPr>
                <w:sz w:val="19"/>
                <w:szCs w:val="19"/>
                <w:color w:val="auto"/>
              </w:rPr>
            </w:pPr>
          </w:p>
        </w:tc>
        <w:tc>
          <w:tcPr>
            <w:tcW w:w="86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13,284</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operating profit</w:t>
            </w:r>
          </w:p>
        </w:tc>
        <w:tc>
          <w:tcPr>
            <w:tcW w:w="3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8,839</w:t>
            </w: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Divested/planned divested operating profit</w:t>
            </w:r>
          </w:p>
        </w:tc>
        <w:tc>
          <w:tcPr>
            <w:tcW w:w="3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cemetery trust operating profit</w:t>
            </w:r>
          </w:p>
        </w:tc>
        <w:tc>
          <w:tcPr>
            <w:tcW w:w="3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5,608</w:t>
            </w:r>
          </w:p>
        </w:tc>
        <w:tc>
          <w:tcPr>
            <w:tcW w:w="0" w:type="dxa"/>
            <w:vAlign w:val="bottom"/>
          </w:tcPr>
          <w:p>
            <w:pPr>
              <w:spacing w:after="0"/>
              <w:rPr>
                <w:sz w:val="1"/>
                <w:szCs w:val="1"/>
                <w:color w:val="auto"/>
              </w:rPr>
            </w:pPr>
          </w:p>
        </w:tc>
      </w:tr>
      <w:tr>
        <w:trPr>
          <w:trHeight w:val="219"/>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Preneed cemetery finance charges</w:t>
            </w:r>
          </w:p>
        </w:tc>
        <w:tc>
          <w:tcPr>
            <w:tcW w:w="37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w:t>
            </w: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3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13,489</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28,711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114"/>
              <w:spacing w:after="0"/>
              <w:rPr>
                <w:sz w:val="20"/>
                <w:szCs w:val="20"/>
                <w:color w:val="auto"/>
              </w:rPr>
            </w:pPr>
            <w:r>
              <w:rPr>
                <w:rFonts w:ascii="Arial" w:cs="Arial" w:eastAsia="Arial" w:hAnsi="Arial"/>
                <w:sz w:val="17"/>
                <w:szCs w:val="17"/>
                <w:color w:val="auto"/>
              </w:rPr>
              <w:t>- 59 -</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30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0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6" w:name="page57"/>
    <w:bookmarkEnd w:id="56"/>
    <w:p>
      <w:pPr>
        <w:ind w:left="400"/>
        <w:spacing w:after="0"/>
        <w:rPr>
          <w:sz w:val="20"/>
          <w:szCs w:val="20"/>
          <w:color w:val="auto"/>
        </w:rPr>
      </w:pPr>
      <w:r>
        <w:rPr>
          <w:rFonts w:ascii="Arial" w:cs="Arial" w:eastAsia="Arial" w:hAnsi="Arial"/>
          <w:sz w:val="17"/>
          <w:szCs w:val="17"/>
          <w:color w:val="auto"/>
        </w:rPr>
        <w:t>The following measures reflect the significant metrics over this comparative period: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r>
      <w:tr>
        <w:trPr>
          <w:trHeight w:val="200"/>
        </w:trPr>
        <w:tc>
          <w:tcPr>
            <w:tcW w:w="80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Same store:</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Preneed revenue as a percentage of operating revenue</w:t>
            </w:r>
          </w:p>
        </w:tc>
        <w:tc>
          <w:tcPr>
            <w:tcW w:w="4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59%</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60%</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revenue (in thousands)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18,778</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Atneed revenue (in thousands)</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9,104</w:t>
            </w:r>
          </w:p>
        </w:tc>
        <w:tc>
          <w:tcPr>
            <w:tcW w:w="220" w:type="dxa"/>
            <w:vAlign w:val="bottom"/>
          </w:tcPr>
          <w:p>
            <w:pPr>
              <w:spacing w:after="0"/>
              <w:rPr>
                <w:sz w:val="19"/>
                <w:szCs w:val="19"/>
                <w:color w:val="auto"/>
              </w:rPr>
            </w:pPr>
          </w:p>
        </w:tc>
        <w:tc>
          <w:tcPr>
            <w:tcW w:w="86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12,305</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preneed interment rights sold</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3,306</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4,129</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Average price per interment right sold</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3,803</w:t>
            </w:r>
          </w:p>
        </w:tc>
        <w:tc>
          <w:tcPr>
            <w:tcW w:w="220" w:type="dxa"/>
            <w:vAlign w:val="bottom"/>
          </w:tcPr>
          <w:p>
            <w:pPr>
              <w:spacing w:after="0"/>
              <w:rPr>
                <w:sz w:val="19"/>
                <w:szCs w:val="19"/>
                <w:color w:val="auto"/>
              </w:rPr>
            </w:pPr>
          </w:p>
        </w:tc>
        <w:tc>
          <w:tcPr>
            <w:tcW w:w="86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4,012</w:t>
            </w:r>
          </w:p>
        </w:tc>
      </w:tr>
      <w:tr>
        <w:trPr>
          <w:trHeight w:val="246"/>
        </w:trPr>
        <w:tc>
          <w:tcPr>
            <w:tcW w:w="80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45"/>
        </w:trPr>
        <w:tc>
          <w:tcPr>
            <w:tcW w:w="8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Preneed revenue as a percentage of operating revenue</w:t>
            </w:r>
          </w:p>
        </w:tc>
        <w:tc>
          <w:tcPr>
            <w:tcW w:w="4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62%</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69%</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revenue (in thousands)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4,258</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10,498</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Atneed revenue (in thousands)</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2,597</w:t>
            </w:r>
          </w:p>
        </w:tc>
        <w:tc>
          <w:tcPr>
            <w:tcW w:w="220" w:type="dxa"/>
            <w:vAlign w:val="bottom"/>
          </w:tcPr>
          <w:p>
            <w:pPr>
              <w:spacing w:after="0"/>
              <w:rPr>
                <w:sz w:val="19"/>
                <w:szCs w:val="19"/>
                <w:color w:val="auto"/>
              </w:rPr>
            </w:pPr>
          </w:p>
        </w:tc>
        <w:tc>
          <w:tcPr>
            <w:tcW w:w="86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4,657</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preneed interment rights sold</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w:t>
            </w: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Average price per interment right sold</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4,422</w:t>
            </w:r>
          </w:p>
        </w:tc>
        <w:tc>
          <w:tcPr>
            <w:tcW w:w="220" w:type="dxa"/>
            <w:vAlign w:val="bottom"/>
          </w:tcPr>
          <w:p>
            <w:pPr>
              <w:spacing w:after="0"/>
              <w:rPr>
                <w:sz w:val="18"/>
                <w:szCs w:val="18"/>
                <w:color w:val="auto"/>
              </w:rPr>
            </w:pPr>
          </w:p>
        </w:tc>
        <w:tc>
          <w:tcPr>
            <w:tcW w:w="86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5,745</w:t>
            </w:r>
          </w:p>
        </w:tc>
      </w:tr>
    </w:tbl>
    <w:p>
      <w:pPr>
        <w:spacing w:after="0" w:line="183"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Cemetery same store preneed revenue increased $5.4 million for the six months ended June 30, 2021 compared to the same period in 2020, as we experienced a 24.9% increase in the number of interments rights sold, as well as a 5.5% increase in the average price per interment right sold. The increase is primarily due to (1) our sales personnel being less impacted by social distancing restrictions that were in place in 2020 due to COVID-19; and (2) the execution of the initial stages of our two year cemetery sales strategy of building high performance sales teams and standardized sales systems across our portfolio of cemeteries. Cemetery same store atneed revenue, which represents 40% of our same store operating revenue, increased $3.2 million for the six months ended June 30, 2021 compared to the same period in 2020. The increase was a result of a 20.4% increase in same store atneed contracts and a 12.2% increase in the average sale per contract, primarily due to the increased deaths in 2021 related to COVID-19.</w:t>
      </w:r>
    </w:p>
    <w:p>
      <w:pPr>
        <w:spacing w:after="0" w:line="68" w:lineRule="exact"/>
        <w:rPr>
          <w:sz w:val="20"/>
          <w:szCs w:val="20"/>
          <w:color w:val="auto"/>
        </w:rPr>
      </w:pPr>
    </w:p>
    <w:p>
      <w:pPr>
        <w:jc w:val="both"/>
        <w:ind w:firstLine="387"/>
        <w:spacing w:after="0" w:line="278" w:lineRule="auto"/>
        <w:rPr>
          <w:sz w:val="20"/>
          <w:szCs w:val="20"/>
          <w:color w:val="auto"/>
        </w:rPr>
      </w:pPr>
      <w:r>
        <w:rPr>
          <w:rFonts w:ascii="Arial" w:cs="Arial" w:eastAsia="Arial" w:hAnsi="Arial"/>
          <w:sz w:val="16"/>
          <w:szCs w:val="16"/>
          <w:color w:val="auto"/>
        </w:rPr>
        <w:t>Cemetery same store operating profit increased $6.4 million for the six months ended June 30, 2021 compared to the same period in 2020. The comparable operating profit margin increased 1,220 basis points to 42.7% primarily as a result of the increase in operating revenue, along with disciplined expense and cost management by leaders at each business. Operating expenses as a percent of operating revenue decreased 12.2% in the six months ended June 30, 2021 compared to the same period in 2020. The largest decrease was in salaries and benefits expense, which decreased 4.0% as a percent of operating revenue as we increased revenue without adding extra personnel. We also experienced decreases as a percentage of revenue in the following areas: (1) allowance for credit losses decreased 1.7%; (2) promotional expenses decreased 1.5%; and (3) general liability insurance costs decreased 1.4%.</w:t>
      </w:r>
    </w:p>
    <w:p>
      <w:pPr>
        <w:spacing w:after="0" w:line="6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There are three businesses in our acquired cemetery portfolio, two of which were acquired in the fourth quarter of 2019 and one acquired in the first quarter of 2020. In the first quarter of 2020, we hired new sales leadership at two of the newly acquired cemeteries and continue to build their respective sales teams as we execute the initial stages of our two year cemetery sales strategy of building high performance sales teams and standardized sales systems across our portfolio of cemeteries. As a result, our acquired cemetery portfolio experienced a $6.2 million increase in preneed revenue and a $2.1 million increase in atneed revenue for the six months ended June 30, 2021 compared to the same period in 2020.</w:t>
      </w:r>
    </w:p>
    <w:p>
      <w:pPr>
        <w:spacing w:after="0" w:line="77" w:lineRule="exact"/>
        <w:rPr>
          <w:sz w:val="20"/>
          <w:szCs w:val="20"/>
          <w:color w:val="auto"/>
        </w:rPr>
      </w:pPr>
    </w:p>
    <w:p>
      <w:pPr>
        <w:jc w:val="both"/>
        <w:ind w:firstLine="387"/>
        <w:spacing w:after="0" w:line="278" w:lineRule="auto"/>
        <w:rPr>
          <w:sz w:val="20"/>
          <w:szCs w:val="20"/>
          <w:color w:val="auto"/>
        </w:rPr>
      </w:pPr>
      <w:r>
        <w:rPr>
          <w:rFonts w:ascii="Arial" w:cs="Arial" w:eastAsia="Arial" w:hAnsi="Arial"/>
          <w:sz w:val="16"/>
          <w:szCs w:val="16"/>
          <w:color w:val="auto"/>
        </w:rPr>
        <w:t>Cemetery acquired operating profit increased $6.6 million for six months ended June 30, 2021 compared to the same period in 2020. The comparable operating profit margin increased 2,530 basis points to 58.3% primarily as a result of the increase in operating revenue, along with disciplined expense and cost management by leaders at each business. Operating expenses as a percent of operating revenue decreased 25.3% in the six months ended June 30, 2021 compared to the same period in 2020. The largest decrease was in salaries and benefits expense, which decreased 13.1% as a percent of operating revenue as we increased revenue without adding extra personnel. We also experienced decreases as a percentage of revenue in the following areas: (1) promotional expenses decreased 4.8%; (2) merchandise and services costs decreased 2.2%; and (3) general liability insurance costs decreased 2.1%.</w:t>
      </w:r>
    </w:p>
    <w:p>
      <w:pPr>
        <w:spacing w:after="0" w:line="64"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 xml:space="preserve">Preneed cemetery trust revenue and preneed cemetery finance charges (recorded in </w:t>
      </w:r>
      <w:r>
        <w:rPr>
          <w:rFonts w:ascii="Arial" w:cs="Arial" w:eastAsia="Arial" w:hAnsi="Arial"/>
          <w:sz w:val="16"/>
          <w:szCs w:val="16"/>
          <w:i w:val="1"/>
          <w:iCs w:val="1"/>
          <w:color w:val="auto"/>
        </w:rPr>
        <w:t>Other revenue)</w:t>
      </w:r>
      <w:r>
        <w:rPr>
          <w:rFonts w:ascii="Arial" w:cs="Arial" w:eastAsia="Arial" w:hAnsi="Arial"/>
          <w:sz w:val="16"/>
          <w:szCs w:val="16"/>
          <w:color w:val="auto"/>
        </w:rPr>
        <w:t xml:space="preserve"> on a combined basis increased $1.8 million for the six months ended June 30, 2021 compared to the same period in 2020. The increase in our trust fund income is primarily due to our execution of a major repositioning strategy beginning at the height of the COVID-19 market crisis in March 2020, substantially increasing our preneed cemetery trust revenue and operating profit. We experienced a $1.3 million increase in income and a $0.5 million increase in realized capital gains primarily within our perpetual care trusts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7" w:name="page58"/>
    <w:bookmarkEnd w:id="57"/>
    <w:p>
      <w:pPr>
        <w:jc w:val="both"/>
        <w:spacing w:after="0" w:line="349" w:lineRule="auto"/>
        <w:rPr>
          <w:sz w:val="20"/>
          <w:szCs w:val="20"/>
          <w:color w:val="auto"/>
        </w:rPr>
      </w:pPr>
      <w:r>
        <w:rPr>
          <w:rFonts w:ascii="Arial" w:cs="Arial" w:eastAsia="Arial" w:hAnsi="Arial"/>
          <w:sz w:val="15"/>
          <w:szCs w:val="15"/>
          <w:color w:val="auto"/>
        </w:rPr>
        <w:t xml:space="preserve">for the six months ended June 30, 2021 compared to the same period of 2020. Operating profit for the two categories of </w:t>
      </w:r>
      <w:r>
        <w:rPr>
          <w:rFonts w:ascii="Arial" w:cs="Arial" w:eastAsia="Arial" w:hAnsi="Arial"/>
          <w:sz w:val="15"/>
          <w:szCs w:val="15"/>
          <w:i w:val="1"/>
          <w:iCs w:val="1"/>
          <w:color w:val="auto"/>
        </w:rPr>
        <w:t>Other revenue</w:t>
      </w:r>
      <w:r>
        <w:rPr>
          <w:rFonts w:ascii="Arial" w:cs="Arial" w:eastAsia="Arial" w:hAnsi="Arial"/>
          <w:sz w:val="15"/>
          <w:szCs w:val="15"/>
          <w:color w:val="auto"/>
        </w:rPr>
        <w:t>, on a combined basis, increased $1.8 million for six months ended June 30, 2021 compared to the same period in 2020 primarily due to the increase in preneed cemetery trust revenue.</w:t>
      </w:r>
    </w:p>
    <w:p>
      <w:pPr>
        <w:spacing w:after="0" w:line="1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i w:val="1"/>
          <w:iCs w:val="1"/>
          <w:color w:val="auto"/>
        </w:rPr>
        <w:t>Cemetery property amortization</w:t>
      </w:r>
      <w:r>
        <w:rPr>
          <w:rFonts w:ascii="Arial" w:cs="Arial" w:eastAsia="Arial" w:hAnsi="Arial"/>
          <w:sz w:val="17"/>
          <w:szCs w:val="17"/>
          <w:color w:val="auto"/>
        </w:rPr>
        <w:t>. Cemetery property amortization totaled $2.2 million and $3.7 million for the three and six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increases of $1.1 million and $1.7 million, respectively, compared to the same periods in prior year primarily due to the increase in property sold across our cemetery portfolio.</w:t>
      </w:r>
    </w:p>
    <w:p>
      <w:pPr>
        <w:spacing w:after="0" w:line="7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i w:val="1"/>
          <w:iCs w:val="1"/>
          <w:color w:val="auto"/>
        </w:rPr>
        <w:t xml:space="preserve">Field depreciation. </w:t>
      </w:r>
      <w:r>
        <w:rPr>
          <w:rFonts w:ascii="Arial" w:cs="Arial" w:eastAsia="Arial" w:hAnsi="Arial"/>
          <w:sz w:val="17"/>
          <w:szCs w:val="17"/>
          <w:color w:val="auto"/>
        </w:rPr>
        <w:t>Depreciation expense for our field businesses totaled $3.1 million and $6.3 million for the three and six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decreases of $0.1 million and $0.3 million, respectively, compared to the same periods in prior year primarily due to building structures and older vehicles becoming fully depreciated without any newly acquired building structures and vehicles to offset the decrease.</w:t>
      </w:r>
    </w:p>
    <w:p>
      <w:pPr>
        <w:spacing w:after="0" w:line="73"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i w:val="1"/>
          <w:iCs w:val="1"/>
          <w:color w:val="auto"/>
        </w:rPr>
        <w:t xml:space="preserve">Regional and unallocated funeral and cemetery costs. </w:t>
      </w:r>
      <w:r>
        <w:rPr>
          <w:rFonts w:ascii="Arial" w:cs="Arial" w:eastAsia="Arial" w:hAnsi="Arial"/>
          <w:sz w:val="17"/>
          <w:szCs w:val="17"/>
          <w:color w:val="auto"/>
        </w:rPr>
        <w:t>Regional and unallocated funeral and cemetery costs consist of salaries and benefits for regional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field incentive compensation and other related costs for field infrastructure. Regional and unallocated funeral and cemetery costs totaled $5.8 million for the three months ended June 30, 2021, an increase of $2.1 million primarily due to the following: (1) a $1.7 million increase in cash incentives and equity compensation, as a result of our improved performance, which reinforces our strategy of aligning incentives with long-term value creation; (2) a $0.5 million increase in salary and benefits expenses, which includes our Chief Operating Officer hired in June 2020 and three cemetery directors of sales support hired in the second half of 2020; (3) a $0.3 million increase in other general administrative costs, which includes higher travel and advertising costs; and (4) a $0.1 million increase in separation expenses; offset by (5) a $0.4 million decrease in state audit assessments and (6) a $0.1 million decrease in health and safety expenses related to the COVID-19 pandemic.</w:t>
      </w:r>
    </w:p>
    <w:p>
      <w:pPr>
        <w:spacing w:after="0" w:line="81"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Regional and unallocated funeral and cemetery costs totaled $11.8 million for the six months ended June 30, 2021, an increase of $5.4 million primarily due to the following: (1) a $4.2 million increase in cash incentives and equity compensation, as a result of our improved performance, which reinforces our strategy of aligning incentives with long-term value creation; (2) $0.7 million increase in salary and benefits expenses, which includes our Chief Operating Officer hired in June 2020 and three cemetery directors of sales support hired in the second half of 2020; (3) a $0.6 million increase in health and safety expenses related to the COVID-19 pandemic; and (4) a $0.3 million increase in other general administrative costs, which includes higher travel and advertising costs; offset by (5) a $0.4 million decrease in state audit assessments.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Financial Statement Items</w:t>
      </w:r>
    </w:p>
    <w:p>
      <w:pPr>
        <w:spacing w:after="0" w:line="11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i w:val="1"/>
          <w:iCs w:val="1"/>
          <w:color w:val="auto"/>
        </w:rPr>
        <w:t xml:space="preserve">General, administrative and other. </w:t>
      </w:r>
      <w:r>
        <w:rPr>
          <w:rFonts w:ascii="Arial" w:cs="Arial" w:eastAsia="Arial" w:hAnsi="Arial"/>
          <w:sz w:val="17"/>
          <w:szCs w:val="17"/>
          <w:color w:val="auto"/>
        </w:rPr>
        <w:t>General, administrative and other expenses totaled $6.9 million for the three months ended June 30, 2021,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$0.4 million compared to the three months ended June 30, 2020. The increase was primarily attributable to the following: (1) a $0.4 million increase in cash incentives and equity compensation, as a result of our improved performance, which reinforces our strategy of aligning incentives with long-term value creation; and (2) a $0.2 million increase in other general administrative costs, which includes higher online marketing and advertising costs and software license fees for new technology; offset by (3) a $0.2 million decrease in litigation reserve.</w:t>
      </w:r>
    </w:p>
    <w:p>
      <w:pPr>
        <w:spacing w:after="0" w:line="77" w:lineRule="exact"/>
        <w:rPr>
          <w:sz w:val="20"/>
          <w:szCs w:val="20"/>
          <w:color w:val="auto"/>
        </w:rPr>
      </w:pPr>
    </w:p>
    <w:p>
      <w:pPr>
        <w:jc w:val="both"/>
        <w:ind w:firstLine="387"/>
        <w:spacing w:after="0" w:line="302" w:lineRule="auto"/>
        <w:rPr>
          <w:sz w:val="20"/>
          <w:szCs w:val="20"/>
          <w:color w:val="auto"/>
        </w:rPr>
      </w:pPr>
      <w:r>
        <w:rPr>
          <w:rFonts w:ascii="Arial" w:cs="Arial" w:eastAsia="Arial" w:hAnsi="Arial"/>
          <w:sz w:val="15"/>
          <w:szCs w:val="15"/>
          <w:color w:val="auto"/>
        </w:rPr>
        <w:t>General, administrative and other expenses totaled $15.7 million for the six months ended June 30, 2021, an increase of $3.2 million compared to the six months ended June 30, 2020. The increase was primarily attributable to the following: (1) a $1.8 million increase in cash incentives and equity compensation, as a result of our improved performance, which reinforces our strategy of aligning incentives with long-term value creation; (2) a $1.2 million increase in separation expenses related to the resignation of two members of senior leadership; and (3) a $0.5 million increase in other general administrative costs, which includes higher online marketing and advertising costs and software license fees for new technology, offset by (4) a $0.3 million decrease in litigation reserve.</w:t>
      </w:r>
    </w:p>
    <w:p>
      <w:pPr>
        <w:spacing w:after="0" w:line="51"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i w:val="1"/>
          <w:iCs w:val="1"/>
          <w:color w:val="auto"/>
        </w:rPr>
        <w:t xml:space="preserve">Home office depreciation and amortization. </w:t>
      </w:r>
      <w:r>
        <w:rPr>
          <w:rFonts w:ascii="Arial" w:cs="Arial" w:eastAsia="Arial" w:hAnsi="Arial"/>
          <w:sz w:val="16"/>
          <w:szCs w:val="16"/>
          <w:color w:val="auto"/>
        </w:rPr>
        <w:t>Home office depreciation and amortization expense totaled $0.3 million and $0.6 million for the three and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2021, respectively, decreases of $0.1 million and $0.2 million, respectively, compared to the same periods in prior year primarily due to equipment and software at the home office becoming fully depreciated in the latter half of 2020 without any newly acquired assets to offset the decrease.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8" w:name="page59"/>
    <w:bookmarkEnd w:id="58"/>
    <w:p>
      <w:pPr>
        <w:jc w:val="both"/>
        <w:ind w:firstLine="387"/>
        <w:spacing w:after="0" w:line="276" w:lineRule="auto"/>
        <w:rPr>
          <w:sz w:val="20"/>
          <w:szCs w:val="20"/>
          <w:color w:val="auto"/>
        </w:rPr>
      </w:pPr>
      <w:r>
        <w:rPr>
          <w:rFonts w:ascii="Arial" w:cs="Arial" w:eastAsia="Arial" w:hAnsi="Arial"/>
          <w:sz w:val="17"/>
          <w:szCs w:val="17"/>
          <w:i w:val="1"/>
          <w:iCs w:val="1"/>
          <w:color w:val="auto"/>
        </w:rPr>
        <w:t xml:space="preserve">Net loss on divestitures, disposals and impairments charges. </w:t>
      </w:r>
      <w:r>
        <w:rPr>
          <w:rFonts w:ascii="Arial" w:cs="Arial" w:eastAsia="Arial" w:hAnsi="Arial"/>
          <w:sz w:val="17"/>
          <w:szCs w:val="17"/>
          <w:color w:val="auto"/>
        </w:rPr>
        <w:t>The components of Net loss on divestitures, disposals and impairment charges are as follows (in</w:t>
      </w:r>
      <w:r>
        <w:rPr>
          <w:rFonts w:ascii="Arial" w:cs="Arial" w:eastAsia="Arial" w:hAnsi="Arial"/>
          <w:sz w:val="17"/>
          <w:szCs w:val="17"/>
          <w:i w:val="1"/>
          <w:iCs w:val="1"/>
          <w:color w:val="auto"/>
        </w:rPr>
        <w:t xml:space="preserve"> </w:t>
      </w:r>
      <w:r>
        <w:rPr>
          <w:rFonts w:ascii="Arial" w:cs="Arial" w:eastAsia="Arial" w:hAnsi="Arial"/>
          <w:sz w:val="17"/>
          <w:szCs w:val="17"/>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5"/>
                <w:szCs w:val="15"/>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5"/>
                <w:szCs w:val="15"/>
                <w:b w:val="1"/>
                <w:bCs w:val="1"/>
                <w:color w:val="auto"/>
              </w:rPr>
              <w:t>Six months ended June 30,</w:t>
            </w:r>
          </w:p>
        </w:tc>
        <w:tc>
          <w:tcPr>
            <w:tcW w:w="560" w:type="dxa"/>
            <w:vAlign w:val="bottom"/>
            <w:tcBorders>
              <w:bottom w:val="single" w:sz="8" w:color="auto"/>
            </w:tcBorders>
          </w:tcPr>
          <w:p>
            <w:pPr>
              <w:spacing w:after="0"/>
              <w:rPr>
                <w:sz w:val="17"/>
                <w:szCs w:val="17"/>
                <w:color w:val="auto"/>
              </w:rPr>
            </w:pPr>
          </w:p>
        </w:tc>
      </w:tr>
      <w:tr>
        <w:trPr>
          <w:trHeight w:val="200"/>
        </w:trPr>
        <w:tc>
          <w:tcPr>
            <w:tcW w:w="45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676"/>
              <w:spacing w:after="0"/>
              <w:rPr>
                <w:sz w:val="20"/>
                <w:szCs w:val="20"/>
                <w:color w:val="auto"/>
              </w:rPr>
            </w:pPr>
            <w:r>
              <w:rPr>
                <w:rFonts w:ascii="Arial" w:cs="Arial" w:eastAsia="Arial" w:hAnsi="Arial"/>
                <w:sz w:val="15"/>
                <w:szCs w:val="15"/>
                <w:b w:val="1"/>
                <w:bCs w:val="1"/>
                <w:color w:val="auto"/>
                <w:w w:val="95"/>
              </w:rPr>
              <w:t>2020</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center"/>
              <w:ind w:left="496"/>
              <w:spacing w:after="0"/>
              <w:rPr>
                <w:sz w:val="20"/>
                <w:szCs w:val="20"/>
                <w:color w:val="auto"/>
              </w:rPr>
            </w:pPr>
            <w:r>
              <w:rPr>
                <w:rFonts w:ascii="Arial" w:cs="Arial" w:eastAsia="Arial" w:hAnsi="Arial"/>
                <w:sz w:val="17"/>
                <w:szCs w:val="17"/>
                <w:color w:val="auto"/>
                <w:w w:val="93"/>
              </w:rPr>
              <w:t>—</w:t>
            </w: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Tradename impairment</w:t>
            </w:r>
          </w:p>
        </w:tc>
        <w:tc>
          <w:tcPr>
            <w:tcW w:w="360" w:type="dxa"/>
            <w:vAlign w:val="bottom"/>
          </w:tcPr>
          <w:p>
            <w:pPr>
              <w:spacing w:after="0"/>
              <w:rPr>
                <w:sz w:val="19"/>
                <w:szCs w:val="19"/>
                <w:color w:val="auto"/>
              </w:rPr>
            </w:pPr>
          </w:p>
        </w:tc>
        <w:tc>
          <w:tcPr>
            <w:tcW w:w="1340" w:type="dxa"/>
            <w:vAlign w:val="bottom"/>
            <w:gridSpan w:val="2"/>
          </w:tcPr>
          <w:p>
            <w:pPr>
              <w:jc w:val="center"/>
              <w:ind w:left="496"/>
              <w:spacing w:after="0"/>
              <w:rPr>
                <w:sz w:val="20"/>
                <w:szCs w:val="20"/>
                <w:color w:val="auto"/>
              </w:rPr>
            </w:pPr>
            <w:r>
              <w:rPr>
                <w:rFonts w:ascii="Arial" w:cs="Arial" w:eastAsia="Arial" w:hAnsi="Arial"/>
                <w:sz w:val="17"/>
                <w:szCs w:val="17"/>
                <w:color w:val="auto"/>
                <w:w w:val="93"/>
              </w:rPr>
              <w:t>—</w:t>
            </w:r>
          </w:p>
        </w:tc>
        <w:tc>
          <w:tcPr>
            <w:tcW w:w="102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1,061</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 loss on divestitures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496"/>
              <w:spacing w:after="0"/>
              <w:rPr>
                <w:sz w:val="20"/>
                <w:szCs w:val="20"/>
                <w:color w:val="auto"/>
              </w:rPr>
            </w:pPr>
            <w:r>
              <w:rPr>
                <w:rFonts w:ascii="Arial" w:cs="Arial" w:eastAsia="Arial" w:hAnsi="Arial"/>
                <w:sz w:val="17"/>
                <w:szCs w:val="17"/>
                <w:color w:val="auto"/>
                <w:w w:val="93"/>
              </w:rPr>
              <w: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Net loss on disposals of fixed assets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716"/>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w:t>
            </w:r>
          </w:p>
        </w:tc>
      </w:tr>
      <w:tr>
        <w:trPr>
          <w:trHeight w:val="213"/>
        </w:trPr>
        <w:tc>
          <w:tcPr>
            <w:tcW w:w="4580" w:type="dxa"/>
            <w:vAlign w:val="bottom"/>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center"/>
              <w:ind w:left="496"/>
              <w:spacing w:after="0"/>
              <w:rPr>
                <w:sz w:val="20"/>
                <w:szCs w:val="20"/>
                <w:color w:val="auto"/>
              </w:rPr>
            </w:pPr>
            <w:r>
              <w:rPr>
                <w:rFonts w:ascii="Arial" w:cs="Arial" w:eastAsia="Arial" w:hAnsi="Arial"/>
                <w:sz w:val="17"/>
                <w:szCs w:val="17"/>
                <w:color w:val="auto"/>
                <w:w w:val="93"/>
              </w:rPr>
              <w:t>—</w:t>
            </w:r>
          </w:p>
        </w:tc>
        <w:tc>
          <w:tcPr>
            <w:tcW w:w="102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827</w:t>
            </w:r>
          </w:p>
        </w:tc>
        <w:tc>
          <w:tcPr>
            <w:tcW w:w="24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14,693</w:t>
            </w:r>
          </w:p>
        </w:tc>
        <w:tc>
          <w:tcPr>
            <w:tcW w:w="220" w:type="dxa"/>
            <w:vAlign w:val="bottom"/>
          </w:tcPr>
          <w:p>
            <w:pPr>
              <w:spacing w:after="0"/>
              <w:rPr>
                <w:sz w:val="18"/>
                <w:szCs w:val="18"/>
                <w:color w:val="auto"/>
              </w:rPr>
            </w:pPr>
          </w:p>
        </w:tc>
        <w:tc>
          <w:tcPr>
            <w:tcW w:w="940" w:type="dxa"/>
            <w:vAlign w:val="bottom"/>
          </w:tcPr>
          <w:p>
            <w:pPr>
              <w:jc w:val="right"/>
              <w:ind w:right="734"/>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519</w:t>
            </w:r>
          </w:p>
        </w:tc>
      </w:tr>
      <w:tr>
        <w:trPr>
          <w:trHeight w:val="20"/>
        </w:trPr>
        <w:tc>
          <w:tcPr>
            <w:tcW w:w="4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During the six months ended June 30, 2021, we divested three funeral homes for a net gain of $0.1 million and disposed of fixed assets for a net loss of $0.6 million.</w:t>
      </w:r>
    </w:p>
    <w:p>
      <w:pPr>
        <w:spacing w:after="0" w:line="60"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During the six months ended June 30, 2020, we recorded an impairment for goodwill of $13.6 million as the carrying amount of our funeral homes in the Eastern Region Reporting Unit exceeded the fair value and we recorded an impairment for certain of our tradenames of $1.1 million as the carrying amount of these tradenames exceeded the fair value.</w:t>
      </w:r>
    </w:p>
    <w:p>
      <w:pPr>
        <w:spacing w:after="0" w:line="7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totaled $7.5 million and $15.1 million for the three and six months ended June 30, 2021, respectively, decreases of $0.9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$1.7 million, respectively, compared to the same periods in prior year, primarily due to decreased borrowings and lower interest rates on our Credit Facility, as well as lower interest on our New Senior Notes.</w:t>
      </w:r>
    </w:p>
    <w:p>
      <w:pPr>
        <w:spacing w:after="0" w:line="7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had an income tax benefit of $4.2 million and an income tax expense of $3.4 million for the three months ended June 30, 2021 and 2020,</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and an income tax expense of $1.4 million and $1.3 million for the six months ended June 30, 2021 and 2020, respectively. Our operating tax rate before discrete items was 33.0% and 33.5% for the three months ended June 30, 2021 and 2020, respectively and 28.5% and 33.3% for the six months ended June 30, 2021 and 2020, respectively.</w:t>
      </w:r>
    </w:p>
    <w:p>
      <w:pPr>
        <w:spacing w:after="0" w:line="76"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We filed carryback refund claims for the 2018 and 2019 tax years as allowed by the legislative changes included in the CARES Act. As a result of requesting a tax refund in excess of $5 million, we must receive Joint Committee approval and undergo an audit for the tax year ending December 31, 2018. This audit is currently in progress. In 2020, the 2018 tax return was amended to take full advantage of the CARES Act legislative benefits resulting in additional losses that increase the amount of our carryback refund claim. The majority of the net operating losses generated in 2018 are the result of filing non-automatic accounting method changes relating to the recognition of revenue from our cemetery property and merchandise and services sales. Due to the uncertainty of receiving Internal Revenue Service approval regarding our non-automatic accounting method changes, a reserve has been recorded against the benefit derived from this carrying back that the net operating losses generated. At June 30, 2021, the reserve for uncertain tax positions was $3.7 million.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CRITICAL ACCOUNTING POLICIES AND ESTIMATES</w:t>
      </w:r>
    </w:p>
    <w:p>
      <w:pPr>
        <w:spacing w:after="0" w:line="120" w:lineRule="exact"/>
        <w:rPr>
          <w:sz w:val="20"/>
          <w:szCs w:val="20"/>
          <w:color w:val="auto"/>
        </w:rPr>
      </w:pPr>
    </w:p>
    <w:p>
      <w:pPr>
        <w:jc w:val="both"/>
        <w:ind w:firstLine="387"/>
        <w:spacing w:after="0" w:line="278" w:lineRule="auto"/>
        <w:rPr>
          <w:sz w:val="20"/>
          <w:szCs w:val="20"/>
          <w:color w:val="auto"/>
        </w:rPr>
      </w:pPr>
      <w:r>
        <w:rPr>
          <w:rFonts w:ascii="Arial" w:cs="Arial" w:eastAsia="Arial" w:hAnsi="Arial"/>
          <w:sz w:val="16"/>
          <w:szCs w:val="16"/>
          <w:color w:val="auto"/>
        </w:rPr>
        <w:t>The preparation of the Consolidated Financial Statements requires us to make estimates and judgments that affect the amounts reported in the unaudited consolidated financial statements and accompanying notes.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because there can be no assurance that our margins, operating income and net income, as a percentage of revenue, will be consistent from year to year.</w:t>
      </w:r>
    </w:p>
    <w:p>
      <w:pPr>
        <w:spacing w:after="0" w:line="6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Management’s discussion and analysis of financial condition and results of operations (“MD&amp;A”) is based upon our Consolidated Financial Statements presented herewith, which have been prepared in accordance with GAAP. Our critical accounting policies are discussed in MD&amp;A in our Annual Report on Form 10-K for the year ended December 31, 2020.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0"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Our business can be affected by seasonal fluctuations in the death rate. Generally, the death rate is higher during the winter months because the incidences of death from influenza and pneumonia are higher during this period than other periods of the year.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9" w:name="page60"/>
    <w:bookmarkEnd w:id="59"/>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20"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COVID-19 which are described in more detail in Item 1A - Risk Factors below.</w:t>
      </w:r>
    </w:p>
    <w:p>
      <w:pPr>
        <w:spacing w:after="0" w:line="6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following quantitative and qualitative information is provided about financial instruments to which we are a party at June 30, 2021 and from which we may incur future gains or losses from changes in market conditions. We do not enter into derivative or other financial instruments for speculative or trading purposes.</w:t>
      </w:r>
    </w:p>
    <w:p>
      <w:pPr>
        <w:spacing w:after="0" w:line="7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information about our market-sensitive financial instruments constitutes a “forward-looking statement.”</w:t>
      </w:r>
    </w:p>
    <w:p>
      <w:pPr>
        <w:spacing w:after="0" w:line="11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June 30, 2021 are presented in Item 1, “Condensed Notes to Consolidated Financial Statements,” Note 6 to our Consolidated Financial Statements in this Quarterly Report on Form 10-Q. The sensitivity of the fixed income securities is such that a 0.25% change in interest rates causes an approximate 0.84% change in the value of the fixed income securities.</w:t>
      </w:r>
    </w:p>
    <w:p>
      <w:pPr>
        <w:spacing w:after="0" w:line="77"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monitor current and forecasted interest rate risk in the ordinary course of business and seek to maintain optimal financial flexibility, quality and solvency. At June 30, 2021, we had outstanding borrowings under the New Credit Facility of $60.5 million. Any further borrowings or voluntary prepayments against the New Credit Facility or any change in the floating rate would cause a change in interest expense. We have the option to pay interest under the New Credit Facility at either prime rate or the LIBOR rate plus a margin. At June 30, 2021, the prime rate margin was equivalent to 0.75% and the LIBOR rate margin was 1.75%. Assuming the outstanding balance remains unchanged, a change of 100 basis points in our borrowing rate would result in a change in income before taxes of $0.6 million. We have not entered into interest rate hedging arrangements in the past. Management continually evaluates the cost and potential benefits of interest rate hedging arrangements.</w:t>
      </w:r>
    </w:p>
    <w:p>
      <w:pPr>
        <w:spacing w:after="0" w:line="78"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Our New Senior Notes bear interest at the fixed annual rate of 4.25%. We may redeem the New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New Senior Notes at the redemption prices described in the Indenture, plus accrued and unpaid interest, if any, to (but excluding) the date of redemption. At June 30, 2021, the carrying value of the New Senior Notes on our Consolidated Balance Sheet was $394.3 million and the fair value of the New Senior Notes was $399.5 million based on the last traded or broker quoted price, reported by the Financial Industry Regulatory Authority, Inc. Increases in market interest rates may cause the value of the New Senior Notes to decrease, but such changes will not affect our interest costs.</w:t>
      </w:r>
    </w:p>
    <w:p>
      <w:pPr>
        <w:spacing w:after="0" w:line="78" w:lineRule="exact"/>
        <w:rPr>
          <w:sz w:val="20"/>
          <w:szCs w:val="20"/>
          <w:color w:val="auto"/>
        </w:rPr>
      </w:pPr>
    </w:p>
    <w:p>
      <w:pPr>
        <w:jc w:val="both"/>
        <w:ind w:firstLine="387"/>
        <w:spacing w:after="0" w:line="349" w:lineRule="auto"/>
        <w:rPr>
          <w:sz w:val="20"/>
          <w:szCs w:val="20"/>
          <w:color w:val="auto"/>
        </w:rPr>
      </w:pPr>
      <w:r>
        <w:rPr>
          <w:rFonts w:ascii="Arial" w:cs="Arial" w:eastAsia="Arial" w:hAnsi="Arial"/>
          <w:sz w:val="15"/>
          <w:szCs w:val="15"/>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60" w:name="page61"/>
    <w:bookmarkEnd w:id="60"/>
    <w:p>
      <w:pPr>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Evaluation of Disclosure Controls and Procedures</w:t>
      </w:r>
    </w:p>
    <w:p>
      <w:pPr>
        <w:spacing w:after="0" w:line="114" w:lineRule="exact"/>
        <w:rPr>
          <w:sz w:val="20"/>
          <w:szCs w:val="20"/>
          <w:color w:val="auto"/>
        </w:rPr>
      </w:pPr>
    </w:p>
    <w:p>
      <w:pPr>
        <w:jc w:val="both"/>
        <w:ind w:firstLine="387"/>
        <w:spacing w:after="0" w:line="296" w:lineRule="auto"/>
        <w:rPr>
          <w:sz w:val="20"/>
          <w:szCs w:val="20"/>
          <w:color w:val="auto"/>
        </w:rPr>
      </w:pPr>
      <w:r>
        <w:rPr>
          <w:rFonts w:ascii="Arial" w:cs="Arial" w:eastAsia="Arial" w:hAnsi="Arial"/>
          <w:sz w:val="15"/>
          <w:szCs w:val="15"/>
          <w:color w:val="auto"/>
        </w:rPr>
        <w:t>Our management, including our principal executive and principal financial officers, have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concluded that our disclosure controls and procedures are effective at June 30, 2021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1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0" w:lineRule="exact"/>
        <w:rPr>
          <w:sz w:val="20"/>
          <w:szCs w:val="20"/>
          <w:color w:val="auto"/>
        </w:rPr>
      </w:pPr>
    </w:p>
    <w:p>
      <w:pPr>
        <w:jc w:val="both"/>
        <w:ind w:firstLine="387"/>
        <w:spacing w:after="0" w:line="349" w:lineRule="auto"/>
        <w:rPr>
          <w:sz w:val="20"/>
          <w:szCs w:val="20"/>
          <w:color w:val="auto"/>
        </w:rPr>
      </w:pPr>
      <w:r>
        <w:rPr>
          <w:rFonts w:ascii="Arial" w:cs="Arial" w:eastAsia="Arial" w:hAnsi="Arial"/>
          <w:sz w:val="15"/>
          <w:szCs w:val="15"/>
          <w:color w:val="auto"/>
        </w:rPr>
        <w:t>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w:t>
      </w:r>
    </w:p>
    <w:p>
      <w:pPr>
        <w:spacing w:after="0" w:line="15"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Factor Update</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are supplementing the risk factors as previously disclosed in Part I, Item 1A “Risk Factors” in our Annual Report on Form 10-K for the year ended December 31, 2020 (the “2020 Form 10-K”), with the updated risk factors set out below. The risk factors below should be read in conjunction with the risk factors set out in our 2020 Form 10-K:</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Employees and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“Good To Great II” incentive program could result in the issuance of a significant number of shares of common stock to certain critical employees.</w:t>
      </w:r>
    </w:p>
    <w:p>
      <w:pPr>
        <w:spacing w:after="0" w:line="143"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Our Good To Great II incentive program rewards certain employees who are not Managing Partners in alignment with the incentive programs for our Managing Partners. Specifically, the Good To Great II incentive program is tied to the future performance of the Company and requires the Company’s share price to reach one of five predetermined Common Stock Price Averages (as defined by the program) through a performance period ending December 31, 2024 in order for the award to be earned by the participants of the program. While the program aligns our incentives with long-term value creation, there is a potential risk of dilution to our shareholders if we achieve the highest performance tier under the Good To Great II incentive program, which equals a Common Stock Price Average (as defined by the program) of $77.34 per share. At June 30, 2021, under such a scenario, a total of 1,064,740 shares of common stock would be awarded to participants under the program. We believe this incentive program will result in improved overall financial performance.</w:t>
      </w:r>
    </w:p>
    <w:p>
      <w:pPr>
        <w:spacing w:after="0" w:line="68"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Please also refer to the complete set of Risk Factors discussed in Part I, Item 1A “Risk Factors” in our 2020 Form 10-K, which could materially affect our business, financial condition or future results. The risks described in our 2020 Form 10-K are not the only risks we face. Additional risks and uncertainties not currently known to us or that we currently deem to be immaterial also may materially adversely affect our business, financial condition or future results.</w:t>
      </w:r>
    </w:p>
    <w:p>
      <w:pPr>
        <w:spacing w:after="0" w:line="15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r>
        <w:rPr>
          <w:rFonts w:ascii="Arial" w:cs="Arial" w:eastAsia="Arial" w:hAnsi="Arial"/>
          <w:sz w:val="15"/>
          <w:szCs w:val="15"/>
          <w:color w:val="auto"/>
        </w:rPr>
        <w:t>.</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certain information with respect to repurchases of our common stock during the quarter ended June 30,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w w:val="95"/>
              </w:rPr>
              <w:t>Total Number of</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137"/>
              <w:spacing w:after="0"/>
              <w:rPr>
                <w:sz w:val="20"/>
                <w:szCs w:val="20"/>
                <w:color w:val="auto"/>
              </w:rPr>
            </w:pPr>
            <w:r>
              <w:rPr>
                <w:rFonts w:ascii="Arial" w:cs="Arial" w:eastAsia="Arial" w:hAnsi="Arial"/>
                <w:sz w:val="15"/>
                <w:szCs w:val="15"/>
                <w:b w:val="1"/>
                <w:bCs w:val="1"/>
                <w:color w:val="auto"/>
                <w:w w:val="98"/>
              </w:rPr>
              <w:t>Dollar Value of</w:t>
            </w: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5"/>
                <w:szCs w:val="15"/>
                <w:b w:val="1"/>
                <w:bCs w:val="1"/>
                <w:color w:val="auto"/>
              </w:rPr>
              <w:t>Total Number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1"/>
              </w:rPr>
              <w:t>Average Price</w:t>
            </w:r>
          </w:p>
        </w:tc>
        <w:tc>
          <w:tcPr>
            <w:tcW w:w="146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89"/>
              </w:rPr>
              <w:t>Shares Purchased as</w:t>
            </w:r>
          </w:p>
        </w:tc>
        <w:tc>
          <w:tcPr>
            <w:tcW w:w="140" w:type="dxa"/>
            <w:vAlign w:val="bottom"/>
          </w:tcPr>
          <w:p>
            <w:pPr>
              <w:spacing w:after="0"/>
              <w:rPr>
                <w:sz w:val="13"/>
                <w:szCs w:val="13"/>
                <w:color w:val="auto"/>
              </w:rPr>
            </w:pPr>
          </w:p>
        </w:tc>
        <w:tc>
          <w:tcPr>
            <w:tcW w:w="1460" w:type="dxa"/>
            <w:vAlign w:val="bottom"/>
            <w:gridSpan w:val="2"/>
          </w:tcPr>
          <w:p>
            <w:pPr>
              <w:ind w:left="40"/>
              <w:spacing w:after="0" w:line="155" w:lineRule="exact"/>
              <w:rPr>
                <w:sz w:val="20"/>
                <w:szCs w:val="20"/>
                <w:color w:val="auto"/>
              </w:rPr>
            </w:pPr>
            <w:r>
              <w:rPr>
                <w:rFonts w:ascii="Arial" w:cs="Arial" w:eastAsia="Arial" w:hAnsi="Arial"/>
                <w:sz w:val="15"/>
                <w:szCs w:val="15"/>
                <w:b w:val="1"/>
                <w:bCs w:val="1"/>
                <w:color w:val="auto"/>
                <w:w w:val="95"/>
              </w:rPr>
              <w:t>Shares That May Yet</w:t>
            </w:r>
          </w:p>
        </w:tc>
        <w:tc>
          <w:tcPr>
            <w:tcW w:w="0" w:type="dxa"/>
            <w:vAlign w:val="bottom"/>
          </w:tcPr>
          <w:p>
            <w:pPr>
              <w:spacing w:after="0"/>
              <w:rPr>
                <w:sz w:val="1"/>
                <w:szCs w:val="1"/>
                <w:color w:val="auto"/>
              </w:rPr>
            </w:pPr>
          </w:p>
        </w:tc>
      </w:tr>
      <w:tr>
        <w:trPr>
          <w:trHeight w:val="155"/>
        </w:trPr>
        <w:tc>
          <w:tcPr>
            <w:tcW w:w="53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Period</w:t>
            </w:r>
          </w:p>
        </w:tc>
        <w:tc>
          <w:tcPr>
            <w:tcW w:w="1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6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5"/>
              </w:rPr>
              <w:t>Part of Publicly</w:t>
            </w:r>
          </w:p>
        </w:tc>
        <w:tc>
          <w:tcPr>
            <w:tcW w:w="140" w:type="dxa"/>
            <w:vAlign w:val="bottom"/>
          </w:tcPr>
          <w:p>
            <w:pPr>
              <w:spacing w:after="0"/>
              <w:rPr>
                <w:sz w:val="13"/>
                <w:szCs w:val="13"/>
                <w:color w:val="auto"/>
              </w:rPr>
            </w:pPr>
          </w:p>
        </w:tc>
        <w:tc>
          <w:tcPr>
            <w:tcW w:w="1460" w:type="dxa"/>
            <w:vAlign w:val="bottom"/>
            <w:gridSpan w:val="2"/>
          </w:tcPr>
          <w:p>
            <w:pPr>
              <w:ind w:left="60"/>
              <w:spacing w:after="0" w:line="155" w:lineRule="exact"/>
              <w:rPr>
                <w:sz w:val="20"/>
                <w:szCs w:val="20"/>
                <w:color w:val="auto"/>
              </w:rPr>
            </w:pPr>
            <w:r>
              <w:rPr>
                <w:rFonts w:ascii="Arial" w:cs="Arial" w:eastAsia="Arial" w:hAnsi="Arial"/>
                <w:sz w:val="15"/>
                <w:szCs w:val="15"/>
                <w:b w:val="1"/>
                <w:bCs w:val="1"/>
                <w:color w:val="auto"/>
                <w:w w:val="93"/>
              </w:rPr>
              <w:t>Be Purchased Under</w:t>
            </w:r>
          </w:p>
        </w:tc>
        <w:tc>
          <w:tcPr>
            <w:tcW w:w="0" w:type="dxa"/>
            <w:vAlign w:val="bottom"/>
          </w:tcPr>
          <w:p>
            <w:pPr>
              <w:spacing w:after="0"/>
              <w:rPr>
                <w:sz w:val="1"/>
                <w:szCs w:val="1"/>
                <w:color w:val="auto"/>
              </w:rPr>
            </w:pPr>
          </w:p>
        </w:tc>
      </w:tr>
      <w:tr>
        <w:trPr>
          <w:trHeight w:val="207"/>
        </w:trPr>
        <w:tc>
          <w:tcPr>
            <w:tcW w:w="5360" w:type="dxa"/>
            <w:vAlign w:val="bottom"/>
            <w:gridSpan w:val="2"/>
            <w:vMerge w:val="continue"/>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w w:val="93"/>
              </w:rPr>
              <w:t>Shares Purchased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Paid Per Share</w:t>
            </w: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w w:val="94"/>
              </w:rPr>
              <w:t>Announced Program</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57"/>
              <w:spacing w:after="0" w:line="207" w:lineRule="exact"/>
              <w:rPr>
                <w:sz w:val="20"/>
                <w:szCs w:val="20"/>
                <w:color w:val="auto"/>
              </w:rPr>
            </w:pPr>
            <w:r>
              <w:rPr>
                <w:rFonts w:ascii="Arial" w:cs="Arial" w:eastAsia="Arial" w:hAnsi="Arial"/>
                <w:sz w:val="15"/>
                <w:szCs w:val="15"/>
                <w:b w:val="1"/>
                <w:bCs w:val="1"/>
                <w:color w:val="auto"/>
                <w:w w:val="97"/>
              </w:rPr>
              <w:t>the Program</w:t>
            </w:r>
            <w:r>
              <w:rPr>
                <w:rFonts w:ascii="Arial" w:cs="Arial" w:eastAsia="Arial" w:hAnsi="Arial"/>
                <w:sz w:val="20"/>
                <w:szCs w:val="20"/>
                <w:b w:val="1"/>
                <w:bCs w:val="1"/>
                <w:color w:val="auto"/>
                <w:w w:val="97"/>
                <w:vertAlign w:val="superscript"/>
              </w:rPr>
              <w:t>(1)</w:t>
            </w:r>
          </w:p>
        </w:tc>
        <w:tc>
          <w:tcPr>
            <w:tcW w:w="0" w:type="dxa"/>
            <w:vAlign w:val="bottom"/>
          </w:tcPr>
          <w:p>
            <w:pPr>
              <w:spacing w:after="0"/>
              <w:rPr>
                <w:sz w:val="1"/>
                <w:szCs w:val="1"/>
                <w:color w:val="auto"/>
              </w:rPr>
            </w:pPr>
          </w:p>
        </w:tc>
      </w:tr>
      <w:tr>
        <w:trPr>
          <w:trHeight w:val="83"/>
        </w:trPr>
        <w:tc>
          <w:tcPr>
            <w:tcW w:w="52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April 1, 2021 - April 30, 2021</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25,601,446</w:t>
            </w:r>
          </w:p>
        </w:tc>
        <w:tc>
          <w:tcPr>
            <w:tcW w:w="0" w:type="dxa"/>
            <w:vAlign w:val="bottom"/>
          </w:tcPr>
          <w:p>
            <w:pPr>
              <w:spacing w:after="0"/>
              <w:rPr>
                <w:sz w:val="1"/>
                <w:szCs w:val="1"/>
                <w:color w:val="auto"/>
              </w:rPr>
            </w:pPr>
          </w:p>
        </w:tc>
      </w:tr>
      <w:tr>
        <w:trPr>
          <w:trHeight w:val="219"/>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May 1, 2021 - May 31, 2021</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38.04</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100,000</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46,797,701</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June 1, 2021 - June 30,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37.81</w:t>
            </w:r>
          </w:p>
        </w:tc>
        <w:tc>
          <w:tcPr>
            <w:tcW w:w="1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224,704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38,300,533</w:t>
            </w:r>
          </w:p>
        </w:tc>
        <w:tc>
          <w:tcPr>
            <w:tcW w:w="0" w:type="dxa"/>
            <w:vAlign w:val="bottom"/>
          </w:tcPr>
          <w:p>
            <w:pPr>
              <w:spacing w:after="0"/>
              <w:rPr>
                <w:sz w:val="1"/>
                <w:szCs w:val="1"/>
                <w:color w:val="auto"/>
              </w:rPr>
            </w:pPr>
          </w:p>
        </w:tc>
      </w:tr>
      <w:tr>
        <w:trPr>
          <w:trHeight w:val="213"/>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Total for quarter ended June 30,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324,704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139065</wp:posOffset>
            </wp:positionV>
            <wp:extent cx="70891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17" w:lineRule="exact"/>
        <w:rPr>
          <w:sz w:val="20"/>
          <w:szCs w:val="20"/>
          <w:color w:val="auto"/>
        </w:rPr>
      </w:pPr>
    </w:p>
    <w:p>
      <w:pPr>
        <w:ind w:left="440" w:hanging="381"/>
        <w:spacing w:after="0"/>
        <w:tabs>
          <w:tab w:leader="none" w:pos="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See Part I, Item 1, Financial Statements and Supplementary Data, Notes 14 and 18 for additional information on our publicly announced share repurchase program.</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34" w:lineRule="exact"/>
        <w:rPr>
          <w:rFonts w:ascii="Arial" w:cs="Arial" w:eastAsia="Arial" w:hAnsi="Arial"/>
          <w:sz w:val="14"/>
          <w:szCs w:val="14"/>
          <w:color w:val="auto"/>
        </w:rPr>
      </w:pPr>
    </w:p>
    <w:p>
      <w:pPr>
        <w:ind w:left="5540" w:hanging="102"/>
        <w:spacing w:after="0"/>
        <w:tabs>
          <w:tab w:leader="none" w:pos="55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62" w:name="page63"/>
    <w:bookmarkEnd w:id="62"/>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r>
        <w:rPr>
          <w:rFonts w:ascii="Arial" w:cs="Arial" w:eastAsia="Arial" w:hAnsi="Arial"/>
          <w:sz w:val="15"/>
          <w:szCs w:val="15"/>
          <w:color w:val="auto"/>
        </w:rPr>
        <w:t>.</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1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1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20" w:lineRule="exact"/>
        <w:rPr>
          <w:sz w:val="20"/>
          <w:szCs w:val="20"/>
          <w:color w:val="auto"/>
        </w:rPr>
      </w:pPr>
    </w:p>
    <w:p>
      <w:pPr>
        <w:ind w:firstLine="387"/>
        <w:spacing w:after="0" w:line="312" w:lineRule="auto"/>
        <w:rPr>
          <w:sz w:val="20"/>
          <w:szCs w:val="20"/>
          <w:color w:val="auto"/>
        </w:rPr>
      </w:pPr>
      <w:r>
        <w:rPr>
          <w:rFonts w:ascii="Arial" w:cs="Arial" w:eastAsia="Arial" w:hAnsi="Arial"/>
          <w:sz w:val="16"/>
          <w:szCs w:val="16"/>
          <w:color w:val="auto"/>
        </w:rPr>
        <w:t>On and effective July 28, 2021, the Board approved a second amendment and restatement to the Company’s Amended and Restated By-laws (as so amended and restated, the Second Amended and Restated By-laws) to implement, amongst other changes, an exclusive forum bylaw provision.</w:t>
      </w:r>
    </w:p>
    <w:p>
      <w:pPr>
        <w:spacing w:after="0" w:line="13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20" w:lineRule="exact"/>
        <w:rPr>
          <w:sz w:val="20"/>
          <w:szCs w:val="20"/>
          <w:color w:val="auto"/>
        </w:rPr>
      </w:pPr>
    </w:p>
    <w:p>
      <w:pPr>
        <w:ind w:firstLine="387"/>
        <w:spacing w:after="0" w:line="280" w:lineRule="auto"/>
        <w:rPr>
          <w:sz w:val="20"/>
          <w:szCs w:val="20"/>
          <w:color w:val="auto"/>
        </w:rPr>
      </w:pPr>
      <w:r>
        <w:rPr>
          <w:rFonts w:ascii="Arial" w:cs="Arial" w:eastAsia="Arial" w:hAnsi="Arial"/>
          <w:sz w:val="17"/>
          <w:szCs w:val="17"/>
          <w:color w:val="auto"/>
        </w:rPr>
        <w:t>The exhibits required to be filed pursuant to the requirements of Item 601 of Regulation S-K are set forth in the Exhibit Index accompanying this Quarterly Report on Form 10-Q and are incorporated herein by reference.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7"/>
          <w:szCs w:val="17"/>
          <w:b w:val="1"/>
          <w:bCs w:val="1"/>
          <w:color w:val="auto"/>
        </w:rPr>
        <w:t>SIGNATURE</w:t>
      </w:r>
    </w:p>
    <w:p>
      <w:pPr>
        <w:spacing w:after="0" w:line="120" w:lineRule="exact"/>
        <w:rPr>
          <w:sz w:val="20"/>
          <w:szCs w:val="20"/>
          <w:color w:val="auto"/>
        </w:rPr>
      </w:pPr>
    </w:p>
    <w:p>
      <w:pPr>
        <w:ind w:firstLine="387"/>
        <w:spacing w:after="0" w:line="280"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CARRIAGE SERVICES, INC.</w:t>
      </w:r>
    </w:p>
    <w:p>
      <w:pPr>
        <w:spacing w:after="0" w:line="24" w:lineRule="exact"/>
        <w:rPr>
          <w:sz w:val="20"/>
          <w:szCs w:val="20"/>
          <w:color w:val="auto"/>
        </w:rPr>
      </w:pPr>
    </w:p>
    <w:p>
      <w:pPr>
        <w:ind w:left="620" w:right="4820" w:hanging="4891"/>
        <w:spacing w:after="0" w:line="276" w:lineRule="auto"/>
        <w:tabs>
          <w:tab w:leader="none" w:pos="600" w:val="left"/>
        </w:tabs>
        <w:rPr>
          <w:sz w:val="20"/>
          <w:szCs w:val="20"/>
          <w:color w:val="auto"/>
        </w:rPr>
      </w:pPr>
      <w:r>
        <w:rPr>
          <w:rFonts w:ascii="Arial" w:cs="Arial" w:eastAsia="Arial" w:hAnsi="Arial"/>
          <w:sz w:val="17"/>
          <w:szCs w:val="17"/>
          <w:color w:val="auto"/>
        </w:rPr>
        <w:t>Date:</w:t>
      </w:r>
      <w:r>
        <w:rPr>
          <w:rFonts w:ascii="Arial" w:cs="Arial" w:eastAsia="Arial" w:hAnsi="Arial"/>
          <w:sz w:val="17"/>
          <w:szCs w:val="17"/>
          <w:color w:val="242424"/>
        </w:rPr>
        <w:tab/>
        <w:t xml:space="preserve">8/4/2021 </w:t>
      </w:r>
      <w:r>
        <w:rPr>
          <w:rFonts w:ascii="Arial" w:cs="Arial" w:eastAsia="Arial" w:hAnsi="Arial"/>
          <w:sz w:val="17"/>
          <w:szCs w:val="17"/>
          <w:color w:val="000000"/>
        </w:rPr>
        <w:t>/s/ C. Benjamin Brink</w:t>
      </w:r>
      <w:r>
        <w:rPr>
          <w:rFonts w:ascii="Arial" w:cs="Arial" w:eastAsia="Arial" w:hAnsi="Arial"/>
          <w:sz w:val="17"/>
          <w:szCs w:val="17"/>
          <w:color w:val="242424"/>
        </w:rPr>
        <w:t xml:space="preserve"> </w:t>
      </w:r>
      <w:r>
        <w:rPr>
          <w:rFonts w:ascii="Arial" w:cs="Arial" w:eastAsia="Arial" w:hAnsi="Arial"/>
          <w:sz w:val="17"/>
          <w:szCs w:val="17"/>
          <w:color w:val="000000"/>
        </w:rPr>
        <w:t>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-3175</wp:posOffset>
            </wp:positionV>
            <wp:extent cx="40074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07485" cy="8255"/>
                    </a:xfrm>
                    <a:prstGeom prst="rect">
                      <a:avLst/>
                    </a:prstGeom>
                    <a:noFill/>
                  </pic:spPr>
                </pic:pic>
              </a:graphicData>
            </a:graphic>
          </wp:anchor>
        </w:drawing>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Executive Vice President, Chief Financial Officer and Treasurer</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64" w:name="page65"/>
    <w:bookmarkEnd w:id="64"/>
    <w:tbl>
      <w:tblPr>
        <w:tblLayout w:type="fixed"/>
        <w:tblInd w:w="20" w:type="dxa"/>
        <w:tblCellMar>
          <w:top w:w="0" w:type="dxa"/>
          <w:left w:w="0" w:type="dxa"/>
          <w:bottom w:w="0" w:type="dxa"/>
          <w:right w:w="0" w:type="dxa"/>
        </w:tblCellMar>
      </w:tblPr>
      <w:tr>
        <w:trPr>
          <w:trHeight w:val="223"/>
        </w:trPr>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0" w:type="dxa"/>
            <w:vAlign w:val="bottom"/>
            <w:gridSpan w:val="4"/>
          </w:tcPr>
          <w:p>
            <w:pPr>
              <w:jc w:val="center"/>
              <w:ind w:right="2640"/>
              <w:spacing w:after="0"/>
              <w:rPr>
                <w:sz w:val="20"/>
                <w:szCs w:val="20"/>
                <w:color w:val="auto"/>
              </w:rPr>
            </w:pPr>
            <w:r>
              <w:rPr>
                <w:rFonts w:ascii="Arial" w:cs="Arial" w:eastAsia="Arial" w:hAnsi="Arial"/>
                <w:sz w:val="17"/>
                <w:szCs w:val="17"/>
                <w:b w:val="1"/>
                <w:bCs w:val="1"/>
                <w:color w:val="auto"/>
              </w:rPr>
              <w:t>CARRIAGE SERVICES, INC.</w:t>
            </w:r>
          </w:p>
        </w:tc>
      </w:tr>
      <w:tr>
        <w:trPr>
          <w:trHeight w:val="361"/>
        </w:trPr>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0" w:type="dxa"/>
            <w:vAlign w:val="bottom"/>
            <w:gridSpan w:val="4"/>
          </w:tcPr>
          <w:p>
            <w:pPr>
              <w:jc w:val="center"/>
              <w:ind w:right="2640"/>
              <w:spacing w:after="0"/>
              <w:rPr>
                <w:sz w:val="20"/>
                <w:szCs w:val="20"/>
                <w:color w:val="auto"/>
              </w:rPr>
            </w:pPr>
            <w:r>
              <w:rPr>
                <w:rFonts w:ascii="Arial" w:cs="Arial" w:eastAsia="Arial" w:hAnsi="Arial"/>
                <w:sz w:val="17"/>
                <w:szCs w:val="17"/>
                <w:b w:val="1"/>
                <w:bCs w:val="1"/>
                <w:color w:val="auto"/>
              </w:rPr>
              <w:t>INDEX OF EXHIBITS</w:t>
            </w:r>
          </w:p>
        </w:tc>
      </w:tr>
      <w:tr>
        <w:trPr>
          <w:trHeight w:val="260"/>
        </w:trPr>
        <w:tc>
          <w:tcPr>
            <w:tcW w:w="2020" w:type="dxa"/>
            <w:vAlign w:val="bottom"/>
            <w:gridSpan w:val="2"/>
          </w:tcPr>
          <w:p>
            <w:pPr>
              <w:jc w:val="right"/>
              <w:ind w:right="1274"/>
              <w:spacing w:after="0"/>
              <w:rPr>
                <w:sz w:val="20"/>
                <w:szCs w:val="20"/>
                <w:color w:val="auto"/>
              </w:rPr>
            </w:pPr>
            <w:r>
              <w:rPr>
                <w:rFonts w:ascii="Arial" w:cs="Arial" w:eastAsia="Arial" w:hAnsi="Arial"/>
                <w:sz w:val="14"/>
                <w:szCs w:val="14"/>
                <w:b w:val="1"/>
                <w:bCs w:val="1"/>
                <w:color w:val="auto"/>
                <w:w w:val="87"/>
              </w:rPr>
              <w:t>Exhibit No.</w:t>
            </w:r>
          </w:p>
        </w:tc>
        <w:tc>
          <w:tcPr>
            <w:tcW w:w="908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9"/>
        </w:trPr>
        <w:tc>
          <w:tcPr>
            <w:tcW w:w="660" w:type="dxa"/>
            <w:vAlign w:val="bottom"/>
          </w:tcPr>
          <w:p>
            <w:pPr>
              <w:spacing w:after="0"/>
              <w:rPr>
                <w:sz w:val="17"/>
                <w:szCs w:val="17"/>
                <w:color w:val="auto"/>
              </w:rPr>
            </w:pPr>
          </w:p>
        </w:tc>
        <w:tc>
          <w:tcPr>
            <w:tcW w:w="1360" w:type="dxa"/>
            <w:vAlign w:val="bottom"/>
          </w:tcPr>
          <w:p>
            <w:pPr>
              <w:jc w:val="right"/>
              <w:ind w:right="1034"/>
              <w:spacing w:after="0"/>
              <w:rPr>
                <w:sz w:val="20"/>
                <w:szCs w:val="20"/>
                <w:color w:val="auto"/>
              </w:rPr>
            </w:pPr>
            <w:r>
              <w:rPr>
                <w:rFonts w:ascii="Arial" w:cs="Arial" w:eastAsia="Arial" w:hAnsi="Arial"/>
                <w:sz w:val="17"/>
                <w:szCs w:val="17"/>
                <w:color w:val="auto"/>
                <w:w w:val="92"/>
              </w:rPr>
              <w:t>3.1</w:t>
            </w:r>
          </w:p>
        </w:tc>
        <w:tc>
          <w:tcPr>
            <w:tcW w:w="9080" w:type="dxa"/>
            <w:vAlign w:val="bottom"/>
            <w:tcBorders>
              <w:bottom w:val="single" w:sz="8" w:color="0000FF"/>
            </w:tcBorders>
            <w:gridSpan w:val="6"/>
          </w:tcPr>
          <w:p>
            <w:pPr>
              <w:spacing w:after="0"/>
              <w:rPr>
                <w:rFonts w:ascii="Arial" w:cs="Arial" w:eastAsia="Arial" w:hAnsi="Arial"/>
                <w:sz w:val="17"/>
                <w:szCs w:val="17"/>
                <w:color w:val="0000FF"/>
                <w:w w:val="91"/>
              </w:rPr>
            </w:pPr>
            <w:hyperlink r:id="rId97">
              <w:r>
                <w:rPr>
                  <w:rFonts w:ascii="Arial" w:cs="Arial" w:eastAsia="Arial" w:hAnsi="Arial"/>
                  <w:sz w:val="17"/>
                  <w:szCs w:val="17"/>
                  <w:color w:val="0000FF"/>
                  <w:w w:val="91"/>
                </w:rPr>
                <w:t>Second Amended and Restated By-Laws of Carriage Services, Inc., dated July 28, 2021, Incorporated by reference to Exhibit 3.1 to</w:t>
              </w:r>
            </w:hyperlink>
          </w:p>
        </w:tc>
      </w:tr>
      <w:tr>
        <w:trPr>
          <w:trHeight w:val="161"/>
        </w:trPr>
        <w:tc>
          <w:tcPr>
            <w:tcW w:w="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40" w:type="dxa"/>
            <w:vAlign w:val="bottom"/>
            <w:tcBorders>
              <w:bottom w:val="single" w:sz="8" w:color="0000FF"/>
            </w:tcBorders>
            <w:gridSpan w:val="3"/>
          </w:tcPr>
          <w:p>
            <w:pPr>
              <w:spacing w:after="0" w:line="161" w:lineRule="exact"/>
              <w:rPr>
                <w:rFonts w:ascii="Arial" w:cs="Arial" w:eastAsia="Arial" w:hAnsi="Arial"/>
                <w:sz w:val="17"/>
                <w:szCs w:val="17"/>
                <w:color w:val="0000FF"/>
                <w:w w:val="92"/>
              </w:rPr>
            </w:pPr>
            <w:hyperlink r:id="rId97">
              <w:r>
                <w:rPr>
                  <w:rFonts w:ascii="Arial" w:cs="Arial" w:eastAsia="Arial" w:hAnsi="Arial"/>
                  <w:sz w:val="17"/>
                  <w:szCs w:val="17"/>
                  <w:color w:val="0000FF"/>
                  <w:w w:val="92"/>
                </w:rPr>
                <w:t>the Company's Current Report on Form 8-K filed on July 30, 2021.</w:t>
              </w:r>
            </w:hyperlink>
          </w:p>
        </w:tc>
        <w:tc>
          <w:tcPr>
            <w:tcW w:w="4440" w:type="dxa"/>
            <w:vAlign w:val="bottom"/>
            <w:gridSpan w:val="3"/>
          </w:tcPr>
          <w:p>
            <w:pPr>
              <w:spacing w:after="0"/>
              <w:rPr>
                <w:sz w:val="13"/>
                <w:szCs w:val="13"/>
                <w:color w:val="auto"/>
              </w:rPr>
            </w:pPr>
          </w:p>
        </w:tc>
      </w:tr>
      <w:tr>
        <w:trPr>
          <w:trHeight w:val="367"/>
        </w:trPr>
        <w:tc>
          <w:tcPr>
            <w:tcW w:w="2020" w:type="dxa"/>
            <w:vAlign w:val="bottom"/>
            <w:gridSpan w:val="2"/>
          </w:tcPr>
          <w:p>
            <w:pPr>
              <w:jc w:val="right"/>
              <w:ind w:right="1034"/>
              <w:spacing w:after="0"/>
              <w:rPr>
                <w:sz w:val="20"/>
                <w:szCs w:val="20"/>
                <w:color w:val="auto"/>
              </w:rPr>
            </w:pPr>
            <w:r>
              <w:rPr>
                <w:rFonts w:ascii="Arial" w:cs="Arial" w:eastAsia="Arial" w:hAnsi="Arial"/>
                <w:sz w:val="17"/>
                <w:szCs w:val="17"/>
                <w:color w:val="auto"/>
              </w:rPr>
              <w:t>4.1</w:t>
            </w:r>
          </w:p>
        </w:tc>
        <w:tc>
          <w:tcPr>
            <w:tcW w:w="9080" w:type="dxa"/>
            <w:vAlign w:val="bottom"/>
            <w:gridSpan w:val="6"/>
          </w:tcPr>
          <w:p>
            <w:pPr>
              <w:spacing w:after="0"/>
              <w:rPr>
                <w:rFonts w:ascii="Arial" w:cs="Arial" w:eastAsia="Arial" w:hAnsi="Arial"/>
                <w:sz w:val="17"/>
                <w:szCs w:val="17"/>
                <w:color w:val="0000FF"/>
                <w:w w:val="95"/>
              </w:rPr>
            </w:pPr>
            <w:hyperlink r:id="rId98">
              <w:r>
                <w:rPr>
                  <w:rFonts w:ascii="Arial" w:cs="Arial" w:eastAsia="Arial" w:hAnsi="Arial"/>
                  <w:sz w:val="17"/>
                  <w:szCs w:val="17"/>
                  <w:color w:val="0000FF"/>
                  <w:w w:val="95"/>
                </w:rPr>
                <w:t>Indenture, dated as of May 13, 2021, among the Company, the Guarantors (as defined therein) and Wilmington Trust, National</w:t>
              </w:r>
            </w:hyperlink>
          </w:p>
        </w:tc>
      </w:tr>
      <w:tr>
        <w:trPr>
          <w:trHeight w:val="161"/>
        </w:trPr>
        <w:tc>
          <w:tcPr>
            <w:tcW w:w="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720" w:type="dxa"/>
            <w:vAlign w:val="bottom"/>
            <w:tcBorders>
              <w:top w:val="single" w:sz="8" w:color="0000FF"/>
            </w:tcBorders>
            <w:gridSpan w:val="4"/>
          </w:tcPr>
          <w:p>
            <w:pPr>
              <w:spacing w:after="0" w:line="161" w:lineRule="exact"/>
              <w:rPr>
                <w:rFonts w:ascii="Arial" w:cs="Arial" w:eastAsia="Arial" w:hAnsi="Arial"/>
                <w:sz w:val="17"/>
                <w:szCs w:val="17"/>
                <w:color w:val="0000FF"/>
                <w:w w:val="93"/>
              </w:rPr>
            </w:pPr>
            <w:hyperlink r:id="rId98">
              <w:r>
                <w:rPr>
                  <w:rFonts w:ascii="Arial" w:cs="Arial" w:eastAsia="Arial" w:hAnsi="Arial"/>
                  <w:sz w:val="17"/>
                  <w:szCs w:val="17"/>
                  <w:color w:val="0000FF"/>
                  <w:w w:val="93"/>
                </w:rPr>
                <w:t>Association, as Trustee, Incorporated by reference to Exhibit 4.1 to the Company's Current Report on Form 8-K filed on May</w:t>
              </w:r>
            </w:hyperlink>
          </w:p>
        </w:tc>
        <w:tc>
          <w:tcPr>
            <w:tcW w:w="360" w:type="dxa"/>
            <w:vAlign w:val="bottom"/>
            <w:gridSpan w:val="2"/>
          </w:tcPr>
          <w:p>
            <w:pPr>
              <w:jc w:val="right"/>
              <w:ind w:right="180"/>
              <w:spacing w:after="0" w:line="161" w:lineRule="exact"/>
              <w:rPr>
                <w:rFonts w:ascii="Arial" w:cs="Arial" w:eastAsia="Arial" w:hAnsi="Arial"/>
                <w:sz w:val="16"/>
                <w:szCs w:val="16"/>
                <w:color w:val="0000FF"/>
                <w:w w:val="71"/>
              </w:rPr>
            </w:pPr>
            <w:hyperlink r:id="rId98">
              <w:r>
                <w:rPr>
                  <w:rFonts w:ascii="Arial" w:cs="Arial" w:eastAsia="Arial" w:hAnsi="Arial"/>
                  <w:sz w:val="16"/>
                  <w:szCs w:val="16"/>
                  <w:color w:val="0000FF"/>
                  <w:w w:val="71"/>
                </w:rPr>
                <w:t>13,</w:t>
              </w:r>
            </w:hyperlink>
          </w:p>
        </w:tc>
      </w:tr>
      <w:tr>
        <w:trPr>
          <w:trHeight w:val="161"/>
        </w:trPr>
        <w:tc>
          <w:tcPr>
            <w:tcW w:w="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61" w:lineRule="exact"/>
              <w:rPr>
                <w:rFonts w:ascii="Arial" w:cs="Arial" w:eastAsia="Arial" w:hAnsi="Arial"/>
                <w:sz w:val="17"/>
                <w:szCs w:val="17"/>
                <w:color w:val="0000FF"/>
                <w:w w:val="84"/>
              </w:rPr>
            </w:pPr>
            <w:hyperlink r:id="rId98">
              <w:r>
                <w:rPr>
                  <w:rFonts w:ascii="Arial" w:cs="Arial" w:eastAsia="Arial" w:hAnsi="Arial"/>
                  <w:sz w:val="17"/>
                  <w:szCs w:val="17"/>
                  <w:color w:val="0000FF"/>
                  <w:w w:val="84"/>
                </w:rPr>
                <w:t>2021.</w:t>
              </w:r>
            </w:hyperlink>
          </w:p>
        </w:tc>
        <w:tc>
          <w:tcPr>
            <w:tcW w:w="300" w:type="dxa"/>
            <w:vAlign w:val="bottom"/>
            <w:tcBorders>
              <w:top w:val="single" w:sz="8" w:color="0000FF"/>
            </w:tcBorders>
          </w:tcPr>
          <w:p>
            <w:pPr>
              <w:spacing w:after="0"/>
              <w:rPr>
                <w:sz w:val="13"/>
                <w:szCs w:val="13"/>
                <w:color w:val="auto"/>
              </w:rPr>
            </w:pPr>
          </w:p>
        </w:tc>
        <w:tc>
          <w:tcPr>
            <w:tcW w:w="3960" w:type="dxa"/>
            <w:vAlign w:val="bottom"/>
            <w:tcBorders>
              <w:top w:val="single" w:sz="8" w:color="0000FF"/>
            </w:tcBorders>
          </w:tcPr>
          <w:p>
            <w:pPr>
              <w:spacing w:after="0"/>
              <w:rPr>
                <w:sz w:val="13"/>
                <w:szCs w:val="13"/>
                <w:color w:val="auto"/>
              </w:rPr>
            </w:pPr>
          </w:p>
        </w:tc>
        <w:tc>
          <w:tcPr>
            <w:tcW w:w="40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020" w:type="dxa"/>
            <w:vAlign w:val="bottom"/>
          </w:tcPr>
          <w:p>
            <w:pPr>
              <w:jc w:val="center"/>
              <w:ind w:right="355"/>
              <w:spacing w:after="0"/>
              <w:rPr>
                <w:sz w:val="20"/>
                <w:szCs w:val="20"/>
                <w:color w:val="auto"/>
              </w:rPr>
            </w:pPr>
            <w:r>
              <w:rPr>
                <w:rFonts w:ascii="Arial" w:cs="Arial" w:eastAsia="Arial" w:hAnsi="Arial"/>
                <w:sz w:val="17"/>
                <w:szCs w:val="17"/>
                <w:color w:val="auto"/>
                <w:w w:val="92"/>
              </w:rPr>
              <w:t>4.2</w:t>
            </w:r>
          </w:p>
        </w:tc>
        <w:tc>
          <w:tcPr>
            <w:tcW w:w="9180" w:type="dxa"/>
            <w:vAlign w:val="bottom"/>
            <w:gridSpan w:val="10"/>
          </w:tcPr>
          <w:p>
            <w:pPr>
              <w:spacing w:after="0"/>
              <w:rPr>
                <w:rFonts w:ascii="Arial" w:cs="Arial" w:eastAsia="Arial" w:hAnsi="Arial"/>
                <w:sz w:val="17"/>
                <w:szCs w:val="17"/>
                <w:color w:val="0000FF"/>
                <w:w w:val="93"/>
              </w:rPr>
            </w:pPr>
            <w:hyperlink r:id="rId98">
              <w:r>
                <w:rPr>
                  <w:rFonts w:ascii="Arial" w:cs="Arial" w:eastAsia="Arial" w:hAnsi="Arial"/>
                  <w:sz w:val="17"/>
                  <w:szCs w:val="17"/>
                  <w:color w:val="0000FF"/>
                  <w:w w:val="93"/>
                </w:rPr>
                <w:t>Form of 4.25% Senior Notes due 2029 (included with the Indenture filed as Exhibit 4.1), Incorporated by reference to Exhibit 4.2 to</w:t>
              </w:r>
            </w:hyperlink>
          </w:p>
        </w:tc>
      </w:tr>
      <w:tr>
        <w:trPr>
          <w:trHeight w:val="161"/>
        </w:trPr>
        <w:tc>
          <w:tcPr>
            <w:tcW w:w="2020" w:type="dxa"/>
            <w:vAlign w:val="bottom"/>
          </w:tcPr>
          <w:p>
            <w:pPr>
              <w:spacing w:after="0"/>
              <w:rPr>
                <w:sz w:val="13"/>
                <w:szCs w:val="13"/>
                <w:color w:val="auto"/>
              </w:rPr>
            </w:pPr>
          </w:p>
        </w:tc>
        <w:tc>
          <w:tcPr>
            <w:tcW w:w="9100" w:type="dxa"/>
            <w:vAlign w:val="bottom"/>
            <w:tcBorders>
              <w:top w:val="single" w:sz="8" w:color="0000FF"/>
            </w:tcBorders>
            <w:gridSpan w:val="8"/>
          </w:tcPr>
          <w:p>
            <w:pPr>
              <w:spacing w:after="0" w:line="161" w:lineRule="exact"/>
              <w:rPr>
                <w:rFonts w:ascii="Arial" w:cs="Arial" w:eastAsia="Arial" w:hAnsi="Arial"/>
                <w:sz w:val="17"/>
                <w:szCs w:val="17"/>
                <w:color w:val="0000FF"/>
              </w:rPr>
            </w:pPr>
            <w:hyperlink r:id="rId98">
              <w:r>
                <w:rPr>
                  <w:rFonts w:ascii="Arial" w:cs="Arial" w:eastAsia="Arial" w:hAnsi="Arial"/>
                  <w:sz w:val="17"/>
                  <w:szCs w:val="17"/>
                  <w:color w:val="0000FF"/>
                </w:rPr>
                <w:t>the Company's Current Report on Form 8-K filed on May 13, 2021.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2020" w:type="dxa"/>
            <w:vAlign w:val="bottom"/>
          </w:tcPr>
          <w:p>
            <w:pPr>
              <w:jc w:val="center"/>
              <w:ind w:right="355"/>
              <w:spacing w:after="0"/>
              <w:rPr>
                <w:sz w:val="20"/>
                <w:szCs w:val="20"/>
                <w:color w:val="auto"/>
              </w:rPr>
            </w:pPr>
            <w:r>
              <w:rPr>
                <w:rFonts w:ascii="Arial" w:cs="Arial" w:eastAsia="Arial" w:hAnsi="Arial"/>
                <w:sz w:val="17"/>
                <w:szCs w:val="17"/>
                <w:color w:val="auto"/>
                <w:w w:val="90"/>
              </w:rPr>
              <w:t>10.1</w:t>
            </w:r>
          </w:p>
        </w:tc>
        <w:tc>
          <w:tcPr>
            <w:tcW w:w="9180" w:type="dxa"/>
            <w:vAlign w:val="bottom"/>
            <w:gridSpan w:val="10"/>
          </w:tcPr>
          <w:p>
            <w:pPr>
              <w:spacing w:after="0"/>
              <w:rPr>
                <w:rFonts w:ascii="Arial" w:cs="Arial" w:eastAsia="Arial" w:hAnsi="Arial"/>
                <w:sz w:val="17"/>
                <w:szCs w:val="17"/>
                <w:color w:val="0000FF"/>
                <w:w w:val="94"/>
              </w:rPr>
            </w:pPr>
            <w:hyperlink r:id="rId99">
              <w:r>
                <w:rPr>
                  <w:rFonts w:ascii="Arial" w:cs="Arial" w:eastAsia="Arial" w:hAnsi="Arial"/>
                  <w:sz w:val="17"/>
                  <w:szCs w:val="17"/>
                  <w:color w:val="0000FF"/>
                  <w:w w:val="94"/>
                </w:rPr>
                <w:t>First Amendment and Restated Credit Agreement dated as of May 13, 2021, among Carriage Services, Inc., the guarantors party</w:t>
              </w:r>
            </w:hyperlink>
          </w:p>
        </w:tc>
      </w:tr>
      <w:tr>
        <w:trPr>
          <w:trHeight w:val="161"/>
        </w:trPr>
        <w:tc>
          <w:tcPr>
            <w:tcW w:w="2020" w:type="dxa"/>
            <w:vAlign w:val="bottom"/>
          </w:tcPr>
          <w:p>
            <w:pPr>
              <w:spacing w:after="0"/>
              <w:rPr>
                <w:sz w:val="13"/>
                <w:szCs w:val="13"/>
                <w:color w:val="auto"/>
              </w:rPr>
            </w:pPr>
          </w:p>
        </w:tc>
        <w:tc>
          <w:tcPr>
            <w:tcW w:w="8840" w:type="dxa"/>
            <w:vAlign w:val="bottom"/>
            <w:tcBorders>
              <w:top w:val="single" w:sz="8" w:color="0000FF"/>
            </w:tcBorders>
            <w:gridSpan w:val="5"/>
          </w:tcPr>
          <w:p>
            <w:pPr>
              <w:spacing w:after="0" w:line="161" w:lineRule="exact"/>
              <w:rPr>
                <w:rFonts w:ascii="Arial" w:cs="Arial" w:eastAsia="Arial" w:hAnsi="Arial"/>
                <w:sz w:val="17"/>
                <w:szCs w:val="17"/>
                <w:color w:val="0000FF"/>
                <w:w w:val="93"/>
              </w:rPr>
            </w:pPr>
            <w:hyperlink r:id="rId99">
              <w:r>
                <w:rPr>
                  <w:rFonts w:ascii="Arial" w:cs="Arial" w:eastAsia="Arial" w:hAnsi="Arial"/>
                  <w:sz w:val="17"/>
                  <w:szCs w:val="17"/>
                  <w:color w:val="0000FF"/>
                  <w:w w:val="93"/>
                </w:rPr>
                <w:t>thereto, the financial institutions party thereto, as lenders, and Bank of America, N.A., as administrative agent. Incorporated by</w:t>
              </w:r>
            </w:hyperlink>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020" w:type="dxa"/>
            <w:vAlign w:val="bottom"/>
          </w:tcPr>
          <w:p>
            <w:pPr>
              <w:spacing w:after="0"/>
              <w:rPr>
                <w:sz w:val="13"/>
                <w:szCs w:val="13"/>
                <w:color w:val="auto"/>
              </w:rPr>
            </w:pPr>
          </w:p>
        </w:tc>
        <w:tc>
          <w:tcPr>
            <w:tcW w:w="8740" w:type="dxa"/>
            <w:vAlign w:val="bottom"/>
            <w:tcBorders>
              <w:top w:val="single" w:sz="8" w:color="0000FF"/>
            </w:tcBorders>
            <w:gridSpan w:val="4"/>
          </w:tcPr>
          <w:p>
            <w:pPr>
              <w:spacing w:after="0" w:line="161" w:lineRule="exact"/>
              <w:rPr>
                <w:rFonts w:ascii="Arial" w:cs="Arial" w:eastAsia="Arial" w:hAnsi="Arial"/>
                <w:sz w:val="17"/>
                <w:szCs w:val="17"/>
                <w:color w:val="0000FF"/>
              </w:rPr>
            </w:pPr>
            <w:hyperlink r:id="rId99">
              <w:r>
                <w:rPr>
                  <w:rFonts w:ascii="Arial" w:cs="Arial" w:eastAsia="Arial" w:hAnsi="Arial"/>
                  <w:sz w:val="17"/>
                  <w:szCs w:val="17"/>
                  <w:color w:val="0000FF"/>
                </w:rPr>
                <w:t>reference to Exhibit 10.1 to the Company's Current Report on Form 8-K filed on May 13, 2021</w:t>
              </w:r>
              <w:r>
                <w:rPr>
                  <w:rFonts w:ascii="Arial" w:cs="Arial" w:eastAsia="Arial" w:hAnsi="Arial"/>
                  <w:sz w:val="17"/>
                  <w:szCs w:val="17"/>
                  <w:color w:val="000000"/>
                </w:rPr>
                <w:t>.</w:t>
              </w:r>
            </w:hyperlink>
          </w:p>
        </w:tc>
        <w:tc>
          <w:tcPr>
            <w:tcW w:w="1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2020" w:type="dxa"/>
            <w:vAlign w:val="bottom"/>
          </w:tcPr>
          <w:p>
            <w:pPr>
              <w:jc w:val="center"/>
              <w:ind w:right="355"/>
              <w:spacing w:after="0"/>
              <w:rPr>
                <w:sz w:val="20"/>
                <w:szCs w:val="20"/>
                <w:color w:val="auto"/>
              </w:rPr>
            </w:pPr>
            <w:r>
              <w:rPr>
                <w:rFonts w:ascii="Arial" w:cs="Arial" w:eastAsia="Arial" w:hAnsi="Arial"/>
                <w:sz w:val="17"/>
                <w:szCs w:val="17"/>
                <w:color w:val="auto"/>
                <w:w w:val="95"/>
              </w:rPr>
              <w:t>*31.1</w:t>
            </w:r>
          </w:p>
        </w:tc>
        <w:tc>
          <w:tcPr>
            <w:tcW w:w="8900" w:type="dxa"/>
            <w:vAlign w:val="bottom"/>
            <w:tcBorders>
              <w:bottom w:val="single" w:sz="8" w:color="0000FF"/>
            </w:tcBorders>
            <w:gridSpan w:val="6"/>
          </w:tcPr>
          <w:p>
            <w:pPr>
              <w:spacing w:after="0"/>
              <w:rPr>
                <w:rFonts w:ascii="Arial" w:cs="Arial" w:eastAsia="Arial" w:hAnsi="Arial"/>
                <w:sz w:val="17"/>
                <w:szCs w:val="17"/>
                <w:color w:val="0000FF"/>
                <w:w w:val="93"/>
              </w:rPr>
            </w:pPr>
            <w:hyperlink w:anchor="page66">
              <w:r>
                <w:rPr>
                  <w:rFonts w:ascii="Arial" w:cs="Arial" w:eastAsia="Arial" w:hAnsi="Arial"/>
                  <w:sz w:val="17"/>
                  <w:szCs w:val="17"/>
                  <w:color w:val="0000FF"/>
                  <w:w w:val="93"/>
                </w:rPr>
                <w:t>Certification of Periodic Financial Reports by Melvin C. Payne in satisfaction of Section 302 of the Sarbanes-Oxley Act of 2002.</w:t>
              </w:r>
            </w:hyperlink>
          </w:p>
        </w:tc>
        <w:tc>
          <w:tcPr>
            <w:tcW w:w="280" w:type="dxa"/>
            <w:vAlign w:val="bottom"/>
            <w:gridSpan w:val="4"/>
          </w:tcPr>
          <w:p>
            <w:pPr>
              <w:spacing w:after="0"/>
              <w:rPr>
                <w:sz w:val="24"/>
                <w:szCs w:val="24"/>
                <w:color w:val="auto"/>
              </w:rPr>
            </w:pPr>
          </w:p>
        </w:tc>
      </w:tr>
      <w:tr>
        <w:trPr>
          <w:trHeight w:val="354"/>
        </w:trPr>
        <w:tc>
          <w:tcPr>
            <w:tcW w:w="2020" w:type="dxa"/>
            <w:vAlign w:val="bottom"/>
          </w:tcPr>
          <w:p>
            <w:pPr>
              <w:jc w:val="center"/>
              <w:ind w:right="355"/>
              <w:spacing w:after="0"/>
              <w:rPr>
                <w:sz w:val="20"/>
                <w:szCs w:val="20"/>
                <w:color w:val="auto"/>
              </w:rPr>
            </w:pPr>
            <w:r>
              <w:rPr>
                <w:rFonts w:ascii="Arial" w:cs="Arial" w:eastAsia="Arial" w:hAnsi="Arial"/>
                <w:sz w:val="17"/>
                <w:szCs w:val="17"/>
                <w:color w:val="auto"/>
                <w:w w:val="95"/>
              </w:rPr>
              <w:t>*31.2</w:t>
            </w:r>
          </w:p>
        </w:tc>
        <w:tc>
          <w:tcPr>
            <w:tcW w:w="9040" w:type="dxa"/>
            <w:vAlign w:val="bottom"/>
            <w:tcBorders>
              <w:bottom w:val="single" w:sz="8" w:color="0000FF"/>
            </w:tcBorders>
            <w:gridSpan w:val="7"/>
          </w:tcPr>
          <w:p>
            <w:pPr>
              <w:spacing w:after="0"/>
              <w:rPr>
                <w:rFonts w:ascii="Arial" w:cs="Arial" w:eastAsia="Arial" w:hAnsi="Arial"/>
                <w:sz w:val="17"/>
                <w:szCs w:val="17"/>
                <w:color w:val="0000FF"/>
                <w:w w:val="93"/>
              </w:rPr>
            </w:pPr>
            <w:hyperlink w:anchor="page67">
              <w:r>
                <w:rPr>
                  <w:rFonts w:ascii="Arial" w:cs="Arial" w:eastAsia="Arial" w:hAnsi="Arial"/>
                  <w:sz w:val="17"/>
                  <w:szCs w:val="17"/>
                  <w:color w:val="0000FF"/>
                  <w:w w:val="93"/>
                </w:rPr>
                <w:t>Certification of Periodic Financial Reports by C. Benjamin Brink in satisfaction of Section 302 of the Sarbanes-Oxley Act of 2002.</w:t>
              </w:r>
            </w:hyperlink>
          </w:p>
        </w:tc>
        <w:tc>
          <w:tcPr>
            <w:tcW w:w="140" w:type="dxa"/>
            <w:vAlign w:val="bottom"/>
            <w:gridSpan w:val="3"/>
          </w:tcPr>
          <w:p>
            <w:pPr>
              <w:spacing w:after="0"/>
              <w:rPr>
                <w:sz w:val="24"/>
                <w:szCs w:val="24"/>
                <w:color w:val="auto"/>
              </w:rPr>
            </w:pPr>
          </w:p>
        </w:tc>
      </w:tr>
      <w:tr>
        <w:trPr>
          <w:trHeight w:val="341"/>
        </w:trPr>
        <w:tc>
          <w:tcPr>
            <w:tcW w:w="2020" w:type="dxa"/>
            <w:vAlign w:val="bottom"/>
          </w:tcPr>
          <w:p>
            <w:pPr>
              <w:jc w:val="center"/>
              <w:ind w:right="355"/>
              <w:spacing w:after="0"/>
              <w:rPr>
                <w:sz w:val="20"/>
                <w:szCs w:val="20"/>
                <w:color w:val="auto"/>
              </w:rPr>
            </w:pPr>
            <w:r>
              <w:rPr>
                <w:rFonts w:ascii="Arial" w:cs="Arial" w:eastAsia="Arial" w:hAnsi="Arial"/>
                <w:sz w:val="17"/>
                <w:szCs w:val="17"/>
                <w:color w:val="auto"/>
              </w:rPr>
              <w:t>**32</w:t>
            </w:r>
          </w:p>
        </w:tc>
        <w:tc>
          <w:tcPr>
            <w:tcW w:w="9180" w:type="dxa"/>
            <w:vAlign w:val="bottom"/>
            <w:gridSpan w:val="10"/>
          </w:tcPr>
          <w:p>
            <w:pPr>
              <w:spacing w:after="0"/>
              <w:rPr>
                <w:rFonts w:ascii="Arial" w:cs="Arial" w:eastAsia="Arial" w:hAnsi="Arial"/>
                <w:sz w:val="17"/>
                <w:szCs w:val="17"/>
                <w:color w:val="0000FF"/>
              </w:rPr>
            </w:pPr>
            <w:hyperlink w:anchor="page68">
              <w:r>
                <w:rPr>
                  <w:rFonts w:ascii="Arial" w:cs="Arial" w:eastAsia="Arial" w:hAnsi="Arial"/>
                  <w:sz w:val="17"/>
                  <w:szCs w:val="17"/>
                  <w:color w:val="0000FF"/>
                </w:rPr>
                <w:t>Certification of Periodic Financial Reports by Melvin C. Payne and C. Benjamin Brink in satisfaction of Section 906 of the</w:t>
              </w:r>
            </w:hyperlink>
          </w:p>
        </w:tc>
      </w:tr>
      <w:tr>
        <w:trPr>
          <w:trHeight w:val="148"/>
        </w:trPr>
        <w:tc>
          <w:tcPr>
            <w:tcW w:w="2020" w:type="dxa"/>
            <w:vAlign w:val="bottom"/>
          </w:tcPr>
          <w:p>
            <w:pPr>
              <w:spacing w:after="0"/>
              <w:rPr>
                <w:sz w:val="12"/>
                <w:szCs w:val="12"/>
                <w:color w:val="auto"/>
              </w:rPr>
            </w:pPr>
          </w:p>
        </w:tc>
        <w:tc>
          <w:tcPr>
            <w:tcW w:w="9160" w:type="dxa"/>
            <w:vAlign w:val="bottom"/>
            <w:tcBorders>
              <w:top w:val="single" w:sz="8" w:color="0000FF"/>
            </w:tcBorders>
            <w:gridSpan w:val="9"/>
          </w:tcPr>
          <w:p>
            <w:pPr>
              <w:spacing w:after="0" w:line="148" w:lineRule="exact"/>
              <w:rPr>
                <w:rFonts w:ascii="Arial" w:cs="Arial" w:eastAsia="Arial" w:hAnsi="Arial"/>
                <w:sz w:val="17"/>
                <w:szCs w:val="17"/>
                <w:color w:val="0000FF"/>
              </w:rPr>
            </w:pPr>
            <w:hyperlink w:anchor="page68">
              <w:r>
                <w:rPr>
                  <w:rFonts w:ascii="Arial" w:cs="Arial" w:eastAsia="Arial" w:hAnsi="Arial"/>
                  <w:sz w:val="17"/>
                  <w:szCs w:val="17"/>
                  <w:color w:val="0000FF"/>
                </w:rPr>
                <w:t>Sarbanes-Oxley Act of 2002 and 18 U.S.C. Section 1350.</w:t>
              </w:r>
            </w:hyperlink>
          </w:p>
        </w:tc>
        <w:tc>
          <w:tcPr>
            <w:tcW w:w="20" w:type="dxa"/>
            <w:vAlign w:val="bottom"/>
          </w:tcPr>
          <w:p>
            <w:pPr>
              <w:spacing w:after="0"/>
              <w:rPr>
                <w:sz w:val="12"/>
                <w:szCs w:val="12"/>
                <w:color w:val="auto"/>
              </w:rPr>
            </w:pPr>
          </w:p>
        </w:tc>
      </w:tr>
      <w:tr>
        <w:trPr>
          <w:trHeight w:val="20"/>
        </w:trPr>
        <w:tc>
          <w:tcPr>
            <w:tcW w:w="20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r>
      <w:tr>
        <w:trPr>
          <w:trHeight w:val="329"/>
        </w:trPr>
        <w:tc>
          <w:tcPr>
            <w:tcW w:w="2020" w:type="dxa"/>
            <w:vAlign w:val="bottom"/>
          </w:tcPr>
          <w:p>
            <w:pPr>
              <w:jc w:val="center"/>
              <w:ind w:right="355"/>
              <w:spacing w:after="0"/>
              <w:rPr>
                <w:sz w:val="20"/>
                <w:szCs w:val="20"/>
                <w:color w:val="auto"/>
              </w:rPr>
            </w:pPr>
            <w:r>
              <w:rPr>
                <w:rFonts w:ascii="Arial" w:cs="Arial" w:eastAsia="Arial" w:hAnsi="Arial"/>
                <w:sz w:val="17"/>
                <w:szCs w:val="17"/>
                <w:color w:val="auto"/>
                <w:w w:val="96"/>
              </w:rPr>
              <w:t>*101.INS</w:t>
            </w:r>
          </w:p>
        </w:tc>
        <w:tc>
          <w:tcPr>
            <w:tcW w:w="9180" w:type="dxa"/>
            <w:vAlign w:val="bottom"/>
            <w:gridSpan w:val="10"/>
          </w:tcPr>
          <w:p>
            <w:pPr>
              <w:spacing w:after="0"/>
              <w:rPr>
                <w:sz w:val="20"/>
                <w:szCs w:val="20"/>
                <w:color w:val="auto"/>
              </w:rPr>
            </w:pPr>
            <w:r>
              <w:rPr>
                <w:rFonts w:ascii="Arial" w:cs="Arial" w:eastAsia="Arial" w:hAnsi="Arial"/>
                <w:sz w:val="17"/>
                <w:szCs w:val="17"/>
                <w:color w:val="auto"/>
                <w:w w:val="93"/>
              </w:rPr>
              <w:t>XBRL Instance Document - the instance document does not appear in the Interactive Data File because XBRL tags are embedded</w:t>
            </w:r>
          </w:p>
        </w:tc>
      </w:tr>
      <w:tr>
        <w:trPr>
          <w:trHeight w:val="217"/>
        </w:trPr>
        <w:tc>
          <w:tcPr>
            <w:tcW w:w="2020" w:type="dxa"/>
            <w:vAlign w:val="bottom"/>
          </w:tcPr>
          <w:p>
            <w:pPr>
              <w:spacing w:after="0"/>
              <w:rPr>
                <w:sz w:val="18"/>
                <w:szCs w:val="18"/>
                <w:color w:val="auto"/>
              </w:rPr>
            </w:pPr>
          </w:p>
        </w:tc>
        <w:tc>
          <w:tcPr>
            <w:tcW w:w="9180" w:type="dxa"/>
            <w:vAlign w:val="bottom"/>
            <w:gridSpan w:val="10"/>
          </w:tcPr>
          <w:p>
            <w:pPr>
              <w:spacing w:after="0"/>
              <w:rPr>
                <w:sz w:val="20"/>
                <w:szCs w:val="20"/>
                <w:color w:val="auto"/>
              </w:rPr>
            </w:pPr>
            <w:r>
              <w:rPr>
                <w:rFonts w:ascii="Arial" w:cs="Arial" w:eastAsia="Arial" w:hAnsi="Arial"/>
                <w:sz w:val="17"/>
                <w:szCs w:val="17"/>
                <w:color w:val="auto"/>
              </w:rPr>
              <w:t>within the Inline XBRL document.</w:t>
            </w:r>
          </w:p>
        </w:tc>
      </w:tr>
      <w:tr>
        <w:trPr>
          <w:trHeight w:val="361"/>
        </w:trPr>
        <w:tc>
          <w:tcPr>
            <w:tcW w:w="2020" w:type="dxa"/>
            <w:vAlign w:val="bottom"/>
          </w:tcPr>
          <w:p>
            <w:pPr>
              <w:jc w:val="center"/>
              <w:ind w:right="335"/>
              <w:spacing w:after="0"/>
              <w:rPr>
                <w:sz w:val="20"/>
                <w:szCs w:val="20"/>
                <w:color w:val="auto"/>
              </w:rPr>
            </w:pPr>
            <w:r>
              <w:rPr>
                <w:rFonts w:ascii="Arial" w:cs="Arial" w:eastAsia="Arial" w:hAnsi="Arial"/>
                <w:sz w:val="17"/>
                <w:szCs w:val="17"/>
                <w:color w:val="auto"/>
                <w:w w:val="95"/>
              </w:rPr>
              <w:t>*101.SCH</w:t>
            </w:r>
          </w:p>
        </w:tc>
        <w:tc>
          <w:tcPr>
            <w:tcW w:w="9180" w:type="dxa"/>
            <w:vAlign w:val="bottom"/>
            <w:gridSpan w:val="10"/>
          </w:tcPr>
          <w:p>
            <w:pPr>
              <w:spacing w:after="0"/>
              <w:rPr>
                <w:sz w:val="20"/>
                <w:szCs w:val="20"/>
                <w:color w:val="auto"/>
              </w:rPr>
            </w:pPr>
            <w:r>
              <w:rPr>
                <w:rFonts w:ascii="Arial" w:cs="Arial" w:eastAsia="Arial" w:hAnsi="Arial"/>
                <w:sz w:val="17"/>
                <w:szCs w:val="17"/>
                <w:color w:val="auto"/>
              </w:rPr>
              <w:t>Inline XBRL Taxonomy Extension Schema Documents.</w:t>
            </w:r>
          </w:p>
        </w:tc>
      </w:tr>
      <w:tr>
        <w:trPr>
          <w:trHeight w:val="361"/>
        </w:trPr>
        <w:tc>
          <w:tcPr>
            <w:tcW w:w="2020" w:type="dxa"/>
            <w:vAlign w:val="bottom"/>
          </w:tcPr>
          <w:p>
            <w:pPr>
              <w:jc w:val="center"/>
              <w:ind w:right="335"/>
              <w:spacing w:after="0"/>
              <w:rPr>
                <w:sz w:val="20"/>
                <w:szCs w:val="20"/>
                <w:color w:val="auto"/>
              </w:rPr>
            </w:pPr>
            <w:r>
              <w:rPr>
                <w:rFonts w:ascii="Arial" w:cs="Arial" w:eastAsia="Arial" w:hAnsi="Arial"/>
                <w:sz w:val="17"/>
                <w:szCs w:val="17"/>
                <w:color w:val="auto"/>
                <w:w w:val="98"/>
              </w:rPr>
              <w:t>*101.CAL</w:t>
            </w:r>
          </w:p>
        </w:tc>
        <w:tc>
          <w:tcPr>
            <w:tcW w:w="9180" w:type="dxa"/>
            <w:vAlign w:val="bottom"/>
            <w:gridSpan w:val="10"/>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361"/>
        </w:trPr>
        <w:tc>
          <w:tcPr>
            <w:tcW w:w="2020" w:type="dxa"/>
            <w:vAlign w:val="bottom"/>
          </w:tcPr>
          <w:p>
            <w:pPr>
              <w:jc w:val="center"/>
              <w:ind w:right="335"/>
              <w:spacing w:after="0"/>
              <w:rPr>
                <w:sz w:val="20"/>
                <w:szCs w:val="20"/>
                <w:color w:val="auto"/>
              </w:rPr>
            </w:pPr>
            <w:r>
              <w:rPr>
                <w:rFonts w:ascii="Arial" w:cs="Arial" w:eastAsia="Arial" w:hAnsi="Arial"/>
                <w:sz w:val="17"/>
                <w:szCs w:val="17"/>
                <w:color w:val="auto"/>
              </w:rPr>
              <w:t>*101.LAB</w:t>
            </w:r>
          </w:p>
        </w:tc>
        <w:tc>
          <w:tcPr>
            <w:tcW w:w="9180" w:type="dxa"/>
            <w:vAlign w:val="bottom"/>
            <w:gridSpan w:val="10"/>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361"/>
        </w:trPr>
        <w:tc>
          <w:tcPr>
            <w:tcW w:w="2020" w:type="dxa"/>
            <w:vAlign w:val="bottom"/>
          </w:tcPr>
          <w:p>
            <w:pPr>
              <w:jc w:val="center"/>
              <w:ind w:right="355"/>
              <w:spacing w:after="0"/>
              <w:rPr>
                <w:sz w:val="20"/>
                <w:szCs w:val="20"/>
                <w:color w:val="auto"/>
              </w:rPr>
            </w:pPr>
            <w:r>
              <w:rPr>
                <w:rFonts w:ascii="Arial" w:cs="Arial" w:eastAsia="Arial" w:hAnsi="Arial"/>
                <w:sz w:val="17"/>
                <w:szCs w:val="17"/>
                <w:color w:val="auto"/>
                <w:w w:val="93"/>
              </w:rPr>
              <w:t>*101.PRE</w:t>
            </w:r>
          </w:p>
        </w:tc>
        <w:tc>
          <w:tcPr>
            <w:tcW w:w="9180" w:type="dxa"/>
            <w:vAlign w:val="bottom"/>
            <w:gridSpan w:val="10"/>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361"/>
        </w:trPr>
        <w:tc>
          <w:tcPr>
            <w:tcW w:w="2020" w:type="dxa"/>
            <w:vAlign w:val="bottom"/>
          </w:tcPr>
          <w:p>
            <w:pPr>
              <w:jc w:val="center"/>
              <w:ind w:right="335"/>
              <w:spacing w:after="0"/>
              <w:rPr>
                <w:sz w:val="20"/>
                <w:szCs w:val="20"/>
                <w:color w:val="auto"/>
              </w:rPr>
            </w:pPr>
            <w:r>
              <w:rPr>
                <w:rFonts w:ascii="Arial" w:cs="Arial" w:eastAsia="Arial" w:hAnsi="Arial"/>
                <w:sz w:val="17"/>
                <w:szCs w:val="17"/>
                <w:color w:val="auto"/>
                <w:w w:val="97"/>
              </w:rPr>
              <w:t>*101.DEF</w:t>
            </w:r>
          </w:p>
        </w:tc>
        <w:tc>
          <w:tcPr>
            <w:tcW w:w="9180" w:type="dxa"/>
            <w:vAlign w:val="bottom"/>
            <w:gridSpan w:val="10"/>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361"/>
        </w:trPr>
        <w:tc>
          <w:tcPr>
            <w:tcW w:w="2020" w:type="dxa"/>
            <w:vAlign w:val="bottom"/>
          </w:tcPr>
          <w:p>
            <w:pPr>
              <w:jc w:val="center"/>
              <w:ind w:right="355"/>
              <w:spacing w:after="0"/>
              <w:rPr>
                <w:sz w:val="20"/>
                <w:szCs w:val="20"/>
                <w:color w:val="auto"/>
              </w:rPr>
            </w:pPr>
            <w:r>
              <w:rPr>
                <w:rFonts w:ascii="Arial" w:cs="Arial" w:eastAsia="Arial" w:hAnsi="Arial"/>
                <w:sz w:val="17"/>
                <w:szCs w:val="17"/>
                <w:color w:val="auto"/>
                <w:w w:val="97"/>
              </w:rPr>
              <w:t>*104</w:t>
            </w:r>
          </w:p>
        </w:tc>
        <w:tc>
          <w:tcPr>
            <w:tcW w:w="9180" w:type="dxa"/>
            <w:vAlign w:val="bottom"/>
            <w:gridSpan w:val="10"/>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r>
        <w:trPr>
          <w:trHeight w:val="577"/>
        </w:trPr>
        <w:tc>
          <w:tcPr>
            <w:tcW w:w="2020" w:type="dxa"/>
            <w:vAlign w:val="bottom"/>
          </w:tcPr>
          <w:p>
            <w:pPr>
              <w:jc w:val="right"/>
              <w:ind w:right="535"/>
              <w:spacing w:after="0"/>
              <w:rPr>
                <w:sz w:val="20"/>
                <w:szCs w:val="20"/>
                <w:color w:val="auto"/>
              </w:rPr>
            </w:pPr>
            <w:r>
              <w:rPr>
                <w:rFonts w:ascii="Arial" w:cs="Arial" w:eastAsia="Arial" w:hAnsi="Arial"/>
                <w:sz w:val="15"/>
                <w:szCs w:val="15"/>
                <w:color w:val="auto"/>
                <w:w w:val="91"/>
              </w:rPr>
              <w:t>__________________</w:t>
            </w:r>
          </w:p>
        </w:tc>
        <w:tc>
          <w:tcPr>
            <w:tcW w:w="3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96" w:lineRule="exact"/>
        <w:rPr>
          <w:sz w:val="20"/>
          <w:szCs w:val="20"/>
          <w:color w:val="auto"/>
        </w:rPr>
      </w:pPr>
    </w:p>
    <w:p>
      <w:pPr>
        <w:ind w:left="660" w:hanging="660"/>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4" w:lineRule="exact"/>
        <w:rPr>
          <w:sz w:val="20"/>
          <w:szCs w:val="20"/>
          <w:color w:val="auto"/>
        </w:rPr>
      </w:pPr>
    </w:p>
    <w:p>
      <w:pPr>
        <w:ind w:left="660" w:hanging="660"/>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4" w:lineRule="exact"/>
        <w:rPr>
          <w:sz w:val="20"/>
          <w:szCs w:val="20"/>
          <w:color w:val="auto"/>
        </w:rPr>
      </w:pPr>
    </w:p>
    <w:p>
      <w:pPr>
        <w:ind w:left="660" w:hanging="660"/>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- 68 -</w:t>
      </w:r>
    </w:p>
    <w:p>
      <w:pPr>
        <w:sectPr>
          <w:pgSz w:w="11900" w:h="16838" w:orient="portrait"/>
          <w:cols w:equalWidth="0" w:num="1">
            <w:col w:w="11200"/>
          </w:cols>
          <w:pgMar w:left="340" w:top="857" w:right="359" w:bottom="1440" w:gutter="0" w:footer="0" w:header="0"/>
        </w:sectPr>
      </w:pPr>
    </w:p>
    <w:bookmarkStart w:id="65" w:name="page66"/>
    <w:bookmarkEnd w:id="65"/>
    <w:p>
      <w:pPr>
        <w:ind w:left="10120"/>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 Melvin C. Payne, certify that:</w:t>
      </w:r>
    </w:p>
    <w:p>
      <w:pPr>
        <w:spacing w:after="0" w:line="74" w:lineRule="exact"/>
        <w:rPr>
          <w:sz w:val="20"/>
          <w:szCs w:val="20"/>
          <w:color w:val="auto"/>
        </w:rPr>
      </w:pPr>
    </w:p>
    <w:p>
      <w:pPr>
        <w:ind w:left="1160" w:hanging="615"/>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Carriage Services, Inc. (the “registrant”);</w:t>
      </w:r>
    </w:p>
    <w:p>
      <w:pPr>
        <w:spacing w:after="0" w:line="76" w:lineRule="exact"/>
        <w:rPr>
          <w:rFonts w:ascii="Arial" w:cs="Arial" w:eastAsia="Arial" w:hAnsi="Arial"/>
          <w:sz w:val="18"/>
          <w:szCs w:val="18"/>
          <w:color w:val="auto"/>
        </w:rPr>
      </w:pPr>
    </w:p>
    <w:p>
      <w:pPr>
        <w:jc w:val="both"/>
        <w:ind w:left="1160" w:hanging="615"/>
        <w:spacing w:after="0" w:line="253" w:lineRule="auto"/>
        <w:tabs>
          <w:tab w:leader="none" w:pos="11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1160" w:hanging="615"/>
        <w:spacing w:after="0" w:line="328" w:lineRule="auto"/>
        <w:tabs>
          <w:tab w:leader="none" w:pos="1154"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1160" w:hanging="615"/>
        <w:spacing w:after="0" w:line="279" w:lineRule="auto"/>
        <w:tabs>
          <w:tab w:leader="none" w:pos="115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60" w:lineRule="exact"/>
        <w:rPr>
          <w:rFonts w:ascii="Arial" w:cs="Arial" w:eastAsia="Arial" w:hAnsi="Arial"/>
          <w:sz w:val="16"/>
          <w:szCs w:val="16"/>
          <w:color w:val="auto"/>
        </w:rPr>
      </w:pPr>
    </w:p>
    <w:p>
      <w:pPr>
        <w:jc w:val="both"/>
        <w:ind w:left="2400" w:hanging="461"/>
        <w:spacing w:after="0" w:line="248" w:lineRule="auto"/>
        <w:tabs>
          <w:tab w:leader="none" w:pos="23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2400" w:hanging="461"/>
        <w:spacing w:after="0" w:line="300" w:lineRule="auto"/>
        <w:tabs>
          <w:tab w:leader="none" w:pos="2394"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6"/>
          <w:szCs w:val="16"/>
          <w:color w:val="auto"/>
        </w:rPr>
      </w:pPr>
    </w:p>
    <w:p>
      <w:pPr>
        <w:jc w:val="both"/>
        <w:ind w:left="2400" w:hanging="461"/>
        <w:spacing w:after="0" w:line="253" w:lineRule="auto"/>
        <w:tabs>
          <w:tab w:leader="none" w:pos="23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8"/>
          <w:szCs w:val="18"/>
          <w:color w:val="auto"/>
        </w:rPr>
      </w:pPr>
    </w:p>
    <w:p>
      <w:pPr>
        <w:jc w:val="both"/>
        <w:ind w:left="2400" w:hanging="461"/>
        <w:spacing w:after="0" w:line="248" w:lineRule="auto"/>
        <w:tabs>
          <w:tab w:leader="none" w:pos="23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jc w:val="both"/>
        <w:ind w:left="1160" w:hanging="615"/>
        <w:spacing w:after="0" w:line="253" w:lineRule="auto"/>
        <w:tabs>
          <w:tab w:leader="none" w:pos="11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2400" w:hanging="461"/>
        <w:spacing w:after="0" w:line="253" w:lineRule="auto"/>
        <w:tabs>
          <w:tab w:leader="none" w:pos="23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8"/>
          <w:szCs w:val="18"/>
          <w:color w:val="auto"/>
        </w:rPr>
      </w:pPr>
    </w:p>
    <w:p>
      <w:pPr>
        <w:ind w:left="2400" w:hanging="461"/>
        <w:spacing w:after="0" w:line="267" w:lineRule="auto"/>
        <w:tabs>
          <w:tab w:leader="none" w:pos="23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40"/>
        <w:spacing w:after="0"/>
        <w:tabs>
          <w:tab w:leader="none" w:pos="820" w:val="left"/>
          <w:tab w:leader="none" w:pos="4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8/4/2021</w:t>
      </w:r>
      <w:r>
        <w:rPr>
          <w:sz w:val="20"/>
          <w:szCs w:val="20"/>
          <w:color w:val="auto"/>
        </w:rPr>
        <w:tab/>
      </w:r>
      <w:r>
        <w:rPr>
          <w:rFonts w:ascii="Arial" w:cs="Arial" w:eastAsia="Arial" w:hAnsi="Arial"/>
          <w:sz w:val="16"/>
          <w:szCs w:val="16"/>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22225</wp:posOffset>
            </wp:positionV>
            <wp:extent cx="40074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4007485" cy="8255"/>
                    </a:xfrm>
                    <a:prstGeom prst="rect">
                      <a:avLst/>
                    </a:prstGeom>
                    <a:noFill/>
                  </pic:spPr>
                </pic:pic>
              </a:graphicData>
            </a:graphic>
          </wp:anchor>
        </w:drawing>
      </w:r>
    </w:p>
    <w:p>
      <w:pPr>
        <w:spacing w:after="0" w:line="1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Melvin C. Payne</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Executive Officer and Chairman of the Board</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49" w:right="339" w:bottom="1440" w:gutter="0" w:footer="0" w:header="0"/>
        </w:sectPr>
      </w:pPr>
    </w:p>
    <w:bookmarkStart w:id="66" w:name="page67"/>
    <w:bookmarkEnd w:id="66"/>
    <w:p>
      <w:pPr>
        <w:ind w:left="10120"/>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 C. Benjamin Brink, certify that:</w:t>
      </w:r>
    </w:p>
    <w:p>
      <w:pPr>
        <w:spacing w:after="0" w:line="74" w:lineRule="exact"/>
        <w:rPr>
          <w:sz w:val="20"/>
          <w:szCs w:val="20"/>
          <w:color w:val="auto"/>
        </w:rPr>
      </w:pPr>
    </w:p>
    <w:p>
      <w:pPr>
        <w:ind w:left="1160" w:hanging="615"/>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report on Form 10-Q of Carriage Services, Inc. (the “registrant”);</w:t>
      </w:r>
    </w:p>
    <w:p>
      <w:pPr>
        <w:spacing w:after="0" w:line="76" w:lineRule="exact"/>
        <w:rPr>
          <w:rFonts w:ascii="Arial" w:cs="Arial" w:eastAsia="Arial" w:hAnsi="Arial"/>
          <w:sz w:val="18"/>
          <w:szCs w:val="18"/>
          <w:color w:val="auto"/>
        </w:rPr>
      </w:pPr>
    </w:p>
    <w:p>
      <w:pPr>
        <w:jc w:val="both"/>
        <w:ind w:left="1160" w:hanging="615"/>
        <w:spacing w:after="0" w:line="253" w:lineRule="auto"/>
        <w:tabs>
          <w:tab w:leader="none" w:pos="11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1160" w:hanging="615"/>
        <w:spacing w:after="0" w:line="328" w:lineRule="auto"/>
        <w:tabs>
          <w:tab w:leader="none" w:pos="1154"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1160" w:hanging="615"/>
        <w:spacing w:after="0" w:line="279" w:lineRule="auto"/>
        <w:tabs>
          <w:tab w:leader="none" w:pos="115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60" w:lineRule="exact"/>
        <w:rPr>
          <w:rFonts w:ascii="Arial" w:cs="Arial" w:eastAsia="Arial" w:hAnsi="Arial"/>
          <w:sz w:val="16"/>
          <w:szCs w:val="16"/>
          <w:color w:val="auto"/>
        </w:rPr>
      </w:pPr>
    </w:p>
    <w:p>
      <w:pPr>
        <w:jc w:val="both"/>
        <w:ind w:left="2400" w:hanging="461"/>
        <w:spacing w:after="0" w:line="248" w:lineRule="auto"/>
        <w:tabs>
          <w:tab w:leader="none" w:pos="23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2400" w:hanging="461"/>
        <w:spacing w:after="0" w:line="300" w:lineRule="auto"/>
        <w:tabs>
          <w:tab w:leader="none" w:pos="2394"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6"/>
          <w:szCs w:val="16"/>
          <w:color w:val="auto"/>
        </w:rPr>
      </w:pPr>
    </w:p>
    <w:p>
      <w:pPr>
        <w:jc w:val="both"/>
        <w:ind w:left="2400" w:hanging="461"/>
        <w:spacing w:after="0" w:line="253" w:lineRule="auto"/>
        <w:tabs>
          <w:tab w:leader="none" w:pos="23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8"/>
          <w:szCs w:val="18"/>
          <w:color w:val="auto"/>
        </w:rPr>
      </w:pPr>
    </w:p>
    <w:p>
      <w:pPr>
        <w:jc w:val="both"/>
        <w:ind w:left="2400" w:hanging="461"/>
        <w:spacing w:after="0" w:line="248" w:lineRule="auto"/>
        <w:tabs>
          <w:tab w:leader="none" w:pos="23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jc w:val="both"/>
        <w:ind w:left="1160" w:hanging="615"/>
        <w:spacing w:after="0" w:line="253" w:lineRule="auto"/>
        <w:tabs>
          <w:tab w:leader="none" w:pos="11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2400" w:hanging="461"/>
        <w:spacing w:after="0" w:line="253" w:lineRule="auto"/>
        <w:tabs>
          <w:tab w:leader="none" w:pos="23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8"/>
          <w:szCs w:val="18"/>
          <w:color w:val="auto"/>
        </w:rPr>
      </w:pPr>
    </w:p>
    <w:p>
      <w:pPr>
        <w:ind w:left="2400" w:hanging="461"/>
        <w:spacing w:after="0" w:line="267" w:lineRule="auto"/>
        <w:tabs>
          <w:tab w:leader="none" w:pos="23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40"/>
        <w:spacing w:after="0"/>
        <w:tabs>
          <w:tab w:leader="none" w:pos="760" w:val="left"/>
          <w:tab w:leader="none" w:pos="4920" w:val="left"/>
        </w:tabs>
        <w:rPr>
          <w:sz w:val="20"/>
          <w:szCs w:val="20"/>
          <w:color w:val="auto"/>
        </w:rPr>
      </w:pPr>
      <w:r>
        <w:rPr>
          <w:rFonts w:ascii="Arial" w:cs="Arial" w:eastAsia="Arial" w:hAnsi="Arial"/>
          <w:sz w:val="18"/>
          <w:szCs w:val="18"/>
          <w:color w:val="auto"/>
        </w:rPr>
        <w:t>Dated:</w:t>
        <w:tab/>
        <w:t>8/4/2021</w:t>
      </w:r>
      <w:r>
        <w:rPr>
          <w:sz w:val="20"/>
          <w:szCs w:val="20"/>
          <w:color w:val="auto"/>
        </w:rPr>
        <w:tab/>
      </w:r>
      <w:r>
        <w:rPr>
          <w:rFonts w:ascii="Arial" w:cs="Arial" w:eastAsia="Arial" w:hAnsi="Arial"/>
          <w:sz w:val="16"/>
          <w:szCs w:val="16"/>
          <w:color w:val="auto"/>
        </w:rPr>
        <w:t>/s/ 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22225</wp:posOffset>
            </wp:positionV>
            <wp:extent cx="40074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4007485" cy="8255"/>
                    </a:xfrm>
                    <a:prstGeom prst="rect">
                      <a:avLst/>
                    </a:prstGeom>
                    <a:noFill/>
                  </pic:spPr>
                </pic:pic>
              </a:graphicData>
            </a:graphic>
          </wp:anchor>
        </w:drawing>
      </w:r>
    </w:p>
    <w:p>
      <w:pPr>
        <w:spacing w:after="0" w:line="1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 Benjamin Brink</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49"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jc w:val="center"/>
        <w:spacing w:after="0"/>
        <w:rPr>
          <w:sz w:val="20"/>
          <w:szCs w:val="20"/>
          <w:color w:val="auto"/>
        </w:rPr>
      </w:pPr>
      <w:r>
        <w:rPr>
          <w:rFonts w:ascii="Arial" w:cs="Arial" w:eastAsia="Arial" w:hAnsi="Arial"/>
          <w:sz w:val="18"/>
          <w:szCs w:val="18"/>
          <w:b w:val="1"/>
          <w:bCs w:val="1"/>
          <w:color w:val="auto"/>
        </w:rPr>
        <w:t>under Section 906 of the</w:t>
      </w:r>
    </w:p>
    <w:p>
      <w:pPr>
        <w:jc w:val="center"/>
        <w:spacing w:after="0"/>
        <w:rPr>
          <w:sz w:val="20"/>
          <w:szCs w:val="20"/>
          <w:color w:val="auto"/>
        </w:rPr>
      </w:pPr>
      <w:r>
        <w:rPr>
          <w:rFonts w:ascii="Arial" w:cs="Arial" w:eastAsia="Arial" w:hAnsi="Arial"/>
          <w:sz w:val="18"/>
          <w:szCs w:val="18"/>
          <w:b w:val="1"/>
          <w:bCs w:val="1"/>
          <w:color w:val="auto"/>
        </w:rPr>
        <w:t>Sarbanes Oxley Act of 2002, 18 U.S.C. § 1350</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Quarterly Report on Form 10-Q of Carriage Services, Inc. (the “Company”), as filed with the Securities and Exchange Commission on the date hereof (the “Report”), Melvin C. Payne, Chief Executive Officer of the Company, and C. Benjamin Brink, Executive Vice President, Principal Financial Officer, Chief Financial Officer and Treasurer of the Company, each certify, pursuant to 18 U.S.C. Section 1350, as adopted pursuant to Section 906 of the Sarbanes-Oxley Act of 2002, that, to his knowledge:</w:t>
      </w:r>
    </w:p>
    <w:p>
      <w:pPr>
        <w:spacing w:after="0" w:line="177" w:lineRule="exact"/>
        <w:rPr>
          <w:sz w:val="20"/>
          <w:szCs w:val="20"/>
          <w:color w:val="auto"/>
        </w:rPr>
      </w:pPr>
    </w:p>
    <w:p>
      <w:pPr>
        <w:ind w:left="980" w:hanging="435"/>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7" w:lineRule="exact"/>
        <w:rPr>
          <w:rFonts w:ascii="Arial" w:cs="Arial" w:eastAsia="Arial" w:hAnsi="Arial"/>
          <w:sz w:val="17"/>
          <w:szCs w:val="17"/>
          <w:color w:val="auto"/>
        </w:rPr>
      </w:pPr>
    </w:p>
    <w:p>
      <w:pPr>
        <w:ind w:left="1160" w:hanging="615"/>
        <w:spacing w:after="0" w:line="267" w:lineRule="auto"/>
        <w:tabs>
          <w:tab w:leader="none" w:pos="10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2" w:lineRule="exact"/>
        <w:rPr>
          <w:sz w:val="20"/>
          <w:szCs w:val="20"/>
          <w:color w:val="auto"/>
        </w:rPr>
      </w:pPr>
    </w:p>
    <w:p>
      <w:pPr>
        <w:ind w:left="40"/>
        <w:spacing w:after="0"/>
        <w:tabs>
          <w:tab w:leader="none" w:pos="860" w:val="left"/>
          <w:tab w:leader="none" w:pos="4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8/4/2021</w:t>
      </w:r>
      <w:r>
        <w:rPr>
          <w:sz w:val="20"/>
          <w:szCs w:val="20"/>
          <w:color w:val="auto"/>
        </w:rPr>
        <w:tab/>
      </w:r>
      <w:r>
        <w:rPr>
          <w:rFonts w:ascii="Arial" w:cs="Arial" w:eastAsia="Arial" w:hAnsi="Arial"/>
          <w:sz w:val="16"/>
          <w:szCs w:val="16"/>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22225</wp:posOffset>
            </wp:positionV>
            <wp:extent cx="40074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4007485" cy="8255"/>
                    </a:xfrm>
                    <a:prstGeom prst="rect">
                      <a:avLst/>
                    </a:prstGeom>
                    <a:noFill/>
                  </pic:spPr>
                </pic:pic>
              </a:graphicData>
            </a:graphic>
          </wp:anchor>
        </w:drawing>
      </w:r>
    </w:p>
    <w:p>
      <w:pPr>
        <w:spacing w:after="0" w:line="1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Melvin C. Payne</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Executive Officer and Chairman of the Board</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22225</wp:posOffset>
            </wp:positionV>
            <wp:extent cx="40074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4007485" cy="8255"/>
                    </a:xfrm>
                    <a:prstGeom prst="rect">
                      <a:avLst/>
                    </a:prstGeom>
                    <a:noFill/>
                  </pic:spPr>
                </pic:pic>
              </a:graphicData>
            </a:graphic>
          </wp:anchor>
        </w:drawing>
      </w:r>
    </w:p>
    <w:p>
      <w:pPr>
        <w:spacing w:after="0" w:line="1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 Benjamin Brink</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1"/>
    </w:lvl>
    <w:lvl w:ilvl="1">
      <w:lvlJc w:val="left"/>
      <w:lvlText w:val="(%2)"/>
      <w:numFmt w:val="decimal"/>
      <w:start w:val="1"/>
    </w:lvl>
  </w:abstractNum>
  <w:abstractNum w:abstractNumId="7">
    <w:nsid w:val="628C895D"/>
    <w:multiLevelType w:val="hybridMultilevel"/>
    <w:lvl w:ilvl="0">
      <w:lvlJc w:val="left"/>
      <w:lvlText w:val="%1."/>
      <w:numFmt w:val="decimal"/>
      <w:start w:val="5"/>
    </w:lvl>
    <w:lvl w:ilvl="1">
      <w:lvlJc w:val="left"/>
      <w:lvlText w:val="%2"/>
      <w:numFmt w:val="decimal"/>
      <w:start w:val="1"/>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8"/>
    </w:lvl>
  </w:abstractNum>
  <w:abstractNum w:abstractNumId="11">
    <w:nsid w:val="2D1D5AE9"/>
    <w:multiLevelType w:val="hybridMultilevel"/>
    <w:lvl w:ilvl="0">
      <w:lvlJc w:val="left"/>
      <w:lvlText w:val="%1."/>
      <w:numFmt w:val="decimal"/>
      <w:start w:val="10"/>
    </w:lvl>
  </w:abstractNum>
  <w:abstractNum w:abstractNumId="12">
    <w:nsid w:val="6763845E"/>
    <w:multiLevelType w:val="hybridMultilevel"/>
    <w:lvl w:ilvl="0">
      <w:lvlJc w:val="left"/>
      <w:lvlText w:val="%1."/>
      <w:numFmt w:val="decimal"/>
      <w:start w:val="11"/>
    </w:lvl>
  </w:abstractNum>
  <w:abstractNum w:abstractNumId="13">
    <w:nsid w:val="75A2A8D4"/>
    <w:multiLevelType w:val="hybridMultilevel"/>
    <w:lvl w:ilvl="0">
      <w:lvlJc w:val="left"/>
      <w:lvlText w:val="%1."/>
      <w:numFmt w:val="decimal"/>
      <w:start w:val="12"/>
    </w:lvl>
  </w:abstractNum>
  <w:abstractNum w:abstractNumId="14">
    <w:nsid w:val="8EDBDAB"/>
    <w:multiLevelType w:val="hybridMultilevel"/>
    <w:lvl w:ilvl="0">
      <w:lvlJc w:val="left"/>
      <w:lvlText w:val="(%1)"/>
      <w:numFmt w:val="decimal"/>
      <w:start w:val="1"/>
    </w:lvl>
    <w:lvl w:ilvl="1">
      <w:lvlJc w:val="left"/>
      <w:lvlText w:val="-"/>
      <w:numFmt w:val="bullet"/>
      <w:start w:val="1"/>
    </w:lvl>
  </w:abstractNum>
  <w:abstractNum w:abstractNumId="15">
    <w:nsid w:val="79838CB2"/>
    <w:multiLevelType w:val="hybridMultilevel"/>
    <w:lvl w:ilvl="0">
      <w:lvlJc w:val="left"/>
      <w:lvlText w:val="%1."/>
      <w:numFmt w:val="decimal"/>
      <w:start w:val="13"/>
    </w:lvl>
  </w:abstractNum>
  <w:abstractNum w:abstractNumId="16">
    <w:nsid w:val="4353D0CD"/>
    <w:multiLevelType w:val="hybridMultilevel"/>
    <w:lvl w:ilvl="0">
      <w:lvlJc w:val="left"/>
      <w:lvlText w:val="%1."/>
      <w:numFmt w:val="decimal"/>
      <w:start w:val="14"/>
    </w:lvl>
  </w:abstractNum>
  <w:abstractNum w:abstractNumId="17">
    <w:nsid w:val="B03E0C6"/>
    <w:multiLevelType w:val="hybridMultilevel"/>
    <w:lvl w:ilvl="0">
      <w:lvlJc w:val="left"/>
      <w:lvlText w:val="%1."/>
      <w:numFmt w:val="decimal"/>
      <w:start w:val="15"/>
    </w:lvl>
  </w:abstractNum>
  <w:abstractNum w:abstractNumId="18">
    <w:nsid w:val="189A769B"/>
    <w:multiLevelType w:val="hybridMultilevel"/>
    <w:lvl w:ilvl="0">
      <w:lvlJc w:val="left"/>
      <w:lvlText w:val="%1."/>
      <w:numFmt w:val="decimal"/>
      <w:start w:val="16"/>
    </w:lvl>
  </w:abstractNum>
  <w:abstractNum w:abstractNumId="19">
    <w:nsid w:val="54E49EB4"/>
    <w:multiLevelType w:val="hybridMultilevel"/>
    <w:lvl w:ilvl="0">
      <w:lvlJc w:val="left"/>
      <w:lvlText w:val="%1."/>
      <w:numFmt w:val="decimal"/>
      <w:start w:val="18"/>
    </w:lvl>
  </w:abstractNum>
  <w:abstractNum w:abstractNumId="20">
    <w:nsid w:val="71F32454"/>
    <w:multiLevelType w:val="hybridMultilevel"/>
    <w:lvl w:ilvl="0">
      <w:lvlJc w:val="left"/>
      <w:lvlText w:val="•"/>
      <w:numFmt w:val="bullet"/>
      <w:start w:val="1"/>
    </w:lvl>
    <w:lvl w:ilvl="1">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lvl w:ilvl="1">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lvl w:ilvl="1">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97" Type="http://schemas.openxmlformats.org/officeDocument/2006/relationships/hyperlink" Target="https://www.sec.gov/Archives/edgar/data/1016281/000101628121000154/secondamendedandrestatedby.htm" TargetMode="External"/><Relationship Id="rId98" Type="http://schemas.openxmlformats.org/officeDocument/2006/relationships/hyperlink" Target="https://www.sec.gov/Archives/edgar/data/1016281/000119312521160561/d535610dex41.htm" TargetMode="External"/><Relationship Id="rId99" Type="http://schemas.openxmlformats.org/officeDocument/2006/relationships/hyperlink" Target="https://www.sec.gov/Archives/edgar/data/1016281/000119312521160561/d53561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2021-08-04T16:22:33Z</dcterms:created>
  <dcterms:modified xsi:type="dcterms:W3CDTF">2021-08-04T16:22:33Z</dcterms:modified>
</cp:coreProperties>
</file>