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3090" w:type="dxa"/>
        <w:jc w:val="center"/>
        <w:tblInd w:w="0" w:type="dxa"/>
        <w:tblLayout w:type="fixed"/>
        <w:tblCellMar>
          <w:top w:w="28" w:type="dxa"/>
          <w:left w:w="28" w:type="dxa"/>
          <w:bottom w:w="28" w:type="dxa"/>
          <w:right w:w="28" w:type="dxa"/>
        </w:tblCellMar>
      </w:tblPr>
      <w:tblGrid>
        <w:gridCol w:w="843"/>
        <w:gridCol w:w="741"/>
        <w:gridCol w:w="742"/>
        <w:gridCol w:w="223"/>
        <w:gridCol w:w="223"/>
        <w:gridCol w:w="318"/>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8"/>
              </w:rPr>
              <w:t>FORM</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10-K</w:t>
            </w:r>
          </w:p>
        </w:tc>
      </w:tr>
    </w:tbl>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16"/>
              </w:rPr>
            </w:pPr>
            <w:r>
              <w:rPr>
                <w:rFonts w:ascii="Times New Roman;serif" w:hAnsi="Times New Roman;serif"/>
                <w:b/>
                <w:color w:val="000000"/>
                <w:sz w:val="16"/>
              </w:rPr>
              <w:t>For the transition period from ______________ to _____________                </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1-11961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CARRIAGE SERVICES, INC.</w:t>
      </w:r>
    </w:p>
    <w:p>
      <w:pPr>
        <w:pStyle w:val="TextBody"/>
        <w:bidi w:val="0"/>
        <w:spacing w:lineRule="auto" w:line="288" w:before="0" w:after="0"/>
        <w:jc w:val="center"/>
        <w:rPr/>
      </w:pPr>
      <w:r>
        <w:rPr>
          <w:rFonts w:ascii="Times New Roman;serif" w:hAnsi="Times New Roman;serif"/>
          <w:b/>
          <w:color w:val="000000"/>
          <w:sz w:val="16"/>
        </w:rPr>
        <w:t>(Exact name of registrant as specified in its charter</w:t>
      </w:r>
      <w:r>
        <w:rPr>
          <w:rFonts w:ascii="Times New Roman;serif" w:hAnsi="Times New Roman;serif"/>
          <w:b/>
          <w:color w:val="000000"/>
          <w:sz w:val="20"/>
        </w:rPr>
        <w:t>)</w:t>
      </w:r>
    </w:p>
    <w:tbl>
      <w:tblPr>
        <w:tblW w:w="4001"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419"/>
        <w:gridCol w:w="419"/>
        <w:gridCol w:w="60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76-0423828</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 xml:space="preserve">3040 Post Oak Boulevard,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332-8400 </w:t>
      </w:r>
    </w:p>
    <w:p>
      <w:pPr>
        <w:pStyle w:val="TextBody"/>
        <w:bidi w:val="0"/>
        <w:spacing w:lineRule="auto" w:line="288" w:before="100" w:after="283"/>
        <w:jc w:val="left"/>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618" w:type="dxa"/>
        <w:jc w:val="left"/>
        <w:tblInd w:w="0" w:type="dxa"/>
        <w:tblLayout w:type="fixed"/>
        <w:tblCellMar>
          <w:top w:w="28" w:type="dxa"/>
          <w:left w:w="28" w:type="dxa"/>
          <w:bottom w:w="28" w:type="dxa"/>
          <w:right w:w="28" w:type="dxa"/>
        </w:tblCellMar>
      </w:tblPr>
      <w:tblGrid>
        <w:gridCol w:w="1095"/>
        <w:gridCol w:w="961"/>
        <w:gridCol w:w="974"/>
        <w:gridCol w:w="424"/>
        <w:gridCol w:w="424"/>
        <w:gridCol w:w="426"/>
        <w:gridCol w:w="970"/>
        <w:gridCol w:w="970"/>
        <w:gridCol w:w="137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CSV</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 </w:t>
      </w:r>
    </w:p>
    <w:p>
      <w:pPr>
        <w:pStyle w:val="TextBody"/>
        <w:bidi w:val="0"/>
        <w:spacing w:lineRule="auto" w:line="288" w:before="60" w:after="60"/>
        <w:jc w:val="left"/>
        <w:rPr/>
      </w:pPr>
      <w:r>
        <w:rPr>
          <w:rFonts w:ascii="Times New Roman;serif" w:hAnsi="Times New Roman;serif"/>
          <w:b w:val="false"/>
          <w:color w:val="000000"/>
          <w:sz w:val="15"/>
        </w:rPr>
        <w:t>Indicate by check mark if the registrant is a well-known seasoned issuer, as defined in Rule 405 of the Securities Act of 1933.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60"/>
        <w:jc w:val="left"/>
        <w:rPr/>
      </w:pPr>
      <w:r>
        <w:rPr>
          <w:rFonts w:ascii="Times New Roman;serif" w:hAnsi="Times New Roman;serif"/>
          <w:b w:val="false"/>
          <w:color w:val="000000"/>
          <w:sz w:val="15"/>
        </w:rPr>
        <w:t>Indicate by check mark if the registrant is not required to file reports pursuant to Section 13 or 15(d) of the Securities Exchange Act of 1934.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60"/>
        <w:jc w:val="left"/>
        <w:rPr/>
      </w:pPr>
      <w:r>
        <w:rPr>
          <w:rFonts w:ascii="Times New Roman;serif" w:hAnsi="Times New Roman;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60"/>
        <w:jc w:val="left"/>
        <w:rPr/>
      </w:pPr>
      <w:r>
        <w:rPr>
          <w:rFonts w:ascii="Times New Roman;serif" w:hAnsi="Times New Roman;serif"/>
          <w:b w:val="false"/>
          <w:color w:val="000000"/>
          <w:sz w:val="15"/>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tbl>
      <w:tblPr>
        <w:tblW w:w="8954" w:type="dxa"/>
        <w:jc w:val="left"/>
        <w:tblInd w:w="0" w:type="dxa"/>
        <w:tblLayout w:type="fixed"/>
        <w:tblCellMar>
          <w:top w:w="28" w:type="dxa"/>
          <w:left w:w="28" w:type="dxa"/>
          <w:bottom w:w="28" w:type="dxa"/>
          <w:right w:w="28" w:type="dxa"/>
        </w:tblCellMar>
      </w:tblPr>
      <w:tblGrid>
        <w:gridCol w:w="511"/>
        <w:gridCol w:w="449"/>
        <w:gridCol w:w="451"/>
        <w:gridCol w:w="109"/>
        <w:gridCol w:w="109"/>
        <w:gridCol w:w="109"/>
        <w:gridCol w:w="354"/>
        <w:gridCol w:w="354"/>
        <w:gridCol w:w="356"/>
        <w:gridCol w:w="109"/>
        <w:gridCol w:w="109"/>
        <w:gridCol w:w="109"/>
        <w:gridCol w:w="439"/>
        <w:gridCol w:w="439"/>
        <w:gridCol w:w="441"/>
        <w:gridCol w:w="109"/>
        <w:gridCol w:w="109"/>
        <w:gridCol w:w="109"/>
        <w:gridCol w:w="580"/>
        <w:gridCol w:w="580"/>
        <w:gridCol w:w="581"/>
        <w:gridCol w:w="109"/>
        <w:gridCol w:w="109"/>
        <w:gridCol w:w="109"/>
        <w:gridCol w:w="579"/>
        <w:gridCol w:w="579"/>
        <w:gridCol w:w="581"/>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0205" w:type="dxa"/>
        <w:jc w:val="left"/>
        <w:tblInd w:w="0" w:type="dxa"/>
        <w:tblLayout w:type="fixed"/>
        <w:tblCellMar>
          <w:top w:w="28" w:type="dxa"/>
          <w:left w:w="28" w:type="dxa"/>
          <w:bottom w:w="28" w:type="dxa"/>
          <w:right w:w="28" w:type="dxa"/>
        </w:tblCellMar>
      </w:tblPr>
      <w:tblGrid>
        <w:gridCol w:w="3564"/>
        <w:gridCol w:w="3124"/>
        <w:gridCol w:w="3143"/>
        <w:gridCol w:w="109"/>
        <w:gridCol w:w="109"/>
        <w:gridCol w:w="156"/>
      </w:tblGrid>
      <w:tr>
        <w:trPr/>
        <w:tc>
          <w:tcPr>
            <w:tcW w:w="3564"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5"/>
              </w:rPr>
            </w:pPr>
            <w:r>
              <w:rPr>
                <w:rFonts w:ascii="Times New Roman;serif" w:hAnsi="Times New Roman;serif"/>
                <w:b w:val="false"/>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5"/>
              </w:rPr>
            </w:pPr>
            <w:r>
              <w:rPr>
                <w:rFonts w:ascii="Times New Roman;serif" w:hAnsi="Times New Roman;serif"/>
                <w:b w:val="false"/>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60"/>
        <w:jc w:val="left"/>
        <w:rPr/>
      </w:pPr>
      <w:r>
        <w:rPr>
          <w:rFonts w:ascii="Times New Roman;serif" w:hAnsi="Times New Roman;serif"/>
          <w:b w:val="false"/>
          <w:color w:val="000000"/>
          <w:sz w:val="15"/>
        </w:rPr>
        <w:t>Indicate by check mark whether the registrant is a shell company as defined in Rule 12b-2 of the Securities Exchange Act of 1934.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60"/>
        <w:jc w:val="left"/>
        <w:rPr>
          <w:rFonts w:ascii="Times New Roman;serif" w:hAnsi="Times New Roman;serif"/>
          <w:b w:val="false"/>
          <w:color w:val="000000"/>
          <w:sz w:val="15"/>
        </w:rPr>
      </w:pPr>
      <w:r>
        <w:rPr>
          <w:rFonts w:ascii="Times New Roman;serif" w:hAnsi="Times New Roman;serif"/>
          <w:b w:val="false"/>
          <w:color w:val="000000"/>
          <w:sz w:val="15"/>
        </w:rPr>
        <w:t>The aggregate market value of the voting and non-voting common equity held by non-affiliates of the registrant as of June 30, 2025 (the last business day of the registrant's most recently completed second fiscal quarter) was approximately $699.0 million based on the closing price of $45.74 per share on the New York Stock Exchange.</w:t>
      </w:r>
    </w:p>
    <w:p>
      <w:pPr>
        <w:pStyle w:val="TextBody"/>
        <w:bidi w:val="0"/>
        <w:spacing w:lineRule="auto" w:line="288" w:before="60" w:after="60"/>
        <w:jc w:val="left"/>
        <w:rPr>
          <w:rFonts w:ascii="Times New Roman;serif" w:hAnsi="Times New Roman;serif"/>
          <w:b w:val="false"/>
          <w:color w:val="000000"/>
          <w:sz w:val="15"/>
        </w:rPr>
      </w:pPr>
      <w:r>
        <w:rPr>
          <w:rFonts w:ascii="Times New Roman;serif" w:hAnsi="Times New Roman;serif"/>
          <w:b w:val="false"/>
          <w:color w:val="000000"/>
          <w:sz w:val="15"/>
        </w:rPr>
        <w:t>The number of shares of the registrant’s Common Stock, $.01 par value per share, outstanding as of February 19, 2026 was 15,751,228.</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 </w:t>
      </w:r>
    </w:p>
    <w:p>
      <w:pPr>
        <w:pStyle w:val="TextBody"/>
        <w:bidi w:val="0"/>
        <w:spacing w:lineRule="auto" w:line="288" w:before="60" w:after="60"/>
        <w:jc w:val="both"/>
        <w:rPr>
          <w:rFonts w:ascii="Times New Roman;serif" w:hAnsi="Times New Roman;serif"/>
          <w:b w:val="false"/>
          <w:color w:val="000000"/>
          <w:sz w:val="16"/>
        </w:rPr>
      </w:pPr>
      <w:r>
        <w:rPr>
          <w:rFonts w:ascii="Times New Roman;serif" w:hAnsi="Times New Roman;serif"/>
          <w:b w:val="false"/>
          <w:color w:val="000000"/>
          <w:sz w:val="16"/>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70"/>
        <w:gridCol w:w="2962"/>
        <w:gridCol w:w="2979"/>
        <w:gridCol w:w="140"/>
        <w:gridCol w:w="140"/>
        <w:gridCol w:w="20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443665aa8f84fa09ac7bee378fd43ca_10">
              <w:r>
                <w:rPr>
                  <w:rStyle w:val="InternetLink"/>
                  <w:rFonts w:ascii="Times New Roman;serif" w:hAnsi="Times New Roman;serif"/>
                  <w:b w:val="false"/>
                  <w:strike w:val="false"/>
                  <w:dstrike w:val="false"/>
                  <w:color w:val="000000"/>
                  <w:sz w:val="20"/>
                  <w:u w:val="none"/>
                  <w:effect w:val="non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3">
              <w:r>
                <w:rPr>
                  <w:rStyle w:val="InternetLink"/>
                  <w:rFonts w:ascii="Times New Roman;serif" w:hAnsi="Times New Roman;serif"/>
                  <w:b w:val="false"/>
                  <w:strike w:val="false"/>
                  <w:dstrike w:val="false"/>
                  <w:color w:val="000000"/>
                  <w:sz w:val="20"/>
                  <w:u w:val="none"/>
                  <w:effect w:val="none"/>
                </w:rPr>
                <w:t>Business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3">
              <w:r>
                <w:rPr>
                  <w:rStyle w:val="InternetLink"/>
                  <w:rFonts w:ascii="Times New Roman;serif" w:hAnsi="Times New Roman;serif"/>
                  <w:b w:val="false"/>
                  <w:strike w:val="false"/>
                  <w:dstrike w:val="false"/>
                  <w:color w:val="000000"/>
                  <w:sz w:val="20"/>
                  <w:u w:val="none"/>
                  <w:effect w:val="non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6">
              <w:r>
                <w:rPr>
                  <w:rStyle w:val="InternetLink"/>
                  <w:rFonts w:ascii="Times New Roman;serif" w:hAnsi="Times New Roman;serif"/>
                  <w:b w:val="false"/>
                  <w:strike w:val="false"/>
                  <w:dstrike w:val="false"/>
                  <w:color w:val="000000"/>
                  <w:sz w:val="20"/>
                  <w:u w:val="none"/>
                  <w:effect w:val="none"/>
                </w:rPr>
                <w:t>Risk Factors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6">
              <w:r>
                <w:rPr>
                  <w:rStyle w:val="InternetLink"/>
                  <w:rFonts w:ascii="Times New Roman;serif" w:hAnsi="Times New Roman;serif"/>
                  <w:b w:val="false"/>
                  <w:strike w:val="false"/>
                  <w:dstrike w:val="false"/>
                  <w:color w:val="000000"/>
                  <w:sz w:val="20"/>
                  <w:u w:val="none"/>
                  <w:effect w:val="non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9">
              <w:r>
                <w:rPr>
                  <w:rStyle w:val="InternetLink"/>
                  <w:rFonts w:ascii="Times New Roman;serif" w:hAnsi="Times New Roman;serif"/>
                  <w:b w:val="false"/>
                  <w:strike w:val="false"/>
                  <w:dstrike w:val="false"/>
                  <w:color w:val="000000"/>
                  <w:sz w:val="20"/>
                  <w:u w:val="none"/>
                  <w:effect w:val="none"/>
                </w:rPr>
                <w:t>Unresolved Staff Comments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9">
              <w:r>
                <w:rPr>
                  <w:rStyle w:val="InternetLink"/>
                  <w:rFonts w:ascii="Times New Roman;serif" w:hAnsi="Times New Roman;serif"/>
                  <w:b w:val="false"/>
                  <w:strike w:val="false"/>
                  <w:dstrike w:val="false"/>
                  <w:color w:val="000000"/>
                  <w:sz w:val="20"/>
                  <w:u w:val="none"/>
                  <w:effect w:val="non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
              <w:r>
                <w:rPr>
                  <w:rStyle w:val="InternetLink"/>
                  <w:rFonts w:ascii="Times New Roman;serif" w:hAnsi="Times New Roman;serif"/>
                  <w:b w:val="false"/>
                  <w:strike w:val="false"/>
                  <w:dstrike w:val="false"/>
                  <w:color w:val="000000"/>
                  <w:sz w:val="20"/>
                  <w:u w:val="none"/>
                  <w:effect w:val="none"/>
                </w:rPr>
                <w:t>Cybersecurity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
              <w:r>
                <w:rPr>
                  <w:rStyle w:val="InternetLink"/>
                  <w:rFonts w:ascii="Times New Roman;serif" w:hAnsi="Times New Roman;serif"/>
                  <w:b w:val="false"/>
                  <w:strike w:val="false"/>
                  <w:dstrike w:val="false"/>
                  <w:color w:val="000000"/>
                  <w:sz w:val="20"/>
                  <w:u w:val="none"/>
                  <w:effect w:val="non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5">
              <w:r>
                <w:rPr>
                  <w:rStyle w:val="InternetLink"/>
                  <w:rFonts w:ascii="Times New Roman;serif" w:hAnsi="Times New Roman;serif"/>
                  <w:b w:val="false"/>
                  <w:strike w:val="false"/>
                  <w:dstrike w:val="false"/>
                  <w:color w:val="000000"/>
                  <w:sz w:val="20"/>
                  <w:u w:val="none"/>
                  <w:effect w:val="none"/>
                </w:rPr>
                <w:t>Properties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5">
              <w:r>
                <w:rPr>
                  <w:rStyle w:val="InternetLink"/>
                  <w:rFonts w:ascii="Times New Roman;serif" w:hAnsi="Times New Roman;serif"/>
                  <w:b w:val="false"/>
                  <w:strike w:val="false"/>
                  <w:dstrike w:val="false"/>
                  <w:color w:val="000000"/>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8">
              <w:r>
                <w:rPr>
                  <w:rStyle w:val="InternetLink"/>
                  <w:rFonts w:ascii="Times New Roman;serif" w:hAnsi="Times New Roman;serif"/>
                  <w:b w:val="false"/>
                  <w:strike w:val="false"/>
                  <w:dstrike w:val="false"/>
                  <w:color w:val="000000"/>
                  <w:sz w:val="20"/>
                  <w:u w:val="none"/>
                  <w:effect w:val="none"/>
                </w:rPr>
                <w:t>Legal Proceedings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8">
              <w:r>
                <w:rPr>
                  <w:rStyle w:val="InternetLink"/>
                  <w:rFonts w:ascii="Times New Roman;serif" w:hAnsi="Times New Roman;serif"/>
                  <w:b w:val="false"/>
                  <w:strike w:val="false"/>
                  <w:dstrike w:val="false"/>
                  <w:color w:val="000000"/>
                  <w:sz w:val="20"/>
                  <w:u w:val="none"/>
                  <w:effect w:val="non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1">
              <w:r>
                <w:rPr>
                  <w:rStyle w:val="InternetLink"/>
                  <w:rFonts w:ascii="Times New Roman;serif" w:hAnsi="Times New Roman;serif"/>
                  <w:b w:val="false"/>
                  <w:strike w:val="false"/>
                  <w:dstrike w:val="false"/>
                  <w:color w:val="000000"/>
                  <w:sz w:val="20"/>
                  <w:u w:val="none"/>
                  <w:effect w:val="none"/>
                </w:rPr>
                <w:t>Mine Safety Disclosures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1">
              <w:r>
                <w:rPr>
                  <w:rStyle w:val="InternetLink"/>
                  <w:rFonts w:ascii="Times New Roman;serif" w:hAnsi="Times New Roman;serif"/>
                  <w:b w:val="false"/>
                  <w:strike w:val="false"/>
                  <w:dstrike w:val="false"/>
                  <w:color w:val="000000"/>
                  <w:sz w:val="20"/>
                  <w:u w:val="none"/>
                  <w:effect w:val="none"/>
                </w:rPr>
                <w:t>21</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443665aa8f84fa09ac7bee378fd43ca_34">
              <w:r>
                <w:rPr>
                  <w:rStyle w:val="InternetLink"/>
                  <w:rFonts w:ascii="Times New Roman;serif" w:hAnsi="Times New Roman;serif"/>
                  <w:b w:val="false"/>
                  <w:strike w:val="false"/>
                  <w:dstrike w:val="false"/>
                  <w:color w:val="000000"/>
                  <w:sz w:val="20"/>
                  <w:u w:val="none"/>
                  <w:effect w:val="non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7">
              <w:r>
                <w:rPr>
                  <w:rStyle w:val="InternetLink"/>
                  <w:rFonts w:ascii="Times New Roman;serif" w:hAnsi="Times New Roman;serif"/>
                  <w:b w:val="false"/>
                  <w:strike w:val="false"/>
                  <w:dstrike w:val="false"/>
                  <w:color w:val="000000"/>
                  <w:sz w:val="20"/>
                  <w:u w:val="none"/>
                  <w:effect w:val="none"/>
                </w:rPr>
                <w:t>Market for Registrant’s Common Equity, Related Stockholder Matters and Issuer Purchases of Equity Securities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7">
              <w:r>
                <w:rPr>
                  <w:rStyle w:val="InternetLink"/>
                  <w:rFonts w:ascii="Times New Roman;serif" w:hAnsi="Times New Roman;serif"/>
                  <w:b w:val="false"/>
                  <w:strike w:val="false"/>
                  <w:dstrike w:val="false"/>
                  <w:color w:val="000000"/>
                  <w:sz w:val="20"/>
                  <w:u w:val="none"/>
                  <w:effect w:val="none"/>
                </w:rPr>
                <w:t>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0">
              <w:r>
                <w:rPr>
                  <w:rStyle w:val="InternetLink"/>
                  <w:rFonts w:ascii="Times New Roman;serif" w:hAnsi="Times New Roman;serif"/>
                  <w:b w:val="false"/>
                  <w:strike w:val="false"/>
                  <w:dstrike w:val="false"/>
                  <w:color w:val="000000"/>
                  <w:sz w:val="20"/>
                  <w:u w:val="none"/>
                  <w:effect w:val="none"/>
                </w:rPr>
                <w:t>[Reserved]</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0">
              <w:r>
                <w:rPr>
                  <w:rStyle w:val="InternetLink"/>
                  <w:rFonts w:ascii="Times New Roman;serif" w:hAnsi="Times New Roman;serif"/>
                  <w:b w:val="false"/>
                  <w:strike w:val="false"/>
                  <w:dstrike w:val="false"/>
                  <w:color w:val="000000"/>
                  <w:sz w:val="20"/>
                  <w:u w:val="none"/>
                  <w:effect w:val="none"/>
                </w:rPr>
                <w:t>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3">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
              <w:r>
                <w:rPr>
                  <w:rStyle w:val="InternetLink"/>
                  <w:rFonts w:ascii="Times New Roman;serif" w:hAnsi="Times New Roman;serif"/>
                  <w:b w:val="false"/>
                  <w:strike w:val="false"/>
                  <w:dstrike w:val="false"/>
                  <w:color w:val="000000"/>
                  <w:sz w:val="20"/>
                  <w:u w:val="none"/>
                  <w:effect w:val="non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644383724959">
              <w:r>
                <w:rPr>
                  <w:rStyle w:val="InternetLink"/>
                  <w:rFonts w:ascii="Times New Roman;serif" w:hAnsi="Times New Roman;serif"/>
                  <w:b w:val="false"/>
                  <w:strike w:val="false"/>
                  <w:dstrike w:val="false"/>
                  <w:color w:val="000000"/>
                  <w:sz w:val="20"/>
                  <w:u w:val="none"/>
                  <w:effect w:val="non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61">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61">
              <w:r>
                <w:rPr>
                  <w:rStyle w:val="InternetLink"/>
                  <w:rFonts w:ascii="Times New Roman;serif" w:hAnsi="Times New Roman;serif"/>
                  <w:b w:val="false"/>
                  <w:strike w:val="false"/>
                  <w:dstrike w:val="false"/>
                  <w:color w:val="000000"/>
                  <w:sz w:val="20"/>
                  <w:u w:val="none"/>
                  <w:effect w:val="non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2">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2">
              <w:r>
                <w:rPr>
                  <w:rStyle w:val="InternetLink"/>
                  <w:rFonts w:ascii="Times New Roman;serif" w:hAnsi="Times New Roman;serif"/>
                  <w:b w:val="false"/>
                  <w:strike w:val="false"/>
                  <w:dstrike w:val="false"/>
                  <w:color w:val="000000"/>
                  <w:sz w:val="20"/>
                  <w:u w:val="none"/>
                  <w:effect w:val="non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5">
              <w:r>
                <w:rPr>
                  <w:rStyle w:val="InternetLink"/>
                  <w:rFonts w:ascii="Times New Roman;serif" w:hAnsi="Times New Roman;serif"/>
                  <w:b w:val="false"/>
                  <w:strike w:val="false"/>
                  <w:dstrike w:val="false"/>
                  <w:color w:val="000000"/>
                  <w:sz w:val="20"/>
                  <w:u w:val="none"/>
                  <w:effect w:val="none"/>
                </w:rPr>
                <w:t>Controls and Procedures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5">
              <w:r>
                <w:rPr>
                  <w:rStyle w:val="InternetLink"/>
                  <w:rFonts w:ascii="Times New Roman;serif" w:hAnsi="Times New Roman;serif"/>
                  <w:b w:val="false"/>
                  <w:strike w:val="false"/>
                  <w:dstrike w:val="false"/>
                  <w:color w:val="000000"/>
                  <w:sz w:val="20"/>
                  <w:u w:val="none"/>
                  <w:effect w:val="non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84">
              <w:r>
                <w:rPr>
                  <w:rStyle w:val="InternetLink"/>
                  <w:rFonts w:ascii="Times New Roman;serif" w:hAnsi="Times New Roman;serif"/>
                  <w:b w:val="false"/>
                  <w:strike w:val="false"/>
                  <w:dstrike w:val="false"/>
                  <w:color w:val="000000"/>
                  <w:sz w:val="20"/>
                  <w:u w:val="none"/>
                  <w:effect w:val="none"/>
                </w:rPr>
                <w:t>Other Information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84">
              <w:r>
                <w:rPr>
                  <w:rStyle w:val="InternetLink"/>
                  <w:rFonts w:ascii="Times New Roman;serif" w:hAnsi="Times New Roman;serif"/>
                  <w:b w:val="false"/>
                  <w:strike w:val="false"/>
                  <w:dstrike w:val="false"/>
                  <w:color w:val="000000"/>
                  <w:sz w:val="20"/>
                  <w:u w:val="none"/>
                  <w:effect w:val="none"/>
                </w:rPr>
                <w:t>86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87">
              <w:r>
                <w:rPr>
                  <w:rStyle w:val="InternetLink"/>
                  <w:rFonts w:ascii="Times New Roman;serif" w:hAnsi="Times New Roman;serif"/>
                  <w:b w:val="false"/>
                  <w:strike w:val="false"/>
                  <w:dstrike w:val="false"/>
                  <w:color w:val="000000"/>
                  <w:sz w:val="20"/>
                  <w:u w:val="none"/>
                  <w:effect w:val="none"/>
                </w:rPr>
                <w:t>Disclosure Regarding Foreign Jurisdictions that Prevent Inspection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84">
              <w:r>
                <w:rPr>
                  <w:rStyle w:val="InternetLink"/>
                  <w:rFonts w:ascii="Times New Roman;serif" w:hAnsi="Times New Roman;serif"/>
                  <w:b w:val="false"/>
                  <w:strike w:val="false"/>
                  <w:dstrike w:val="false"/>
                  <w:color w:val="000000"/>
                  <w:sz w:val="20"/>
                  <w:u w:val="none"/>
                  <w:effect w:val="none"/>
                </w:rPr>
                <w:t>86</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443665aa8f84fa09ac7bee378fd43ca_190">
              <w:r>
                <w:rPr>
                  <w:rStyle w:val="InternetLink"/>
                  <w:rFonts w:ascii="Times New Roman;serif" w:hAnsi="Times New Roman;serif"/>
                  <w:b w:val="false"/>
                  <w:strike w:val="false"/>
                  <w:dstrike w:val="false"/>
                  <w:color w:val="000000"/>
                  <w:sz w:val="20"/>
                  <w:u w:val="none"/>
                  <w:effect w:val="non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93">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93">
              <w:r>
                <w:rPr>
                  <w:rStyle w:val="InternetLink"/>
                  <w:rFonts w:ascii="Times New Roman;serif" w:hAnsi="Times New Roman;serif"/>
                  <w:b w:val="false"/>
                  <w:strike w:val="false"/>
                  <w:dstrike w:val="false"/>
                  <w:color w:val="000000"/>
                  <w:sz w:val="20"/>
                  <w:u w:val="none"/>
                  <w:effect w:val="none"/>
                </w:rPr>
                <w:t>86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96">
              <w:r>
                <w:rPr>
                  <w:rStyle w:val="InternetLink"/>
                  <w:rFonts w:ascii="Times New Roman;serif" w:hAnsi="Times New Roman;serif"/>
                  <w:b w:val="false"/>
                  <w:strike w:val="false"/>
                  <w:dstrike w:val="false"/>
                  <w:color w:val="000000"/>
                  <w:sz w:val="20"/>
                  <w:u w:val="none"/>
                  <w:effect w:val="none"/>
                </w:rPr>
                <w:t>Executive Compensation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96">
              <w:r>
                <w:rPr>
                  <w:rStyle w:val="InternetLink"/>
                  <w:rFonts w:ascii="Times New Roman;serif" w:hAnsi="Times New Roman;serif"/>
                  <w:b w:val="false"/>
                  <w:strike w:val="false"/>
                  <w:dstrike w:val="false"/>
                  <w:color w:val="000000"/>
                  <w:sz w:val="20"/>
                  <w:u w:val="none"/>
                  <w:effect w:val="none"/>
                </w:rPr>
                <w:t>86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99">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99">
              <w:r>
                <w:rPr>
                  <w:rStyle w:val="InternetLink"/>
                  <w:rFonts w:ascii="Times New Roman;serif" w:hAnsi="Times New Roman;serif"/>
                  <w:b w:val="false"/>
                  <w:strike w:val="false"/>
                  <w:dstrike w:val="false"/>
                  <w:color w:val="000000"/>
                  <w:sz w:val="20"/>
                  <w:u w:val="none"/>
                  <w:effect w:val="none"/>
                </w:rPr>
                <w:t>86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02">
              <w:r>
                <w:rPr>
                  <w:rStyle w:val="InternetLink"/>
                  <w:rFonts w:ascii="Times New Roman;serif" w:hAnsi="Times New Roman;serif"/>
                  <w:b w:val="false"/>
                  <w:strike w:val="false"/>
                  <w:dstrike w:val="false"/>
                  <w:color w:val="000000"/>
                  <w:sz w:val="20"/>
                  <w:u w:val="none"/>
                  <w:effect w:val="none"/>
                </w:rPr>
                <w:t>Certain Relationships and Related Transactions and Director Independence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02">
              <w:r>
                <w:rPr>
                  <w:rStyle w:val="InternetLink"/>
                  <w:rFonts w:ascii="Times New Roman;serif" w:hAnsi="Times New Roman;serif"/>
                  <w:b w:val="false"/>
                  <w:strike w:val="false"/>
                  <w:dstrike w:val="false"/>
                  <w:color w:val="000000"/>
                  <w:sz w:val="20"/>
                  <w:u w:val="none"/>
                  <w:effect w:val="none"/>
                </w:rPr>
                <w:t>87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05">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05">
              <w:r>
                <w:rPr>
                  <w:rStyle w:val="InternetLink"/>
                  <w:rFonts w:ascii="Times New Roman;serif" w:hAnsi="Times New Roman;serif"/>
                  <w:b w:val="false"/>
                  <w:strike w:val="false"/>
                  <w:dstrike w:val="false"/>
                  <w:color w:val="000000"/>
                  <w:sz w:val="20"/>
                  <w:u w:val="none"/>
                  <w:effect w:val="none"/>
                </w:rPr>
                <w:t>87</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443665aa8f84fa09ac7bee378fd43ca_208">
              <w:r>
                <w:rPr>
                  <w:rStyle w:val="InternetLink"/>
                  <w:rFonts w:ascii="Times New Roman;serif" w:hAnsi="Times New Roman;serif"/>
                  <w:b w:val="false"/>
                  <w:strike w:val="false"/>
                  <w:dstrike w:val="false"/>
                  <w:color w:val="000000"/>
                  <w:sz w:val="20"/>
                  <w:u w:val="none"/>
                  <w:effect w:val="non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11">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11">
              <w:r>
                <w:rPr>
                  <w:rStyle w:val="InternetLink"/>
                  <w:rFonts w:ascii="Times New Roman;serif" w:hAnsi="Times New Roman;serif"/>
                  <w:b w:val="false"/>
                  <w:strike w:val="false"/>
                  <w:dstrike w:val="false"/>
                  <w:color w:val="000000"/>
                  <w:sz w:val="20"/>
                  <w:u w:val="none"/>
                  <w:effect w:val="none"/>
                </w:rPr>
                <w:t>87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3">
              <w:r>
                <w:rPr>
                  <w:rStyle w:val="InternetLink"/>
                  <w:rFonts w:ascii="Times New Roman;serif" w:hAnsi="Times New Roman;serif"/>
                  <w:b w:val="false"/>
                  <w:strike w:val="false"/>
                  <w:dstrike w:val="false"/>
                  <w:color w:val="000000"/>
                  <w:sz w:val="20"/>
                  <w:u w:val="none"/>
                  <w:effect w:val="none"/>
                </w:rPr>
                <w:t>Form 10-K Summary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3">
              <w:r>
                <w:rPr>
                  <w:rStyle w:val="InternetLink"/>
                  <w:rFonts w:ascii="Times New Roman;serif" w:hAnsi="Times New Roman;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6">
              <w:r>
                <w:rPr>
                  <w:rStyle w:val="InternetLink"/>
                  <w:rFonts w:ascii="Times New Roman;serif" w:hAnsi="Times New Roman;serif"/>
                  <w:b w:val="false"/>
                  <w:strike w:val="false"/>
                  <w:dstrike w:val="false"/>
                  <w:color w:val="000000"/>
                  <w:sz w:val="20"/>
                  <w:u w:val="none"/>
                  <w:effect w:val="none"/>
                </w:rPr>
                <w:t>Signatures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146825585808">
              <w:r>
                <w:rPr>
                  <w:rStyle w:val="InternetLink"/>
                  <w:rFonts w:ascii="Times New Roman;serif" w:hAnsi="Times New Roman;serif"/>
                  <w:b w:val="false"/>
                  <w:strike w:val="false"/>
                  <w:dstrike w:val="false"/>
                  <w:color w:val="000000"/>
                  <w:sz w:val="20"/>
                  <w:u w:val="none"/>
                  <w:effect w:val="none"/>
                </w:rPr>
                <w:t>91</w:t>
              </w:r>
            </w:hyperlink>
          </w:p>
        </w:tc>
      </w:tr>
    </w:tbl>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related to our 2030 Vision,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execution of our Standards Operating Model and strategic acquisition frameworks;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our ability to meet the projected financial and performance guidance of our full year outlook,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timely and full payment of death benefits related to preneed funeral contracts funded through life insurance policies;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complete any non-core asset divestitures on commercially reasonable terms and on a timely basis, if at all, and the impact of any such divestitures on our Company, including any financial, operational, tax or other similar impacts related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economic, financial, and stock market fluctuations;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significant weather events, natural disasters, or catastrophic events;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uncertainty around, and disruption from, new and emerging technologies, such as artificial intelligence ("AI") and generative AI, and the failure to adapt or successfully incorporate such technologies into the Company's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adverse developments affecting the financial services industry;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known material factors that could cause our actual results to differ from our projected results, please see Part I, Item 1A, 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was incorporated in the State of Delaware in December 1993 and is a leading provider of funeral and cemetery services and merchandise in the United States (“U.S.”). We operate in two business segments: Funeral Home Operations, which currently accounts for approximately 65% of our total revenue, and Cemetery Operations, which currently accounts for approximately 35% of our total revenue.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operated 155 funeral homes in 24 states and 28 cemeteries in 9 states. We compete with other publicly held and independent operators of funeral and cemetery companies. We believe we are a market leader in most of our markets.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funeral and cemetery services and products on both an “atneed” (time of death) and “preneed” (planned prior to death) basis.</w:t>
      </w:r>
    </w:p>
    <w:p>
      <w:pPr>
        <w:pStyle w:val="TextBody"/>
        <w:bidi w:val="0"/>
        <w:spacing w:lineRule="auto" w:line="288" w:before="300" w:after="283"/>
        <w:jc w:val="both"/>
        <w:rPr/>
      </w:pPr>
      <w:r>
        <w:rPr>
          <w:rFonts w:ascii="Times New Roman;serif" w:hAnsi="Times New Roman;serif"/>
          <w:b/>
          <w:color w:val="000000"/>
          <w:sz w:val="20"/>
        </w:rPr>
        <w:t>COMPANY DEVELOPMENTS</w:t>
      </w:r>
      <w:r>
        <w:rPr>
          <w:color w:val="000000"/>
        </w:rPr>
        <w:t>    </w:t>
      </w:r>
    </w:p>
    <w:p>
      <w:pPr>
        <w:pStyle w:val="TextBody"/>
        <w:bidi w:val="0"/>
        <w:spacing w:lineRule="auto" w:line="288" w:before="180" w:after="60"/>
        <w:jc w:val="both"/>
        <w:rPr>
          <w:rFonts w:ascii="Times New Roman;serif" w:hAnsi="Times New Roman;serif"/>
          <w:b w:val="false"/>
          <w:i/>
          <w:color w:val="000000"/>
          <w:sz w:val="20"/>
        </w:rPr>
      </w:pPr>
      <w:r>
        <w:rPr>
          <w:rFonts w:ascii="Times New Roman;serif" w:hAnsi="Times New Roman;serif"/>
          <w:b w:val="false"/>
          <w:i/>
          <w:color w:val="000000"/>
          <w:sz w:val="20"/>
        </w:rPr>
        <w:t>Leadership Changes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16, 2026, Carriage Services, Inc. (the “Company”) announced that the Board of Directors (the “Board”) appointed Steven D. Metzger to serve as the Company’s President and Chief Operating Officer, effective as of February 2, 2026. Mr. Metzger’s appointment was made in connection with certain executive leadership changes and appointments announced by the Company to better align with the Company’s business strategy.</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acquired eight funeral homes, one cemetery, and one cremation focused business in Florida for an aggregate price of $56.5 million. We acquired substantially all of the assets and assumed certain operating liabilities of these businesses. Additionally, we acquired the real property for one funeral home that we previously leased from a third party for a purchase price of $2.5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Divestitures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thirteen funeral homes, four cemetery and real property for an aggregate of $40.4 million resulting in a gain of $1.5 million. Additionally, we sold real property for $4.0 million resulting in a gain of $1.0 million.</w:t>
      </w: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OUR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II, Item 8, Financial Statements and Supplementary Data, Note 19 for segment data related to our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Funeral Home and Cemetery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and cemetery businesses provide products and services to families in three principal areas: (i) ceremony and tribute, generally in the form of a funeral or memorial service; (ii) care of remains, either through burial or cremation; and (iii) memorialization, generally through monuments, markers, or inscriptions.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cemeteries provide interment rights (primarily grave sites, lawn crypts, mausoleum spaces, and niches), related cemetery merchandise (such as memorial markers, outer burial containers, and monuments) and services (interments, inurnments, and installation of cemetery merchandise).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Preneed Programs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and cemetery arrangements sold prior to death occurring are referred to as preneed contracts. We market funeral and cemetery services and products on a preneed basis at the local level. Preneed funeral or cemetery contracts enable families to establish, in advance, the type of service to be performed, the products to be used, and the cost of such products and services. Preneed contracts permit families to eliminate the burden of making deathcare plans at the time of need and allow input from other family members before the death occurs. We guarantee the price and performance of the preneed contracts to the customer.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16%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2023, we entered into an exclusive partnership agreement with a national insurance provider to market and sell prearranged funeral services, for which we received a $6.0 million incentive payment. The incentive payment is subject to partial claw-back if certain preneed funeral sales volumes are not met within the ten-year term of the agreement. As such, we recognize the incentive payment in proportion to our achieved preneed funeral sales volume per the agreement at each reporting period. We have recognized $0.8 million of this incentive payment to-date. This partnership agreement increased our commission income 52.0% in 2025 over the previous year. We are projecting this partnership to help drive year-over-year growth in preneed funeral sales of 20% over the next five years. We sold 11,967 and 10,750 preneed funeral contracts, net of cancellations, during the years ended December 31, 2025 and 2024, respectively. At December 31, 2025, we had a backlog of 93,286 preneed funeral contracts to be delivered in the future.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Personalization and pre-planning continue to be two important trends in the funeral and cemetery industry; however, the national trend toward more cremations may be the most significant. While this trend is expected to continue, other factors are expected to lead to rising industry revenue, including an increase in spending on additional or unique funeral and cremation services. Shifting preferences will likely lead to a continued rise in cremations; as such, we are focused on educating and providing our cremation customers with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64% of our cemetery operating revenue is derived from preneed property sales. Our preneed cemetery strategy is to build family heritage in our cemeteries by selling property and interment rights prior to death through full time, highly motivated, and entrepreneurial local sales teams. Our goal is to build broader and deeper teams of sales leaders and counselors in our larger and more strategically located cemeteries, including the development of standardized sales systems across our portfolio of cemeteries, to focus on growth of our preneed property sales.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 Cemetery revenue that originated from preneed contracts represented approximately 71% and 70% of our total operating cemetery revenue for 2025 and 2024, respectively. At December 31, 2025, we had a backlog of 65,681 preneed cemetery contracts to be delivered in the future.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Trust and Insurance Funded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that we select. Investment management and advisory services are provided either by our wholly owned registered investment advisory firm (“CSV RIA”) or by independent financial advisors. As of December 31, 2025, CSV RIA provided these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provides guidance on asset allocation, investment requirements, investment manager selection, and performance monitoring. The investment objectives are tailored to generate long-term investment returns without assuming undue risk, while ensuring the management of assets complies with applicable laws.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Preneed sales generally require deposits to a trust or purchase of a third-party insurance product. Trust fund income earned, along with the receipt and recognition of any insurance benefits, are not reflected in our revenue until the service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performed or the merchandise is delivered. Trust fund holdings and deferred revenue are reflected on our Consolidated Balance Sheets, while our insurance funded contracts are not reflected on our Consolidated Balance Sheets. In most states, we are not permitted to withdraw principal or investment income from such trusts until the service is performed. Additionally, in most states, regulations require a portion (generally 10%) of the sale amount of cemetery property and memorials to be placed in a perpetual care trust. The income from these perpetual care trusts provides funds necessary to maintain cemetery property and memorials in perpetuity.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with respect to our trusts, see Part II, Item 8, Financial Statements and Supplementary Data, Notes 8 and 9.</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operations and business strategy are founded on the shared values of honesty, integrity, and a belief in the power of people. This foundation unites us in our purpose statement: “Creating premier experiences through innovation, empowered partnership, and elevated service,” which is built upon the execution of our three foundational strategic objectives; </w:t>
      </w:r>
      <w:r>
        <w:rPr>
          <w:rFonts w:ascii="Times New Roman;serif" w:hAnsi="Times New Roman;serif"/>
          <w:b w:val="false"/>
          <w:i/>
          <w:color w:val="000000"/>
          <w:sz w:val="20"/>
        </w:rPr>
        <w:t>Disciplined Capital Allocation</w:t>
      </w:r>
      <w:r>
        <w:rPr>
          <w:rFonts w:ascii="Times New Roman;serif" w:hAnsi="Times New Roman;serif"/>
          <w:b w:val="false"/>
          <w:color w:val="000000"/>
          <w:sz w:val="20"/>
        </w:rPr>
        <w:t xml:space="preserve">, </w:t>
      </w:r>
      <w:r>
        <w:rPr>
          <w:rFonts w:ascii="Times New Roman;serif" w:hAnsi="Times New Roman;serif"/>
          <w:b w:val="false"/>
          <w:i/>
          <w:color w:val="000000"/>
          <w:sz w:val="20"/>
        </w:rPr>
        <w:t>Purposeful Growth,</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Relentless Improvement.</w:t>
      </w:r>
      <w:r>
        <w:rPr>
          <w:color w:val="000000"/>
        </w:rPr>
        <w:t xml:space="preserve"> </w:t>
      </w:r>
      <w:r>
        <w:rPr>
          <w:rFonts w:ascii="Times New Roman;serif" w:hAnsi="Times New Roman;serif"/>
          <w:b w:val="false"/>
          <w:color w:val="000000"/>
          <w:sz w:val="20"/>
        </w:rPr>
        <w:t xml:space="preserve">These strategic objectives guide our decision making and ensure we remain at the forefront of funeral and cemetery innovation. Our purpose statement is a testament to our unwavering commitment across all areas of our operations, emphasizing our dedication to innovation, partnership, and exceptional service delivery.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first strategic objective is </w:t>
      </w:r>
      <w:r>
        <w:rPr>
          <w:rFonts w:ascii="Times New Roman;serif" w:hAnsi="Times New Roman;serif"/>
          <w:b w:val="false"/>
          <w:i/>
          <w:color w:val="000000"/>
          <w:sz w:val="20"/>
        </w:rPr>
        <w:t>Disciplined Capital Allocation</w:t>
      </w:r>
      <w:r>
        <w:rPr>
          <w:rFonts w:ascii="Times New Roman;serif" w:hAnsi="Times New Roman;serif"/>
          <w:b w:val="false"/>
          <w:color w:val="000000"/>
          <w:sz w:val="20"/>
        </w:rPr>
        <w:t xml:space="preserve">. This strategic approach ensures our investments are focused on areas with the highest potential for returns, laying the groundwork for sustainable success and long-term value creation. This disciplined investment strategy is pivotal in navigating the Company's path toward sustainable growth and profitability.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Purposeful Growth</w:t>
      </w:r>
      <w:r>
        <w:rPr>
          <w:rFonts w:ascii="Times New Roman;serif" w:hAnsi="Times New Roman;serif"/>
          <w:b w:val="false"/>
          <w:color w:val="000000"/>
          <w:sz w:val="20"/>
        </w:rPr>
        <w:t>, our second strategic objective, transcends mere expansion, emphasizing strategic and thoughtful planning. This approach to business development is not about increasing our size, but rather, enhancing our revenue and financial health through strategic, thoughtful, and data driven planning. It signifies our commitment to growing with intent and enriching our Company’s value proposition organically and through strategic partnerships.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Finally, at the heart of our ethos lies our third strategic objective, </w:t>
      </w:r>
      <w:r>
        <w:rPr>
          <w:rFonts w:ascii="Times New Roman;serif" w:hAnsi="Times New Roman;serif"/>
          <w:b w:val="false"/>
          <w:i/>
          <w:color w:val="000000"/>
          <w:sz w:val="20"/>
        </w:rPr>
        <w:t>Relentless Improvement</w:t>
      </w:r>
      <w:r>
        <w:rPr>
          <w:color w:val="000000"/>
        </w:rPr>
        <w:t xml:space="preserve"> </w:t>
      </w:r>
      <w:r>
        <w:rPr>
          <w:rFonts w:ascii="Times New Roman;serif" w:hAnsi="Times New Roman;serif"/>
          <w:b w:val="false"/>
          <w:color w:val="000000"/>
          <w:sz w:val="20"/>
        </w:rPr>
        <w:t xml:space="preserve">and a commitment to the pursuit of excellence in all that we do. This strategic objective champions the idea that every day presents a new opportunity to refine our processes, prioritize efficiencies, enhance our service, and exceed our prior achievements.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three strategic objectives are more than strategic imperatives. They represent our commitment to pursue excellence relentlessly, innovate with purpose, and redefine industry standards through superior service.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strategic objectives during 2025, we focused on the following: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Strategic mergers and acquisitions: We completed $59.0 million in strategic acquisitions while divesting $44.5 million in non-core assets, reinforcing our commitment to portfolio optimization and balance sheet discipline. These actions reflect a deliberate focus on quality over quantity, prioritizing businesses that align culturally, enhance earnings quality, and strengthen long-term scalability and value creation.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and cemetery sales: Preneed sales remain one of the most important drivers of long-term revenue, cash flow visibility, and margin expansion across our business. We expect these sales will generate high-quality backlog, support disciplined inventory monetization, and create durable customer relationships that translate into future at-need performance. In 2025, our consolidated preneed cemetery property production ended the year at $85 million, an increase of 8.4% over the prior year, while total cemetery production reached $143.6 million, an increase of 8.2% year over year, underscoring the effectiveness of our strategic focus and execution in this critical channel. In addition, insurance-funded preneed funeral contracts sold grew by approximately 27%, resulting in $9.6 million in preneed funeral commission income, which reflects an increase of 51% over the prior year.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Modernized sales infrastructure and continued innovation: In the fourth quarter of 2025, we implemented our next-generation sales enablement platform. This enhanced platform significantly improved visibility into our preneed sales funnel, enabling more accurate and timely reporting and allowing our sales leaders to more effectively monitor lead progression, conversion efficiency, and overall sales productivity. Since the launch, we generated $2.6 million in preneed production through our next generation platform, representing 12% of total fourth-quarter preneed property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Systems that support scale: Throughout 2025, we continued to invest in systems and processes designed to support disciplined growth. We advanced our continuous improvement platform, modernized core technology infrastructure, and strengthened our data and reporting capabilities to improve decision-making speed and quality. We believe these investments in our systems will enable better visibility, greater accountability, and more consistent execution across the organization. Improved reliability, enhanced financial reporting, and more accessible data will allow our leaders at every level to operate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confidence and clarity. Importantly, we believe these systems convert effort into repeatable outcomes, a prerequisite for sustainable growth. </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funeral and cemetery industry has been, and remains, highly competitive. The largest publicly held operators, in terms of revenue, of both funeral homes and cemeteries with operations in the U.S. are Service Corporation International (“SCI”) and Carriage. We believe these two companies collectively represent approximately 23% of funeral and cemetery revenue in the U.S. Independent businesses, along with other privately-owned consolidators, represent the remaining 77% of industry revenue.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including any new or emerging public health threats. These unexpected fluctuations may not only increase death rates during the affected period, but also may subsequently decrease death rates following the affected period as a result of an acceleration of death rates. As a result, we are unable to predict or forecast the duration or variation of the current death rate with any certainty. </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Our operations are subject to regulations, supervision, and licensing under numerous federal, state, and local laws, ordinances, and regulations, including extensive regulations concerning 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Federal Trade Commission.</w:t>
      </w:r>
      <w:r>
        <w:rPr>
          <w:color w:val="000000"/>
        </w:rPr>
        <w:t xml:space="preserve"> </w:t>
      </w:r>
      <w:r>
        <w:rPr>
          <w:rFonts w:ascii="Times New Roman;serif" w:hAnsi="Times New Roman;serif"/>
          <w:b w:val="false"/>
          <w:color w:val="000000"/>
          <w:sz w:val="20"/>
        </w:rPr>
        <w:t>Our funeral home operations are comprehensively regulated by the Federal Trade Commission (“FTC”) under Section 5 of 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 (iii) 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On October 20, 2022, the FTC announced that it was retaining the Funeral Rule and issued an advanced notice of proposed rulemaking concerning potential amendments to the Funeral Rule. These potential amendments include, among other things, whether and how funeral providers should be required to display or attribute their price information online and through electronic means. On December 21, 2022, the FTC voted to extend the public comment period to January 17, 2023 for its advanced notice of proposed rulemaking on potential amendments to the Funeral Rule. On May 17, 2023, the FTC announced, as part of its continuing review of potential amendments to the Funeral Rule, that it would host a public workshop, held on September 7, 2023, to consider issues raised by certain consumer advocacy groups. Although the FTC’s public workshop was completed, no further announcements related to the notice of proposed rulemaking on potential amendments to the Funeral Rule have been announced by the FTC. We cannot predict what changes, if any, may be made to the Funeral Rule or the impact of any such changes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State Trust Laws. </w:t>
      </w:r>
      <w:r>
        <w:rPr>
          <w:rFonts w:ascii="Times New Roman;serif" w:hAnsi="Times New Roman;serif"/>
          <w:b w:val="false"/>
          <w:color w:val="000000"/>
          <w:sz w:val="20"/>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which we select. Under state trust laws, our wholly owned registered investment advisor is allowed to charge the trust a fee for advising on the investment of the trust assets and these fees are recognized as income in the period in which services are provided. Preneed funeral sales generally require deposits to a trust or purchase of a third-party insurance product. In most states, we are not permitted to withdraw principal or investment income from such trusts until the funeral service is performed. Some states, however, allow for the retention of a percentage (generally 10%) of the receipts to offset any administrative and selling expenses. Additionally, we are generally required under applicable state laws to deposit a specified amount (which varies from state to state, generally 50% to 100% of the selling price) into a merchandise and service trust fund for preneed cemetery merchandise and services sales.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Environmental.</w:t>
      </w:r>
      <w:r>
        <w:rPr>
          <w:color w:val="000000"/>
        </w:rPr>
        <w:t xml:space="preserve"> </w:t>
      </w:r>
      <w:r>
        <w:rPr>
          <w:rFonts w:ascii="Times New Roman;serif" w:hAnsi="Times New Roman;serif"/>
          <w:b w:val="false"/>
          <w:color w:val="000000"/>
          <w:sz w:val="20"/>
        </w:rPr>
        <w:t>Our operations are also subject to certain federal, regional, state, and local laws and regulations relating to environmental protection, 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 the federal Clean Water Act, and analogous state laws regulate discharges of pollutants to state and federal waters. Underground and above 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 operations, and we cannot assure that we will not incur significant costs and liabilities as a result of such releases or spills, including any third-party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compliance with existing environmental laws and regulations, we cannot assure that we will not incur substantial costs in the future.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Worker Health and Safety</w:t>
      </w:r>
      <w:r>
        <w:rPr>
          <w:rFonts w:ascii="Times New Roman;serif" w:hAnsi="Times New Roman;serif"/>
          <w:b w:val="false"/>
          <w:color w:val="000000"/>
          <w:sz w:val="20"/>
        </w:rPr>
        <w:t>. We are subject to the requirements of the federal Occupational Safety and Health Act, as amended (“OSHA”), and comparable 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compliance with all applicable laws and regulations relating to worker health and safety.</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funeral homes and cemeteries are managed by entrepreneurially focused Managing Partners with extensive funeral and cemetery industry experience. They have responsibility for day-to-day operations and follow operating and financial metrics called “Standards” within our Standards Operating Model. Standards Achievement is the measure by which we judge the Managing Partner's performance and how we incentivize our Managing Partners and their teams. Additionally, we utilize short-term and long-term incentive performance programs to attract and retain talent in critical positions, ranging from sales counselors and sales managers to Houston support center leaders and employees.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and our subsidiaries employed 2,321 employees, of whom 1,248 were full-time and 1,073 were part-time. All of our funeral directors and embalmers possess licenses required by applicable regulatory agencies. None of our employees are represented by unions.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file annual, quarterly and other reports, and any amendments to those reports, and information with the U.S Securities and Exchange Commission (“SEC”). The SEC maintains a website at </w:t>
      </w:r>
      <w:r>
        <w:rPr>
          <w:rFonts w:ascii="Times New Roman;serif" w:hAnsi="Times New Roman;serif"/>
          <w:b/>
          <w:i/>
          <w:color w:val="000000"/>
          <w:sz w:val="20"/>
        </w:rPr>
        <w:t>www.sec.gov</w:t>
      </w:r>
      <w:r>
        <w:rPr>
          <w:color w:val="000000"/>
        </w:rPr>
        <w:t xml:space="preserve"> </w:t>
      </w:r>
      <w:r>
        <w:rPr>
          <w:rFonts w:ascii="Times New Roman;serif" w:hAnsi="Times New Roman;serif"/>
          <w:b w:val="false"/>
          <w:color w:val="000000"/>
          <w:sz w:val="20"/>
        </w:rPr>
        <w:t>that contains reports, proxy and information statements, and other information regarding issuers that file electronically with the SEC, including us.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website address is </w:t>
      </w:r>
      <w:r>
        <w:rPr>
          <w:rFonts w:ascii="Times New Roman;serif" w:hAnsi="Times New Roman;serif"/>
          <w:b/>
          <w:i/>
          <w:color w:val="000000"/>
          <w:sz w:val="20"/>
        </w:rPr>
        <w:t>www.carriageservices.com</w:t>
      </w:r>
      <w:r>
        <w:rPr>
          <w:rFonts w:ascii="Times New Roman;serif" w:hAnsi="Times New Roman;serif"/>
          <w:b w:val="false"/>
          <w:color w:val="000000"/>
          <w:sz w:val="20"/>
        </w:rPr>
        <w:t xml:space="preserve">. Available on our website under “Investors – SEC Filings,” free of charge, are Carriage’s annual reports on Form 10-K, quarterly reports on Form 10-Q, proxy statements, current reports on Form 8-K, insider reports on Forms 3, 4 and 5 filed on behalf of directors and officers and amendments to those reports, each as soon as reasonably practicable after such materials are electronically filed with or furnished to the SEC.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 Governance Documents.” Our Code of Business Conduct and Ethics applies to all of our officers, employees and directors, including our principal executive officer, principal financial officer, and principal accounting officer. Within the time period required by the SEC and the New York Stock Exchange, we will post on our website any modifications to the charters and any waivers applicable to senior officers as defined in the applicable charters, as required by the Sarbanes-Oxley Act of 2002, as well as any amendments or modifications to our Code of Business Conduct and Ethics. Information contained on our website is not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20" w:after="283"/>
        <w:jc w:val="both"/>
        <w:rPr>
          <w:rFonts w:ascii="Times New Roman;serif" w:hAnsi="Times New Roman;serif"/>
          <w:b/>
          <w:i/>
          <w:color w:val="000000"/>
          <w:sz w:val="21"/>
        </w:rPr>
      </w:pPr>
      <w:r>
        <w:rPr>
          <w:rFonts w:ascii="Times New Roman;serif" w:hAnsi="Times New Roman;serif"/>
          <w:b/>
          <w:i/>
          <w:color w:val="000000"/>
          <w:sz w:val="21"/>
        </w:rPr>
        <w:t>Key Employees and Compensation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success of our businesses is typically dependent upon one or a few key employees for success because of the localized and personal nature of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and cemetery businesses have built local heritage and tradition through successive generations, providing a foundation for ongoing business opportunities from established customer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employees could have a material adverse effect on our financial condition, results of operations,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Our “Good to Great” incentive program could result in significant future payments to our Managing Partners.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We believe this incentive program will result in improved field-level margins, market share, and overall financial performance. </w:t>
      </w:r>
    </w:p>
    <w:p>
      <w:pPr>
        <w:pStyle w:val="TextBody"/>
        <w:bidi w:val="0"/>
        <w:spacing w:lineRule="auto" w:line="288" w:before="120" w:after="283"/>
        <w:jc w:val="both"/>
        <w:rPr>
          <w:rFonts w:ascii="Times New Roman;serif" w:hAnsi="Times New Roman;serif"/>
          <w:b/>
          <w:i/>
          <w:color w:val="000000"/>
          <w:sz w:val="21"/>
        </w:rPr>
      </w:pPr>
      <w:r>
        <w:rPr>
          <w:rFonts w:ascii="Times New Roman;serif" w:hAnsi="Times New Roman;serif"/>
          <w:b/>
          <w:i/>
          <w:color w:val="000000"/>
          <w:sz w:val="21"/>
        </w:rPr>
        <w:t>Strategic Business Execution and Performance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Improved performance in our funeral and cemetery segments is dependent upon successful execution of our Standards Operating Model.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implemented our Standards Operating Model to improve and better measure performance in our funeral and cemetery operations. We developed these standards, which are updated from time to time, according to criteria, each with a different weighting, designed around market share, high-value services and operational and financial metrics. We also incentivize our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improved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ability to execute our growth strategy is highly dependent upon our ability to successfully identify suitable acquisition candidates and negotiate transactions on favorable terms.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we will be able to continue to identify acquisition candidates that meet our criteria or that we will be able to reach terms with identified candidates for transactions that are acceptable to us, and even if we do, we may not be able to close the transaction or successfully integrate the new business into our existing portfolio.</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Divestitures could negatively impact our business and retained liabilities from businesses that we sell could adversely affect our financial results.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periodically review our businesses which may no longer be aligned with our strategic business plan and long-term objectives and, as a result of these reviews of our businesses, we may pursue additional divestitures. From time to time, we engage in discussions with third parties about potential divestitures of one or more of our businesses that, if fully consummated, could result in the divestiture of a material amount of assets that have historically contributed to our results of operations. Divestitures pose risks and challenges that could negatively impact our business, including disputes with buyers or potential impairment charges. For example, when we decide to sell a business, we may be unable to do so on our terms and within our anticipated time-frame, and even after reaching a definitive agreement to sell a business, the sale may be subject to satisfaction of pre-closing conditions, which may not be satisfied, as well as regulatory and governmental approvals, which may prevent us from completing a transaction on acceptable terms. If we do not realize the expected benefits of any divestiture transaction, our financial condition, results of operations, and cash flows could be materially adversely affected. </w:t>
      </w:r>
    </w:p>
    <w:p>
      <w:pPr>
        <w:pStyle w:val="TextBody"/>
        <w:bidi w:val="0"/>
        <w:spacing w:lineRule="auto" w:line="288" w:before="240" w:after="283"/>
        <w:jc w:val="both"/>
        <w:rPr>
          <w:rFonts w:ascii="Times New Roman;serif" w:hAnsi="Times New Roman;serif"/>
          <w:b/>
          <w:i/>
          <w:color w:val="000000"/>
          <w:sz w:val="21"/>
        </w:rPr>
      </w:pPr>
      <w:r>
        <w:rPr>
          <w:rFonts w:ascii="Times New Roman;serif" w:hAnsi="Times New Roman;serif"/>
          <w:b/>
          <w:i/>
          <w:color w:val="000000"/>
          <w:sz w:val="21"/>
        </w:rPr>
        <w:t>Competitive Marketplace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funeral and cemetery industry is competitive.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funeral and cemetery industry is characterized by a large number of locally owned, independent operations in the U.S. and a large number of operations owned by publicly and privately held funeral home and cemetery consolidators.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providers, and other nontraditional providers of merchandise and services. If we are unable to successfully compete, our financial condition, results of operations, and cash flows could be materially adversely affected.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Marketing and sales activities by existing and new competitors could cause us to lose market share and lead to lower revenue and margins.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for such services by our competitors may attract customers, causing us to lose market share and revenue as well as to incur costs in response to competition to vary the types or mix of products or services offered by us.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Price competition could also reduce our market share or cause us to reduce prices to retain or recapture market share, either of which could reduce revenue and margins.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historically experienced price competition primarily from independent funeral home and cemetery operators, and from monument dealers, casket retailers, low-cost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 profits and our preneed backlog.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1"/>
        </w:rPr>
      </w:pPr>
      <w:r>
        <w:rPr>
          <w:rFonts w:ascii="Times New Roman;serif" w:hAnsi="Times New Roman;serif"/>
          <w:b/>
          <w:i/>
          <w:color w:val="000000"/>
          <w:sz w:val="21"/>
        </w:rPr>
        <w:t>Change in Preneed Sales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ability to generate preneed sales depends on a number of factors, including sales incentives and local and general economic conditions.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declines in preneed sales would reduce our backlog and future revenue and could reduce our future market share. On the other hand, a significant increase in preneed sales can have a negative impact on cash flow as a result of commissions and other costs incurred initially without corresponding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near term.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Increased preneed sales could have a negative impact on our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Preneed sales of funeral and cemetery products and services generally have an initial negative impact on our cash flows, as we are required in certain states to deposit a portion of the sales proceeds into trusts or escrow accounts and often incur other expenses at the time of sale. Furthermore, many preneed purchases are paid for in installments over a period of several years, further limiting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 in the near term. </w:t>
      </w:r>
    </w:p>
    <w:p>
      <w:pPr>
        <w:pStyle w:val="TextBody"/>
        <w:bidi w:val="0"/>
        <w:spacing w:lineRule="auto" w:line="288" w:before="240" w:after="283"/>
        <w:jc w:val="left"/>
        <w:rPr>
          <w:rFonts w:ascii="Times New Roman;serif" w:hAnsi="Times New Roman;serif"/>
          <w:b/>
          <w:i/>
          <w:color w:val="000000"/>
          <w:sz w:val="21"/>
        </w:rPr>
      </w:pPr>
      <w:r>
        <w:rPr>
          <w:rFonts w:ascii="Times New Roman;serif" w:hAnsi="Times New Roman;serif"/>
          <w:b/>
          <w:i/>
          <w:color w:val="000000"/>
          <w:sz w:val="21"/>
        </w:rPr>
        <w:t xml:space="preserve">Trust and Life Insurance Funded Contracts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funeral and cemetery trust funds own investments in equity securities, fixed income securities, and mutual funds, which are affected by market conditions that are beyond our control.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 returns (realized and unrealized), excluding certain fees, on our trust funds for the years ended December 31, 2025, 2024, and 2023:</w:t>
      </w:r>
    </w:p>
    <w:tbl>
      <w:tblPr>
        <w:tblW w:w="5385" w:type="dxa"/>
        <w:jc w:val="left"/>
        <w:tblInd w:w="0" w:type="dxa"/>
        <w:tblLayout w:type="fixed"/>
        <w:tblCellMar>
          <w:top w:w="28" w:type="dxa"/>
          <w:left w:w="28" w:type="dxa"/>
          <w:bottom w:w="28" w:type="dxa"/>
          <w:right w:w="28" w:type="dxa"/>
        </w:tblCellMar>
      </w:tblPr>
      <w:tblGrid>
        <w:gridCol w:w="884"/>
        <w:gridCol w:w="779"/>
        <w:gridCol w:w="782"/>
        <w:gridCol w:w="203"/>
        <w:gridCol w:w="203"/>
        <w:gridCol w:w="271"/>
        <w:gridCol w:w="109"/>
        <w:gridCol w:w="109"/>
        <w:gridCol w:w="109"/>
        <w:gridCol w:w="255"/>
        <w:gridCol w:w="256"/>
        <w:gridCol w:w="271"/>
        <w:gridCol w:w="109"/>
        <w:gridCol w:w="109"/>
        <w:gridCol w:w="109"/>
        <w:gridCol w:w="255"/>
        <w:gridCol w:w="256"/>
        <w:gridCol w:w="316"/>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funds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care trust funds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 8.</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fair market value of these trusts, plus any other amount due to us upon delivery of the associated contracts, were to decline below the estimated costs to deliver the underlying products and services at maturity, we would record a charge to earnings for the expected losses on the delivery of the associated contracts. For additional information, see Part II, Item 7, Management’s Discussion and Analysis of Financial Condition and Results of Operations, Critical Accounting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Earnings from and principal of trust funds could be reduced by changes in financial markets and the mix of securities owned.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required to replenish our funeral and cemetery trust funds in order to meet minimum funding requirements, which would have a negative effect on our earnings and cash flow.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Increasing death benefits related to preneed funeral contracts funded through life insurance policies may not cover future increases in the cost of providing a price-guaranteed funeral service.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price-guaranteed preneed funeral contracts through various programs providing for future funeral services at prices prevailing when the agreements are signed. For preneed funeral contracts funded through life insurance policies,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financial condition of third-party insurance companies that fund our preneed funeral contracts may impact our future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pStyle w:val="TextBody"/>
        <w:bidi w:val="0"/>
        <w:spacing w:lineRule="auto" w:line="288" w:before="240" w:after="283"/>
        <w:jc w:val="both"/>
        <w:rPr>
          <w:rFonts w:ascii="Times New Roman;serif" w:hAnsi="Times New Roman;serif"/>
          <w:b/>
          <w:i/>
          <w:color w:val="000000"/>
          <w:sz w:val="21"/>
        </w:rPr>
      </w:pPr>
      <w:r>
        <w:rPr>
          <w:rFonts w:ascii="Times New Roman;serif" w:hAnsi="Times New Roman;serif"/>
          <w:b/>
          <w:i/>
          <w:color w:val="000000"/>
          <w:sz w:val="21"/>
        </w:rPr>
        <w:t>Tax Changes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taxation, or the interpretations of tax laws or regulations, as well as the inherent difficulty in quantifying potential tax effects of business decisions could have a material adverse effect on the results of our operations, financial condition,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make judgments regarding the utilization of existing income tax credits and the potential tax effects of various financial transactions and results of operations to estimate our obligations to taxing authorities. We are also subject to regular reviews, examinations, and audits by the Internal Revenue Service (“IRS”) and other taxing authorities with respect to our taxes. Uncertain tax positions may arise where tax laws or regulations may allow for alternative interpretations, where the timing of recognition of income is subject to judgement, or where the IRS or other taxing authorities issue subsequent guidance or take positions on audits that differ from our interpretations and assumptions. Our tax obligations include, for example, income, franchise, real estate, sales and use, and employment-related taxes and the judgments we make include reserves for potential adverse outcomes regarding our tax positions. Although we believe we have accurately estimated our tax obligations, uncertainty of interpretation by various tax authorities and the possibility that there are issues that have not been recognized by management could each result in additional tax obligations. For example, if a taxing authority disagrees with the positions we have taken, we could face additional tax liability, including interest and penalties. We believe that our tax obligations reflect the anticipated outcome of known uncertain tax positions in conformity with ASC Topic 740 Income Taxes. In addition, our effective tax rate could be adversely affected by changes in the mix of earnings in states with different statutory tax rates, changes in the valuation of deferred tax assets and liabilities, changes in tax laws and regulations, changes to our business structure or operations, including acquisitions or divestitures, or changes in our interpretations of tax laws. Changes in federal, state, or local tax laws, adverse tax audit results, or adverse tax rulings on positions taken could have a material adverse effect on the results of our operations, financial condition,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New or revised tax laws or regulations could have a material effect on our financial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additional tax liabilities and penalties resulting from new tax legislation or regulations, which could be enacted at any time, and changes to existing tax laws or regulations, which could be interpreted, amended, or applied in a manner that has a material effect on us, which could materially impact our business and financial condition.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on July 4, 2025, the One Big Beautiful Bill Act (“OBBBA”) was signed into law. The OBBBA made several key provisions of the Tax Cuts and Jobs Act of 2017 permanent, including 100% bonus depreciation, the immediate expensing of domestic research costs, and the introduction of a favorable modification to the business interest expense limitation. Together, these changes accelerate the timing of certain tax deductions in the current period that allow for reductions in cash taxes. The Company adopted the relevant provisions during the third quarter of 2025 and determined that the OBBBA did not have a material effect on the Company's financial statements.</w:t>
      </w:r>
    </w:p>
    <w:p>
      <w:pPr>
        <w:pStyle w:val="TextBody"/>
        <w:bidi w:val="0"/>
        <w:spacing w:lineRule="auto" w:line="288" w:before="240" w:after="283"/>
        <w:jc w:val="left"/>
        <w:rPr>
          <w:rFonts w:ascii="Times New Roman;serif" w:hAnsi="Times New Roman;serif"/>
          <w:b/>
          <w:i/>
          <w:color w:val="000000"/>
          <w:sz w:val="21"/>
        </w:rPr>
      </w:pPr>
      <w:r>
        <w:rPr>
          <w:rFonts w:ascii="Times New Roman;serif" w:hAnsi="Times New Roman;serif"/>
          <w:b/>
          <w:i/>
          <w:color w:val="000000"/>
          <w:sz w:val="21"/>
        </w:rPr>
        <w:t>Litigation and Claims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Unfavorable results of litigation could have a material adverse impact on our financial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RISKS RELATED TO THE FUNERAL AND CEMETERY INDUSTRY</w:t>
      </w:r>
    </w:p>
    <w:p>
      <w:pPr>
        <w:pStyle w:val="TextBody"/>
        <w:bidi w:val="0"/>
        <w:spacing w:lineRule="auto" w:line="288" w:before="240" w:after="283"/>
        <w:jc w:val="left"/>
        <w:rPr>
          <w:rFonts w:ascii="Times New Roman;serif" w:hAnsi="Times New Roman;serif"/>
          <w:b/>
          <w:i/>
          <w:color w:val="000000"/>
          <w:sz w:val="21"/>
        </w:rPr>
      </w:pPr>
      <w:r>
        <w:rPr>
          <w:rFonts w:ascii="Times New Roman;serif" w:hAnsi="Times New Roman;serif"/>
          <w:b/>
          <w:i/>
          <w:color w:val="000000"/>
          <w:sz w:val="21"/>
        </w:rPr>
        <w:t>Changes in Death Rates and Consumer Preferences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Declines in the number of deaths in our markets can cause a decrease in revenue. Changes in the number of deaths are not predictable from market to market or over the short term.</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Declines in the number of deaths could cause atneed sales of funeral and cemetery services, property and merchandise to decline, which could decrease revenue. Although the U.S. Bureau of the Census estimates that the number of deaths in the U.S.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For example, </w:t>
      </w:r>
      <w:r>
        <w:rPr>
          <w:rFonts w:ascii="Times New Roman;serif" w:hAnsi="Times New Roman;serif"/>
          <w:b w:val="false"/>
          <w:color w:val="000000"/>
          <w:sz w:val="20"/>
          <w:shd w:fill="FFFFFF" w:val="clear"/>
        </w:rPr>
        <w:t xml:space="preserve">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including any new or emerging public health threats. These unexpected fluctuations may not only increase death rates during the affected period, but also may subsequently decrease death rates following the affected period as a result of an acceleration of death rates. </w:t>
      </w:r>
      <w:r>
        <w:rPr>
          <w:rFonts w:ascii="Times New Roman;serif" w:hAnsi="Times New Roman;serif"/>
          <w:b w:val="false"/>
          <w:color w:val="000000"/>
          <w:sz w:val="20"/>
        </w:rPr>
        <w:t xml:space="preserve">As a result, we are unable to predict or forecast the duration or variation of </w:t>
      </w:r>
      <w:r>
        <w:rPr>
          <w:rFonts w:ascii="Times New Roman;serif" w:hAnsi="Times New Roman;serif"/>
          <w:b w:val="false"/>
          <w:color w:val="000000"/>
          <w:sz w:val="20"/>
          <w:shd w:fill="FFFFFF" w:val="clear"/>
        </w:rPr>
        <w:t>the current death rate with any certainty</w:t>
      </w:r>
      <w:r>
        <w:rPr>
          <w:rFonts w:ascii="Times New Roman;serif" w:hAnsi="Times New Roman;serif"/>
          <w:b w:val="false"/>
          <w:color w:val="000000"/>
          <w:sz w:val="20"/>
        </w:rPr>
        <w:t xml:space="preserve">, including the potential impact of epidemics and pandemics on the death rate, including </w:t>
      </w:r>
      <w:r>
        <w:rPr>
          <w:rFonts w:ascii="Times New Roman;serif" w:hAnsi="Times New Roman;serif"/>
          <w:b w:val="false"/>
          <w:color w:val="000000"/>
          <w:sz w:val="20"/>
          <w:shd w:fill="FFFFFF" w:val="clear"/>
        </w:rPr>
        <w:t>any new or emerging public health threats</w:t>
      </w:r>
      <w:r>
        <w:rPr>
          <w:rFonts w:ascii="Times New Roman;serif" w:hAnsi="Times New Roman;serif"/>
          <w:b w:val="false"/>
          <w:color w:val="000000"/>
          <w:sz w:val="20"/>
        </w:rPr>
        <w:t>. Any future variations of the death rate may cause our revenue to fluctuate and our results of operations to lack predictability.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increasing number of cremations in the U.S. could cause revenue to decline because we could lose market share to firms specializing in cremations and because our average revenue for cremations is lower than that for traditional burials.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traditional cemetery and funeral service operations face competition from the increasing number of cremations in the U.S..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 Additionally, our average revenue for cremations is lower than that for traditional burials. If we are unable to continue to expand our cremation memorialization products and services, and cremations remain or increase as a significant percentage of our services, our financial condition, results of operations, and cash flows could be materially adversely affected.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are not able to respond effectively to changing consumer preferences, our market share, revenue, and profitability could decrease.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preferences, or we may identify them later than our competitors. In addition, any strategies we may implement to address these trends may prove incorrect or ineffective.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Because the funeral and cemetery businesses are high fixed-cost businesses, changes in revenue can have a disproportionately large effect on cash flow and profits.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and cemetery businesses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those declines can cause margins, profits and cash flow to decrease at a greater rate than the decline in revenue.</w:t>
      </w:r>
    </w:p>
    <w:p>
      <w:pPr>
        <w:pStyle w:val="TextBody"/>
        <w:bidi w:val="0"/>
        <w:spacing w:lineRule="auto" w:line="288" w:before="240" w:after="283"/>
        <w:jc w:val="both"/>
        <w:rPr>
          <w:rFonts w:ascii="Times New Roman;serif" w:hAnsi="Times New Roman;serif"/>
          <w:b/>
          <w:i/>
          <w:color w:val="000000"/>
          <w:sz w:val="21"/>
        </w:rPr>
      </w:pPr>
      <w:r>
        <w:rPr>
          <w:rFonts w:ascii="Times New Roman;serif" w:hAnsi="Times New Roman;serif"/>
          <w:b/>
          <w:i/>
          <w:color w:val="000000"/>
          <w:sz w:val="21"/>
        </w:rPr>
        <w:t>Regulatory Changes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or increases in, or failure to comply with, regulations applicable to our business could increase costs or decrease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funeral and cemetery industry is subject to extensive and evolving regulation and licensing requirements under federal, state and local laws. For example, the funeral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subject to environmental and worker health and safety laws and regulations that may expose us to significant costs and liabilities.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and funeral home operations are subject to certain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CREDIT FACILITY AND FINANCIAL ACTIVITIES </w:t>
      </w:r>
    </w:p>
    <w:p>
      <w:pPr>
        <w:pStyle w:val="TextBody"/>
        <w:bidi w:val="0"/>
        <w:spacing w:lineRule="auto" w:line="288" w:before="240" w:after="283"/>
        <w:jc w:val="left"/>
        <w:rPr>
          <w:rFonts w:ascii="Times New Roman;serif" w:hAnsi="Times New Roman;serif"/>
          <w:b/>
          <w:i/>
          <w:color w:val="000000"/>
          <w:sz w:val="21"/>
        </w:rPr>
      </w:pPr>
      <w:r>
        <w:rPr>
          <w:rFonts w:ascii="Times New Roman;serif" w:hAnsi="Times New Roman;serif"/>
          <w:b/>
          <w:i/>
          <w:color w:val="000000"/>
          <w:sz w:val="21"/>
        </w:rPr>
        <w:t>Credit Facility and Debt Obligations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our Credit Facility, we must comply with, amongst other things, a maximum Total Leverage Ratio covenant that is measured quarterly. If we are unable to comply with the maximum Total Leverage Ratio, we will be in immediate default under the Credit Facility. For example, although we have not currently experienced any material negative impacts to our liquidity position, access to capital, or cash flows as a result of our operations or from any macroeconomic conditions, any material difference from our projected future operational and financial performance may have a future impact on our business that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 and take steps to raise additional funds, which could have negative impacts on our business, results of operations, financial condition and for our stockholders. For example, if we raised additional funds through issuing additional equity securities, our stockholders may experience significant dilution, and the price of our common stock may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level of indebtedness could adversely affect our financial condition and prevent us from fulfilling our debt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indebtedness requires significant interest and principal payments. As of December 31, 2025, we had $532.9 million of total debt (excluding debt issuance costs, debt discounts and lease obligations), consisting of $6.2 million of acquisition debt (consisting of deferred purchase price and promissory notes payable to sellers of businesses and real property we purchased), $400.0 million of our Senior Notes and $126.7 million of outstanding borrowings under our Credit Facility, with $121.1 million of availability under our Credit Facility after giving effect to $2.2 million of outstanding letters of credit.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and our subsidiaries’ level of indebtedness could have important consequences to us, including:</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continuing to require us and certain of our subsidiaries to dedicate a substantial portion of our cash flow from operations to the payment of our indebtedness, thereby reducing the funds available for operations and any future business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limiting flexibility in planning for, or reacting to, changes in our business or the industry in which we operate;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placing us at a competitive disadvantage compared to our competitors that have less indebtedness;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increasing our vulnerability to adverse general economic or industry conditions;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making us and our subsidiaries more vulnerable to increases in interest rates, as borrowings under our Credit Facility are at variable rates;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limiting our ability to obtain additional financing to fund working capital, capital expenditures, acquisitions or other general corporate requirements and increasing our cost of borrowing.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dedicating an unsustainable level of our cash flow from operations to the payment of principal and interest on our indebtedness or issuing equity, each of which may lead to negative impacts on our business, results of operations, financial condition and for our stockholders.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Despite our current levels of indebtedness, we may still incur additional indebtedness. This could further exacerbate the risks associated with our indebtedness.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which do not constitute indebtedness as defined under our debt agreements. To the extent new debt is added to our current debt levels, the leverage risks associated with our indebtedness would increase.</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 xml:space="preserve">GENERAL RISKS </w:t>
      </w:r>
    </w:p>
    <w:p>
      <w:pPr>
        <w:pStyle w:val="TextBody"/>
        <w:bidi w:val="0"/>
        <w:spacing w:lineRule="auto" w:line="288" w:before="180" w:after="283"/>
        <w:jc w:val="both"/>
        <w:rPr>
          <w:rFonts w:ascii="Times New Roman;serif" w:hAnsi="Times New Roman;serif"/>
          <w:b/>
          <w:i/>
          <w:color w:val="000000"/>
          <w:sz w:val="21"/>
        </w:rPr>
      </w:pPr>
      <w:r>
        <w:rPr>
          <w:rFonts w:ascii="Times New Roman;serif" w:hAnsi="Times New Roman;serif"/>
          <w:b/>
          <w:i/>
          <w:color w:val="000000"/>
          <w:sz w:val="21"/>
        </w:rPr>
        <w:t>Economic Conditions and Natural Disasters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U.S. foreign trade policies could lead to the imposition of additional trade barriers and tariffs on the foreign import of certain materials and products. For example, effective August 1, 2025, the U.S. adopted new and increased tariffs on countries and specific goods, subject to evolving exemptions. In October 2025, the U.S. government announced a series of new and expanded tariffs on imports from China and other countries, including a 100% tariff on certain categories of goods and increased duties. While these measures were scheduled to take effect beginning November 1, 2025, the U.S. government announced on October 30, 2025 a temporary pause on the implementation of these tariffs, along with China agreeing to pause the implementation of certain retaliatory measures scheduled to take effect in response. These actions have caused substantial uncertainty and volatility in financial markets and may result in additional retaliatory measures or costs on U.S. goods. We cannot predict what additional changes to trade policy will be made by the presidential administration or Congress,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However, such steps, if adopted, could result in additional inflationary pressures on the U.S. economy and increase the costs of goods we offer our customers and may negatively impact the supply chain on which we depend to supply merchandise to our funeral home and cemetery locations. Although we may take measures to mitigate the effects of these impacts, if these measures are not effective, there can be no assurance that such changes in U.S. trade policy or in laws and policies governing foreign trade would not materially and adversely affect our business, financial condition, results of operations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adversely affected by the effects of inflation.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Inflation has the potential to adversely affect our liquidity, business, financial condition and results of operations by increasing our overall cost structure or by reducing the amount of discretionary income consumers have available to spend on our services.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already experienced cost increases and surcharges from our vendors and suppliers on merchandise and goods and may continue to experience additional cost increases in the future, which could be of greater magnitude than those experienced to date. In addition, the impacts of inflation are also felt by consumers who face rising prices for a variety of goods and services, which could reduce the amount of discretionary spending that would otherwise be available to our customer families and potential customer families to spend on our services.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maintain cash balances in accounts at U.S. financial institutions that we believe are high quality. These accounts, held by us and our affiliated companies, are in non-interest-bearing and interest-bearing operating accounts and may, from time to time, exceed the Federal Deposit Insurance Corporation (“FDIC”) insurance limits. If such banking institutions were to fail, we could lose all or a portion of those amounts held in excess of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availability under our Credit Facility and/or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Unfavorable economic conditions, including those resulting from health and safety concerns, could adversely affect our business, financial condition or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operational results could be adversely affected by general conditions in the U.S. economy, including conditions that are outside of our control, such as the impact of health and safety concerns from epidemics and pandemics. For example, the initial U.S. and global economic and financial conditions related to the COVID-19 pandemic resulted in extreme volatility and disruptions in the capital and credit markets. A severe or prolonged economic downturn from a pandemic or epidemic, including any new or emerging public health threats and the related adverse economic and health consequences, could result in a variety of risks to our business, financial condition or results from operations, including weakened demand from our customer families, decreased preneed sales, increased preneed installment contract defaults, increased cremation rates, reduced access to capital and credit markets or delays in obtaining customer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outbreak of pandemic diseases, or any new or emerging public health threats, we may lose the services of a number of our key employees or experience system interruptions, which could lead to impacts to our regular business operations, inefficiencies and reputational harm. Due to the uncertainty around the ultimate impacts of any epidemic or pandemic, including any new or emerging public health threats, to our business and operations, any related impact on our business and operational results cannot be reasonably estimated at this time. Any of the foregoing could harm our business and we cannot anticipate all the ways in which future epidemics and pandemics, including any new or emerging public health threats, would affect financial market conditions that could adversely impact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Economic, financial and stock market fluctuations could affect future potential earnings and cash flows and could result in future goodwill, intangible assets and long-lived asset impairments.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intangible assets and other long-lived assets.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results of our annual goodwill and intangible assets impairment test we performed as of August 31, 2025 and our annual review of long-lived assets and leases as of December 31, 2025, we concluded that there were no impairments of our goodwill, intangible assets or other long-lived assets and leases.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Significant weather events, natural disasters, or catastrophic events could adversely affect our business, financial condition or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Over forty percent of the businesses we operate are located in California, Texas and Florida, areas where natural disasters are more prevalent, including, for example, hurricanes, wildfires, flooding, earthquakes, tornadoes and droughts. Significant weather events, natural disasters or catastrophic events in these states or other key areas where our operations are concentrated could disrupt our business through injury to our employees or customer families, physical damage, closure or destruction of one or more of our locations, data centers or office facilities, or disrupt the delivery of goods or services by one or more of our vendors, any or all of which could adversely impact our operations or increase our costs, which would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1"/>
        </w:rPr>
      </w:pPr>
      <w:r>
        <w:rPr>
          <w:rFonts w:ascii="Times New Roman;serif" w:hAnsi="Times New Roman;serif"/>
          <w:b/>
          <w:i/>
          <w:color w:val="000000"/>
          <w:sz w:val="21"/>
        </w:rPr>
        <w:t>Information Technology and Internal Controls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We rely significantly on information technology systems, software, or information security practices and those of our business partners or third-party providers, and any failure, inadequacy, interruption or security lapse of that technology, including any cybersecurity incidents or our actual or perceived failure to comply with any related regulatory requirements, could lead to adverse business consequences.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receive certain personal information, in both physical and electronic formats, about our customers, their loved ones, our employees, and our vendors. We maintain security measures and data backup systems to protect, store, and prevent unauthorized access to such information, which we are continually assessing and updating, as necessary. 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cyber-attacks, computer viruses, malware, phishing, denial of service attacks, power loss, or other disruptive events. Information technology security threats have been increasing in frequency and sophistication. Cyber-attacks may be random, coordinated, or targeted, including sophisticated computer crime threats. For example, following our previously disclosed ransomware attack to our information technology system in January 2021, we have since implemented additional and enhanced security measures to our overall cyber-security posture to mitigate, to the extent possible, future cyberattacks and other similar threats. These measures include, for example, the addition of an advanced security operations center providing proactive threat protection, cloud-based firewall protection across all locations and endpoint protection. While we determined, based on our assessment of the information known to us, that the January 2021 ransomware incident did not have, nor do we expect it will have, a material impact on our business, operations or financial results, if we fail to protect our own information from any future breaches in data security, we could experience significant costs and expenses as well as damage to our reputation. Moreover, it is possible that computer hackers and others (through increasingly sophisticated cyberattacks or by other means) might circumvent our security measures in the future and obtain the personal information of customers, their loved ones, our employees or our vendors.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maintain insurance coverage for various cybersecurity risks, which covered substantially all the costs associated with our January 2021 ransomware attack, but it is possible that such insurance coverage may not fully insure all future costs or losses associated with other cybersecurity incidents. As the sophistication and frequency of attacks increase, our information technology security costs, including cybersecurity insurance, which are significant, may rise.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legislation relating to cybersecurity threats could impose additional requirements on our operations. Various state governments, notably California, New York, Nevada and Virginia, have enacted or enhanced data privacy regulations, including data breach notification requirements, consumer protection laws, and personal data privacy laws, and other state governments are considering establishing similar or stronger protections. These regulations impose certain obligations for securing, and potentially removing, specified personal information in our systems, and for apprising individuals of the information we have collected about them. We have incurred costs in an effort to comply with these data privacy risks and requirements, and our costs may increase significantly as risks become increasingly complex or if new or changing requirements are enacted, and based on how individuals exercise their rights. For example, in June 2018, the State of California enacted the California Consumer Privacy Act of 2018 (“CCPA”), which took effect on January 1, 2023, and expanded consumer rights related to sharing of personal data, granted additional personal-data rights to consumers, removed the exceptions for business-to-business and employment data, and removed the 30-day window to cure alleged noncompliance before being subject to administrative enforcement. With respect to CCPA and CPRA, both have increased the data privacy requirements and costs for our business. Despite our efforts, any noncompliance could result in our incurring substantial penalties and reputational damage.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continue incorporating, traditional and generative artificial intelligence (“AI”) solutions into certain of our information systems and operations with the intent to enhance efficiency and effectiveness, and these solutions may become important in our operations over time. For example, we have incorporated AI and generative AI to automate certain manual administrative processes and increase productivity within our sale terms. The continued evolution and use of this technology, including cloud-based computing and AI, creates opportunities for the potential loss or misuse of personal data that was collected, used, stored, or transferred in our business operations and systems, and flaws, breaches or malfunctions in these systems could lead to operational disruptions, data loss, including for example unintentional dissemination or intentional destruction of confidential information stored in our or our third party providers’ systems, or erroneous decision-making, which may result in significantly increased business and security costs, reputational damage, administrative penalties, or costs related to defending legal claims. AI technologies may be costly and require significant resources to either license from third-parties or develop, which may be difficult to integrate, launch, and manage, if at all, and require periodic upgrades. There is also a risk that we may not have access to technology or qualified personnel resources to adequately incorporate or adopt ongoing advancements into any AI technologies, including access to the licensing of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intellectual property from third parties. Our competitors or other third parties may incorporate AI into their products more quickly or more successfully than us, which could impair our ability to compete effectively and adversely affect our results of operations. The legal and regulatory landscape and industry standards surrounding AI technologies are rapidly evolving and remains uncertain, and compliance may impose significant operational costs and may limit our ability or require significant resources to develop, deploy, use or maintain AI technologies.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information technology systems require an ongoing commitment of significant resources to maintain, protect, and enhance existing systems and develop new systems. This enables us to keep pace with continuing changes in information processing technology, evolving legal and regulatory standards, the increasing need to protect employee and customer information, changes in the techniques used to obtain unauthorized access to data and information systems, and the information technology needs associated with our evolving products. There can be no assurance that our efforts (including, but not limited to, consolidating, protecting, upgrading, and expanding our systems and capabilities, continuing to build security into the design of our products, and developing new systems to keep pace with continuing changes in information processing technology, including, but not limited to, AI technologies) will be successful or that additional systems issues will not arise in the future. For additional information regarding the Company’s cybersecurity risk management, strategy, and governance, refer to Item 1C. Cybersecurity.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Failure to maintain effective internal control over financial reporting could adversely affect our results of operations, investor confidence, and our stock price.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cybersecurity program is designed to secure the continuity of operations and protect the privacy of company, employee and customer data. Our approach to managing cybersecurity risk and safeguarding information across our organization embeds data protection and cybersecurity risk management throughout our enterprise and daily operations. Our team maintains processes for identifying, assessing and managing material risks, including such risks from cybersecurity threats, and such processes are integrated into our overall risk management approach. Our team regularly reviews significant risks to our Company, including significant cybersecurity risks and the potential for future cybersecurity incidences. Through these reviews, we discuss the identified risks, describe the likelihood of occurrence and assess its potential impact, including the materiality thereof. As part of this exercise, mitigating measures are planned and implemented into action as necessary. As an additional feature of our cybersecurity risk management process, we have engaged an external third-party service provider to support our cybersecurity team, continuously monitoring and identifying potential threats with the ability to take immediate mitigation actions when required. In addition to these services, we conduct periodic network penetration tests conducted by an independent third-party.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undertake to align our cybersecurity approach, which encompasses both enterprise security and operational security, along with the standards of the National Institute of Standards and Technology Cybersecurity Framework. We maintain continuous cyber threat-detection systems and have established an incident response plan, which contains playbooks for addressing and recovering from potential material cyberattacks and breaches of data security. We also have controls in place to ensure any third-party access to our internal systems adhere to internal cybersecurity safeguards, as well as firewalling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access from such third-parties, including service providers, through a secure virtualization layer. In addition to security measures for third-party service providers, we require periodic training covering cybersecurity and information management and conduct regular cybersecurity awareness campaigns.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with respect to our previously disclosed ransomware attack to our information technology system in January 2021, which we determined, based on our assessment of the information known to us, did not have, nor do we expect it will have, a material impact on our business, operations or financial results, we are not aware of any cybersecurity incident that has had or is reasonably likely to have a material impact on our business operations. Given the rapid evolution of cyber-related attack techniques, cybersecurity risks associated with our information technology systems and the systems of our vendors continue to grow. Notwithstanding our cybersecurity management processes, a future cybersecurity incident could have a material adverse effect on our business or on our financial position, results of operations or cash flows. See “Item 1A. Risk Factors - General Risks – Information Technology and Internal Controls - We rely significantly on information technology and any failure, inadequacy, interruption or security lapse of that technology, including any cybersecurity incidents could harm our ability to operate our business effectively.”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involve multiple levels of oversight as a part of our approach to cybersecurity risk management. Our Board oversees and regularly reviews risks to our Company, including cybersecurity, along with related policies and procedures. These reviews include updates from our management team and periodic executive sessions with our Chief Information Officer (“CIO”) covering cybersecurity matters, such as developments to our program, key risk indicators, emerging risks, and identified incidents.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CIO, who has more than 25 years of industry experience and over 15 years of experience in designing and implementing cyber threat detection and mitigation strategies that adhere to NIST and ISO 27001 standards, along with the development, training and controls of effective enterprise cybersecurity programs. Additionally, our CIO oversees the implementation and compliance of our cybersecurity program and mitigation of information security related risks. Such oversight includes: (i) reviewing our enterprise risk register; (ii) maintaining adequate processes to manage the identified risks under our cybersecurity program; (iii) regularly analyzing logs of cybersecurity threats and vulnerabilities; and (iv) overseeing prevention, detection, mitigation and remediation efforts in general, including the development and maintenance of the above-mentioned incident response plan. We also maintain an experienced information technology team at the employee level that supports our CIO in implementing our cybersecurity program and internal reporting, security and mitigation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operated 155 funeral homes in 24 states and 28 cemeteries in 9 states. We own the real property and buildings for 136 of our funeral homes and lease 19 facilities. We own 28 cemeteries. We operate 18 funeral homes in combination with cemeteries as these locations are physically located on the same property or in very close proximity and are under the same leadership.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28 cemeteries that we operate have developed cemetery property of approximately 131,000 and 142,000 units available-for-sale at December 31, 2025 and 2024, respectively. In addition, we own approximately 487 acres that are available for future development or sale. We anticipate having a sufficient inventory of lots to maintain our property sales for the foreseeable future.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support center is located in Houston, Texas, where we lease approximately 48,000 square feet of office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as of December 31, 2025, regarding our properties used by the funeral home segment and by the cemetery segment identified by state:</w:t>
      </w:r>
    </w:p>
    <w:tbl>
      <w:tblPr>
        <w:tblW w:w="6316" w:type="dxa"/>
        <w:jc w:val="left"/>
        <w:tblInd w:w="0" w:type="dxa"/>
        <w:tblLayout w:type="fixed"/>
        <w:tblCellMar>
          <w:top w:w="28" w:type="dxa"/>
          <w:left w:w="28" w:type="dxa"/>
          <w:bottom w:w="28" w:type="dxa"/>
          <w:right w:w="28" w:type="dxa"/>
        </w:tblCellMar>
      </w:tblPr>
      <w:tblGrid>
        <w:gridCol w:w="482"/>
        <w:gridCol w:w="421"/>
        <w:gridCol w:w="432"/>
        <w:gridCol w:w="109"/>
        <w:gridCol w:w="109"/>
        <w:gridCol w:w="109"/>
        <w:gridCol w:w="240"/>
        <w:gridCol w:w="240"/>
        <w:gridCol w:w="240"/>
        <w:gridCol w:w="240"/>
        <w:gridCol w:w="240"/>
        <w:gridCol w:w="240"/>
        <w:gridCol w:w="265"/>
        <w:gridCol w:w="265"/>
        <w:gridCol w:w="265"/>
        <w:gridCol w:w="109"/>
        <w:gridCol w:w="109"/>
        <w:gridCol w:w="109"/>
        <w:gridCol w:w="609"/>
        <w:gridCol w:w="609"/>
        <w:gridCol w:w="611"/>
        <w:gridCol w:w="109"/>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Funeral Homes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Cemeteries</w:t>
            </w:r>
          </w:p>
        </w:tc>
        <w:tc>
          <w:tcPr>
            <w:tcW w:w="263" w:type="dxa"/>
            <w:gridSpan w:val="2"/>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Owned</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Leased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leases, with respect to these funeral homes, generally have remaining terms ranging from one to twenty years, and generally, we have the right to renew past the initial terms and have a right of first refusal on any proposed sale of the property where these funeral homes are located.</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funeral homes and cemeteries owned and operated by us for the periods presented:</w:t>
      </w:r>
    </w:p>
    <w:tbl>
      <w:tblPr>
        <w:tblW w:w="5910" w:type="dxa"/>
        <w:jc w:val="left"/>
        <w:tblInd w:w="0" w:type="dxa"/>
        <w:tblLayout w:type="fixed"/>
        <w:tblCellMar>
          <w:top w:w="28" w:type="dxa"/>
          <w:left w:w="28" w:type="dxa"/>
          <w:bottom w:w="28" w:type="dxa"/>
          <w:right w:w="28" w:type="dxa"/>
        </w:tblCellMar>
      </w:tblPr>
      <w:tblGrid>
        <w:gridCol w:w="1146"/>
        <w:gridCol w:w="1008"/>
        <w:gridCol w:w="1011"/>
        <w:gridCol w:w="233"/>
        <w:gridCol w:w="233"/>
        <w:gridCol w:w="156"/>
        <w:gridCol w:w="137"/>
        <w:gridCol w:w="137"/>
        <w:gridCol w:w="137"/>
        <w:gridCol w:w="233"/>
        <w:gridCol w:w="233"/>
        <w:gridCol w:w="156"/>
        <w:gridCol w:w="137"/>
        <w:gridCol w:w="137"/>
        <w:gridCol w:w="137"/>
        <w:gridCol w:w="233"/>
        <w:gridCol w:w="233"/>
        <w:gridCol w:w="213"/>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homes at beginning of period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Divestitures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of funeral homes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homes at end of period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Cemeteries at beginning of period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Cemeteries at end of period</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legal proceedings see Part II, Item 8, Financial Statements and Supplementary Data, Note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pPr>
      <w:r>
        <w:rPr>
          <w:rFonts w:ascii="Times New Roman;serif" w:hAnsi="Times New Roman;serif"/>
          <w:b/>
          <w:color w:val="000000"/>
          <w:sz w:val="20"/>
        </w:rPr>
        <w:t>PART II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“CSV.” At February 19, 2026, there were 15,751,228 shares of our common stock outstanding. The shares of common stock outstanding are held by approximately 300 stockholders of record. Each share is entitled to one vote on matters requiring the vote of stockholders. We believe there are approximately 9,300 beneficial owners of our common stock.</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did not have any sales of securities in transactions that were not registered under the Securities Act of 1933 (as amended, the “Securities Act”) that have not been reported in a Form 8-K or Form 10-Q.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intend to pay regular quarterly cash dividends for the foreseeable future, covenant restrictions under our Credit Facility and the Indenture governing our Senior Notes may limit our ability to pay dividends in the future.</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EQUITY PLANS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information regarding securities authorized for issuance under our equity compensation plans, see Part III, Item 12, Security Ownership of Certain Beneficial Owners and Management and Related Stockholder Matters.</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of 1934, as amended (the “Exchange Act”). See Note X of Part II, Item 8. Financial Statements and Supplementary Data for additional information related to our share repurchase program. The information discussed therein is incorporated by reference in its entirety into this Part I, Item 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Exchange Act, which totaled up to $48.9 million in share repurchase authorizations.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No shares were repurchased during the years ended December 31, 2025, 2024 and 2023. At December 31, 2025, our share repurchase program had $48.9 million authorized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repurchases of our common stock during the quarter ended December 31, 2025:</w:t>
      </w:r>
    </w:p>
    <w:tbl>
      <w:tblPr>
        <w:tblW w:w="10205" w:type="dxa"/>
        <w:jc w:val="center"/>
        <w:tblInd w:w="0" w:type="dxa"/>
        <w:tblLayout w:type="fixed"/>
        <w:tblCellMar>
          <w:top w:w="28" w:type="dxa"/>
          <w:left w:w="28" w:type="dxa"/>
          <w:bottom w:w="28" w:type="dxa"/>
          <w:right w:w="28" w:type="dxa"/>
        </w:tblCellMar>
      </w:tblPr>
      <w:tblGrid>
        <w:gridCol w:w="702"/>
        <w:gridCol w:w="487"/>
        <w:gridCol w:w="491"/>
        <w:gridCol w:w="109"/>
        <w:gridCol w:w="109"/>
        <w:gridCol w:w="109"/>
        <w:gridCol w:w="458"/>
        <w:gridCol w:w="458"/>
        <w:gridCol w:w="460"/>
        <w:gridCol w:w="109"/>
        <w:gridCol w:w="109"/>
        <w:gridCol w:w="109"/>
        <w:gridCol w:w="325"/>
        <w:gridCol w:w="628"/>
        <w:gridCol w:w="171"/>
        <w:gridCol w:w="109"/>
        <w:gridCol w:w="109"/>
        <w:gridCol w:w="109"/>
        <w:gridCol w:w="732"/>
        <w:gridCol w:w="732"/>
        <w:gridCol w:w="734"/>
        <w:gridCol w:w="109"/>
        <w:gridCol w:w="109"/>
        <w:gridCol w:w="109"/>
        <w:gridCol w:w="366"/>
        <w:gridCol w:w="1879"/>
        <w:gridCol w:w="274"/>
      </w:tblGrid>
      <w:tr>
        <w:trPr/>
        <w:tc>
          <w:tcPr>
            <w:tcW w:w="7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Dollar Value of Shares That May Yet Be Purchased Under the Program </w:t>
            </w:r>
            <w:r>
              <w:rPr>
                <w:rFonts w:ascii="Times New Roman;serif" w:hAnsi="Times New Roman;serif"/>
                <w:b/>
                <w:color w:val="000000"/>
                <w:sz w:val="12"/>
              </w:rPr>
              <w:t>(1)</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 quarter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See the first paragraph under the caption </w:t>
            </w:r>
            <w:r>
              <w:rPr>
                <w:color w:val="000000"/>
              </w:rPr>
              <w:t>“</w:t>
            </w:r>
            <w:r>
              <w:rPr>
                <w:rFonts w:ascii="Times New Roman;serif" w:hAnsi="Times New Roman;serif"/>
                <w:b w:val="false"/>
                <w:color w:val="000000"/>
                <w:sz w:val="18"/>
              </w:rPr>
              <w:t>Purchases of Equity Securities by the Issuer</w:t>
            </w:r>
            <w:r>
              <w:rPr>
                <w:color w:val="000000"/>
              </w:rPr>
              <w:t xml:space="preserve">” </w:t>
            </w:r>
            <w:r>
              <w:rPr>
                <w:rFonts w:ascii="Times New Roman;serif" w:hAnsi="Times New Roman;serif"/>
                <w:b w:val="false"/>
                <w:color w:val="000000"/>
                <w:sz w:val="18"/>
              </w:rPr>
              <w:t>for more information on our publicly announced share repurchase program.</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RETURN PERFORMANCE GRAPH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line graph below compares the yearly change in cumulative total stockholder return over a 5-year period on our common stock relative to the cumulative total returns of the Russell 3000 Index (the “Russell 3000”) and a peer group selected by the Company comprised of SCI and Matthews International Corp. ("Matthews") (the "Peer Group").</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 peer group index, as we believe there is no relevant published industry or line-of-business index that reflects the companies against which we compete in our industry. The returns of each member of the Peer Group are weighted according to their respective stock market capitalization as of the beginning of each period measured.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graph assumes that the value of the investment in our common stock, the Russell 3000 Index and the Peer Group was $100 on the last trading day of December 2020, and that all dividends were reinvested. Performance data for Carriage, the Russell 3000 Index and the Peer Group is provided as of the last trading day of each of our last five fiscal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graph and related information shall not be deemed “soliciting material” or “filed” with the SEC, nor shall such information be incorporated by reference into any future filing under the Securities or the Exchange Act except to the extent that we specifically incorporate it by reference. The stock price performance included in this graph is not necessarily indicative of future stock price performance.</w:t>
      </w:r>
    </w:p>
    <w:p>
      <w:pPr>
        <w:pStyle w:val="TextBody"/>
        <w:bidi w:val="0"/>
        <w:spacing w:before="0" w:after="0"/>
        <w:jc w:val="center"/>
        <w:rPr/>
      </w:pPr>
      <w:r>
        <w:rPr/>
      </w:r>
    </w:p>
    <w:p>
      <w:pPr>
        <w:pStyle w:val="TextBody"/>
        <w:bidi w:val="0"/>
        <w:spacing w:before="0" w:after="0"/>
        <w:jc w:val="center"/>
        <w:rPr/>
      </w:pPr>
      <w:r>
        <w:rPr/>
        <w:drawing>
          <wp:inline distT="0" distB="0" distL="0" distR="0">
            <wp:extent cx="5838825" cy="36195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business segments: Funeral Home Operations, which currently accounts for approximately 65% of our total revenue and Cemetery Operations, which currently accounts for approximately 35% of our total revenue. At December 31, 2025,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Funeral Home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merchandise, and other controllable costs; exercising pricing leverage related to our atneed business to increase average revenue per contract; and our response to fluctuations in capital markets and interest rates, which affect investment earnings on trust funds, which would offset lower pricing power as preneed contracts mature. Overall, volume, as funeral services performed, and pricing fluctuations impacting our average revenue per contract are the two variables that primarily affect funeral revenue. The average revenue per contract is influenced by the mix of traditional and cremation services as our average cremation service revenue is approximately one-third of the average revenue earned from a traditional burial service. Funeral homes have a relatively large fixed cost structure.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Cemetery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Factors affecting our cemetery operating results include: the size and success of our sales organization; local perceptions and heritage of our cemeteries; our ability to adapt to changes in the economy and consumer confidence; controlling salary, merchandise, and other controllable costs; exercising pricing leverage related to our atneed business to increase average price per interment right sold; and our response to fluctuations in capital markets and interest rates, which affect investment earnings on trust funds, finance charges on installment contracts and our securities portfolio within the trust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Macroeconomic, Inflationary, and Borrowing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consumer spending on discretionary items reflected mixed trends. Based on recent economic indicators, aggregate consumer spending continues to reflect minimal to modest growth, with higher-income consumers appearing more resilient, while many middle and lower-income consumers exhibit more cautious behavior, which could result in an overall reduction in consumer spending and demand for products and services. This consumer caution appears to be influenced by factors like elevated inflation, heightened tariff and trade-policy uncertainty, and a more cautious macroeconomic environment. Additionally, beginning in April 2025, the U.S. government announced new and increased tariffs on countries and specific goods, subject to evolving exemptions and additional proposed revisions. Certain of these tariffs have been stayed or otherwise modified and, since April 2025, the U.S. has continued to announce new or revised tariffs, along with new trade agreements with certain trading partners. Those policies, along with retaliatory actions by some trading partners and ongoing negotiations around trade policy, have led to increased uncertainty regarding the ultimate effect of the tariffs on economic conditions, volatility, and unpredictability for global trade. Given these uncertainties and the potential of rising tariffs, we evaluated, and continue to evaluate, our current vendor agreements for our major vendors to ensure, to the extent possible, we adequately addressed any associated risks.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also continue to monitor the impacts of inflationary costs to our business. While inflationary pressures appear to have moderated and stabilized, we are unable to forecast or predict with any certainty whether inflationary costs will remain stable and continue to moderate in future periods, as the ultimate scope and duration of these impacts could change as a result of the impact of increased tariffs and remain unknown at this time. More broadly, the U.S. economy continues to experience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impact of several years of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Although such conditions have not materially impacted our business to date and we expect these trends to continue into 2026, we will continue to assess these impacts and take the appropriate steps, if necessary, to mitigate any changes in consumer preferences or additional cost increases, if possible.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after giving effect to the Credit Facility Amendment, executed during the third quarter of 2024, we continue to experience lower variable interest rates and lower average debt outstanding under our Credit Facility, which resulted in lower borrowing costs in 2025 compared to the prior year.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further discussion of our key operating metrics, see our "Cash Flows", "Financial Highlights" and "Results of Operations" sections below. For discussion of our results of operations and liquidity and capital resources for the fiscal year ended December 31, 2024, see Management's Discussion and Analysis of Financial Conditions, Liquidity and Capital Resources, Financial Highlights, and Results of Operations in Part II, Item 7 of our Annual Report on Form 10-K for the fiscal year December 31, 2024, filed with the Securities and Exchange Commission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2026, our plan is to remain focused on executing our growth strategy and other strategic objectives. This includes prioritizing our capital allocation for potential strategic growth acquisitions, capital expenditures, debt repayments, the payment of dividends, and other general corporate purposes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potential growth acquisitions, and dividends for the next 12 months, as well as our long-term financial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2025 with $1.2 million in cash and ended the year with $1.7 million in cash. As of December 31, 2025, we had borrowings of $126.7 million outstanding on our Credit Facility compared to $137.0 million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br/>
        <w:br/>
        <w:t xml:space="preserve">The following table sets forth the elements of cash flow (in thousands): </w:t>
      </w:r>
    </w:p>
    <w:tbl>
      <w:tblPr>
        <w:tblW w:w="9381" w:type="dxa"/>
        <w:jc w:val="left"/>
        <w:tblInd w:w="0" w:type="dxa"/>
        <w:tblLayout w:type="fixed"/>
        <w:tblCellMar>
          <w:top w:w="28" w:type="dxa"/>
          <w:left w:w="28" w:type="dxa"/>
          <w:bottom w:w="28" w:type="dxa"/>
          <w:right w:w="28" w:type="dxa"/>
        </w:tblCellMar>
      </w:tblPr>
      <w:tblGrid>
        <w:gridCol w:w="2466"/>
        <w:gridCol w:w="2166"/>
        <w:gridCol w:w="2178"/>
        <w:gridCol w:w="211"/>
        <w:gridCol w:w="616"/>
        <w:gridCol w:w="109"/>
        <w:gridCol w:w="109"/>
        <w:gridCol w:w="109"/>
        <w:gridCol w:w="109"/>
        <w:gridCol w:w="211"/>
        <w:gridCol w:w="616"/>
        <w:gridCol w:w="109"/>
        <w:gridCol w:w="109"/>
        <w:gridCol w:w="109"/>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real property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insurance claims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our credit facility, acquisition debt, and finance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for the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employee equity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provided by operating activities was $60.7 million compared to $52.0 million for the year ended December 31, 2024.</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investing activities resulted in a net cash outflows of $35.2 million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 xml:space="preserve">year ended December 31, 2025, compared to net cash inflows of $3.6 million for the year ended December 31, 2024, a decrease of $31.5 million.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Acquisition and Divestiture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acquired eight funeral homes, one cemetery, and one cremation focused business in Florida for an aggregate price of $56.5 million. We acquired substantially all of the assets and assumed certain operating liabilities of these businesses. Additionally, we acquired the real property for one funeral home that we previously leased from a third party for a purchase price of $2.5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thirteen funeral homes and four cemeteries for an aggregate of $40.4 million. Additionally, we sold real property for $4.0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six funeral homes and one cemetery for an aggregate of $10.9 million. Additionally, we sold real property for $1.1 million.</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Insurance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received proceeds of $0.4 million from our property insurance policy for the reimbursement of renovation costs for certain of our funeral businesses damaged by Hurricane Ian that occurred during the third quarter of 2022.</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our capital expenditures (comprised of growth and maintenance spend) totaled $20.6 million compared to $16.1 million for the year ended December 31, 2024, an increase of $4.5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capital expenditures (in thousands): </w:t>
      </w:r>
    </w:p>
    <w:tbl>
      <w:tblPr>
        <w:tblW w:w="4996" w:type="dxa"/>
        <w:jc w:val="center"/>
        <w:tblInd w:w="0" w:type="dxa"/>
        <w:tblLayout w:type="fixed"/>
        <w:tblCellMar>
          <w:top w:w="28" w:type="dxa"/>
          <w:left w:w="28" w:type="dxa"/>
          <w:bottom w:w="28" w:type="dxa"/>
          <w:right w:w="28" w:type="dxa"/>
        </w:tblCellMar>
      </w:tblPr>
      <w:tblGrid>
        <w:gridCol w:w="840"/>
        <w:gridCol w:w="735"/>
        <w:gridCol w:w="749"/>
        <w:gridCol w:w="211"/>
        <w:gridCol w:w="721"/>
        <w:gridCol w:w="109"/>
        <w:gridCol w:w="109"/>
        <w:gridCol w:w="109"/>
        <w:gridCol w:w="109"/>
        <w:gridCol w:w="211"/>
        <w:gridCol w:w="721"/>
        <w:gridCol w:w="109"/>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financing activities resulted in a net cash outflow of $25.0 million for the year ended December 31, 2025, compared to a net cash outflow of $48.7 million for the year ended December 31, 2024, a decrease of $23.7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had net payments on our Credit Facility, acquisition debt, and finance leases of $11.4 million, net payments on our employee equity plans of $6.6 million, and paid dividends of $7.0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had net payments on our Credit Facility, acquisition debt, and finance leases of $43.2 million and paid dividends of $6.8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Facility, Lease Obligations, and Acquisition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outstanding borrowings under the Credit Facility of $126.7 million. We also had one letter of credit for $2.2 million under the Credit Facility. The letter of credit will expire on November 25, 2026 and is expected to automatically renew annually. At December 31, 2025, we had $121.1 million of availability under the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12 of Part II, Item 8. Financial Statements and Supplementary Data for additional information related to our Credit Facility. The information discussed therein is incorporated by reference into this Part I, Item 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Lease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lease obligations consist of operating and finance leases for certain office facilities and funeral homes as well as vehicles and equipment. See Note 14 of Part II, Item 8. Financial Statements and Supplementary Data for additional information related to lease obligations. The information discussed therein is incorporated by reference into this Part I, Item 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Acquisition Debt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Acquisition debt consists of deferred purchase price and promissory notes payable to sellers. At December 31, 2025, acquisition debt obligations were $6.2 million, with $0.6 million payable within 12 months. See Note 12 of Part II, Item 8. Financial Statements and Supplementary Data for additional information related to acquisition debt. The information discussed therein is incorporated by reference into this Part I, Item 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Notes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the principal amount of our 4.25% Senior Notes due in May 2029 (the “Senior Notes”) was $400.0 million. We have future interest payments on our outstanding balance of $59.5 million, with $17.0 million payable within 12 months. See Note 13 of Part II, Item 8. Financial Statements and Supplementary Data for additional information related to our Senior Notes. The information discussed therein is incorporated by reference into this Part I, Item 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our off-balance sheet arrangements were as follows: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Non-compete agreements</w:t>
      </w:r>
      <w:r>
        <w:rPr>
          <w:color w:val="000000"/>
        </w:rPr>
        <w:t xml:space="preserve"> </w:t>
      </w:r>
      <w:r>
        <w:rPr>
          <w:rFonts w:ascii="Times New Roman;serif" w:hAnsi="Times New Roman;serif"/>
          <w:b w:val="false"/>
          <w:color w:val="000000"/>
          <w:sz w:val="20"/>
        </w:rPr>
        <w:t>- We have various non-compete agreements with former owners and employees of businesses we have acquired. These agreements are generally for one to ten years and provide for periodic payments over the term of the agreements. We have future payments on our non-compete agreements of $3.1 million, with $1.2 million payable within 12 months.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Consulting agreements</w:t>
      </w:r>
      <w:r>
        <w:rPr>
          <w:color w:val="000000"/>
        </w:rPr>
        <w:t xml:space="preserve"> </w:t>
      </w:r>
      <w:r>
        <w:rPr>
          <w:rFonts w:ascii="Times New Roman;serif" w:hAnsi="Times New Roman;serif"/>
          <w:b w:val="false"/>
          <w:color w:val="000000"/>
          <w:sz w:val="20"/>
        </w:rPr>
        <w:t>- We have various consulting agreements with former owners of businesses we have acquired. Payments for such agreements are generally not made in advance. These agreements are generally for one to ten years and provide for bi-weekly or monthly payments. We have future payments on our consulting agreements of $2.2 million, with $1.0 million payable within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Employment agreements</w:t>
      </w:r>
      <w:r>
        <w:rPr>
          <w:color w:val="000000"/>
        </w:rPr>
        <w:t xml:space="preserve"> </w:t>
      </w:r>
      <w:r>
        <w:rPr>
          <w:rFonts w:ascii="Times New Roman;serif" w:hAnsi="Times New Roman;serif"/>
          <w:b w:val="false"/>
          <w:color w:val="000000"/>
          <w:sz w:val="20"/>
        </w:rPr>
        <w:t xml:space="preserve">- We have employment agreements with our executive officers. These agreements are generally for two to five years and provide for participation in various incentive compensation arrangements. These agreements generally renew automatically on an annual basis after their initial term has expired. We have future payments on our employment agreements of $3.8 million, all of which is payable within 12 months.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Letter of credit</w:t>
      </w:r>
      <w:r>
        <w:rPr>
          <w:color w:val="000000"/>
        </w:rPr>
        <w:t xml:space="preserve"> </w:t>
      </w:r>
      <w:r>
        <w:rPr>
          <w:rFonts w:ascii="Times New Roman;serif" w:hAnsi="Times New Roman;serif"/>
          <w:b w:val="false"/>
          <w:color w:val="000000"/>
          <w:sz w:val="20"/>
        </w:rPr>
        <w:t>- We have one letter of credit for $2.2 million under the Credit Facility, which secures our obligations under our various self-insurance policies in the event we are unable to meet the self-insurance portion of our claim payment obligations. As we already have reserves recorded for our self-insurance claims costs, these do not represent additional liabilities. The letter of credit will expire on November 25, 2026 and is expected to automatically renew annually.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 See Part II, Item 8, Financial Statements and Supplementary Data, Notes 12 and 15 to our Consolidated Financial Statements for further detail of our letter of credit and off-balance sheet agreements,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400"/>
        <w:gridCol w:w="1175"/>
        <w:gridCol w:w="1182"/>
        <w:gridCol w:w="109"/>
        <w:gridCol w:w="109"/>
        <w:gridCol w:w="119"/>
        <w:gridCol w:w="119"/>
        <w:gridCol w:w="119"/>
        <w:gridCol w:w="119"/>
        <w:gridCol w:w="119"/>
        <w:gridCol w:w="119"/>
        <w:gridCol w:w="230"/>
        <w:gridCol w:w="905"/>
        <w:gridCol w:w="119"/>
        <w:gridCol w:w="109"/>
        <w:gridCol w:w="109"/>
        <w:gridCol w:w="109"/>
        <w:gridCol w:w="211"/>
        <w:gridCol w:w="826"/>
        <w:gridCol w:w="109"/>
        <w:gridCol w:w="109"/>
        <w:gridCol w:w="109"/>
        <w:gridCol w:w="109"/>
        <w:gridCol w:w="211"/>
        <w:gridCol w:w="721"/>
        <w:gridCol w:w="109"/>
        <w:gridCol w:w="109"/>
        <w:gridCol w:w="109"/>
        <w:gridCol w:w="109"/>
        <w:gridCol w:w="254"/>
        <w:gridCol w:w="257"/>
        <w:gridCol w:w="583"/>
      </w:tblGrid>
      <w:tr>
        <w:trPr/>
        <w:tc>
          <w:tcPr>
            <w:tcW w:w="140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4262" w:type="dxa"/>
            <w:gridSpan w:val="18"/>
            <w:tcBorders/>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Change</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 excluding preneed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in 2025 increased $13.2 million compared to 2024, primarily as a result of a 0.3% increase in preneed interment rights (property) sold and an 8.1% increase in the average price per preneed interment right sold. Additionally, we experienced a 2.6% increase in the average revenue per funeral contract, which was partially offset by a 1.3% decrease in funeral contract volume.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in 2025 increased $3.3 million compared to 2024, primarily due to the increases in revenue from both our segments, as well as lower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in 2025 increased $18.6 million compared to 2024, primarily due to a $10.4 million decrease in general, administrative, and other expenses, as 2024 is comprised of one-time costs related to executive severance payments and the Company’s review of strategic alternatives, a $3.3 million increase in gross profit contribution from our businesses, a $2.2 million decrease in loss on divestitures and impairment charges and a $3.7 million decrease in interest expense, offset by a $1.6 million increase in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general, administrative and other expenses, net loss on divestitures and impairment charges, interest expense, income taxes and other components of income and expenses are presented under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REPORTING AND NON-GAAP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present our financial performance in our “Condensed Operating and Financial Trend Report” (“Trend Report”) as reported in our earnings release for the three months ended December 31, 2025, dated February 25, 2026, and discussed in the corresponding earnings conference call. This Trend Report is used as a supplemental financial statement by management and investors to compare our current financial performance with our previous results and with the performance of other companies. Additionally, management employs segment gross profit for product pricing evaluation and uses segment adjusted operating profit to assess each segment’s performance by comparing results. We do not intend for this information to be considered in isolation or as a substitute for other measures of performance prepared in accordance with GAAP. The Trend Report is a non-GAAP statement that also provides insight into underlying trends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gross profit (a GAAP financial measure) to adjusted operating profit (a non-GAAP financial measure) (in thousands):</w:t>
      </w:r>
    </w:p>
    <w:tbl>
      <w:tblPr>
        <w:tblW w:w="8475" w:type="dxa"/>
        <w:jc w:val="left"/>
        <w:tblInd w:w="0" w:type="dxa"/>
        <w:tblLayout w:type="fixed"/>
        <w:tblCellMar>
          <w:top w:w="28" w:type="dxa"/>
          <w:left w:w="28" w:type="dxa"/>
          <w:bottom w:w="28" w:type="dxa"/>
          <w:right w:w="28" w:type="dxa"/>
        </w:tblCellMar>
      </w:tblPr>
      <w:tblGrid>
        <w:gridCol w:w="1599"/>
        <w:gridCol w:w="1396"/>
        <w:gridCol w:w="1415"/>
        <w:gridCol w:w="109"/>
        <w:gridCol w:w="109"/>
        <w:gridCol w:w="145"/>
        <w:gridCol w:w="145"/>
        <w:gridCol w:w="145"/>
        <w:gridCol w:w="145"/>
        <w:gridCol w:w="282"/>
        <w:gridCol w:w="1104"/>
        <w:gridCol w:w="145"/>
        <w:gridCol w:w="109"/>
        <w:gridCol w:w="109"/>
        <w:gridCol w:w="109"/>
        <w:gridCol w:w="211"/>
        <w:gridCol w:w="826"/>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reported in two business segments: Funeral Home and Cemetery. Below is a breakdown of adjusted operating profit (a non-GAAP financial measure) by segment (in thousands):</w:t>
      </w:r>
    </w:p>
    <w:tbl>
      <w:tblPr>
        <w:tblW w:w="6802" w:type="dxa"/>
        <w:jc w:val="left"/>
        <w:tblInd w:w="0" w:type="dxa"/>
        <w:tblLayout w:type="fixed"/>
        <w:tblCellMar>
          <w:top w:w="28" w:type="dxa"/>
          <w:left w:w="28" w:type="dxa"/>
          <w:bottom w:w="28" w:type="dxa"/>
          <w:right w:w="28" w:type="dxa"/>
        </w:tblCellMar>
      </w:tblPr>
      <w:tblGrid>
        <w:gridCol w:w="1068"/>
        <w:gridCol w:w="939"/>
        <w:gridCol w:w="948"/>
        <w:gridCol w:w="109"/>
        <w:gridCol w:w="109"/>
        <w:gridCol w:w="145"/>
        <w:gridCol w:w="145"/>
        <w:gridCol w:w="145"/>
        <w:gridCol w:w="145"/>
        <w:gridCol w:w="282"/>
        <w:gridCol w:w="1104"/>
        <w:gridCol w:w="145"/>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 margin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12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margin is defined as adjusted operating profit as a percentage of revenue.</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YEAR ENDED DECEMBER 31, 2025 COMPARED TO YEAR ENDED DECEMBER 31,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year ended December 31, 2025 compared to the year ended December 31, 2024.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 “divested” when discussed in the funeral home segment, refers to thirteen funeral homes we sold and two funeral homes we merged with other businesses we own in existing markets during the year ended December 31, 2025 and six funeral homes we sold and three funeral home we merged with another business we own in an existing market during the year ended December 31, 2024.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when discussed in the cemetery segment, refers to four cemetery we sold during the year ended December 31, 2025 and one cemetery we sold during the year ended December 31,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803"/>
        <w:gridCol w:w="1518"/>
        <w:gridCol w:w="1533"/>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80"/>
        <w:gridCol w:w="280"/>
        <w:gridCol w:w="582"/>
      </w:tblGrid>
      <w:tr>
        <w:trPr/>
        <w:tc>
          <w:tcPr>
            <w:tcW w:w="180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operating metrics over the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operating revenue increased $8.6 million for the year ended December 31, 2025, compared to the year ended December 31, 2024. The increase in operating revenue was primarily driven by a 1.4% increase in the average revenue per contract excluding preneed interest as well as a 2.3% increase in contract volume. The increase in revenue is driven by our success in implementing our enhanced pricing strategy through 2025, which contributed to the increase in average revenue per funeral contract.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adjusted operating profit for the year ended December 31, 2025, increased $2.9 million when compared to the same period in 2024, reflecting our ongoing focus on cost efficiency and operational improvements. The comparable adjusted operating profit margin decreased 20 basis points to 39.5%, driven by 0.2% increase in operating expenses as a percentage of revenue. Key expense increases include facilities and grounds expense, general and administrative expenses, salaries and benefits, and investment expenses. These increases were partially offset by decreases in transportation expenses, cost of merchandise, and facilities and grounds insurance.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Ancillary revenue decreased $0.7 million, while ancillary adjusted operating profit decreased $0.1 million for the year ended December 31, 2025, compared to the year ended December 31, 2024. The decrease in ancillary revenue is primarily due to a decline in our online cremation business.</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and other adjusted operating profit, which consists of preneed funeral insurance commissions and earnings from delivered preneed funeral trust and insurance contracts, increased $3.8 million and $2.9 million, respectively, for the year ended December 31, 2025, compared to the year ended December 31, 2024. These increases are primarily due to the increase in our general agency commission income earned on the sale of preneed insurance policies as we continue to focus on growth of our preneed funeral sales through our strategic partnership with a national insurance provider that began during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1630"/>
        <w:gridCol w:w="1346"/>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77"/>
        <w:gridCol w:w="277"/>
        <w:gridCol w:w="517"/>
        <w:gridCol w:w="109"/>
        <w:gridCol w:w="109"/>
        <w:gridCol w:w="109"/>
        <w:gridCol w:w="157"/>
      </w:tblGrid>
      <w:tr>
        <w:trPr/>
        <w:tc>
          <w:tcPr>
            <w:tcW w:w="163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operating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operating revenue increased $10.6 million for the year ended December 31, 2025, compared to the year ended December 31, 2024, primarily as a result of a 6.4% increase in the average price per preneed interment right sold coupled with a 3.6% increase in the number of preneed interment rights sold. Cemetery atneed revenue, which represents approximately 29% of our total operating revenue, increased $2.5 million for the year ended December 31, 2025, compared to the same period of the prior year, primarily due to a 17.1% increase in atneed property sold as well as a 3.4% increase in atneed merchandise and service that was delivered within the period.</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adjusted operating profit increased $2.9 million for the year ended December 31, 2025, compared to the year ended December 31, 2024. The comparable operating profit margin decreased 160 basis points to 44.9%. Operating expenses as a percentage of operating revenue increased 1.6%, driven by increases in key expenses such as promotional expenses, salaries and benefits, and allowance for credit losses. </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and other adjusted operating profit, which consist of preneed cemetery trust revenue and preneed cemetery finance charges, increased $0.4 million and $0.4 million, respectively, for the year ended December 31, 2025, compared to the year ended December 31, 2024. The increase is due to a more favorable tax rate on perpetual care income taxes in 2025 compared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pPr>
      <w:r>
        <w:rPr>
          <w:rFonts w:ascii="Times New Roman;serif" w:hAnsi="Times New Roman;serif"/>
          <w:b w:val="false"/>
          <w:i/>
          <w:color w:val="000000"/>
          <w:sz w:val="20"/>
        </w:rPr>
        <w:t>Cemetery property amortization.</w:t>
      </w:r>
      <w:r>
        <w:rPr>
          <w:color w:val="000000"/>
        </w:rPr>
        <w:t xml:space="preserve"> </w:t>
      </w:r>
      <w:r>
        <w:rPr>
          <w:rFonts w:ascii="Times New Roman;serif" w:hAnsi="Times New Roman;serif"/>
          <w:b w:val="false"/>
          <w:color w:val="000000"/>
          <w:sz w:val="20"/>
        </w:rPr>
        <w:t>Cemetery property amortization totaled $9.4 million for the year ended December 31, 2025, an increase of $1.2 million compared to the year ended December 31, 2024, primarily driven by the increase in property sold across our cemetery portfolio.</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Field depreciation.</w:t>
      </w:r>
      <w:r>
        <w:rPr>
          <w:color w:val="000000"/>
        </w:rPr>
        <w:t xml:space="preserve"> </w:t>
      </w:r>
      <w:r>
        <w:rPr>
          <w:rFonts w:ascii="Times New Roman;serif" w:hAnsi="Times New Roman;serif"/>
          <w:b w:val="false"/>
          <w:color w:val="000000"/>
          <w:sz w:val="20"/>
        </w:rPr>
        <w:t>Depreciation expense for our field businesses totaled $13.2 million for the year ended December 31, 2025, a decrease of $0.6 million compared to the year ended December 31, 2024, primarily driven by our business decision to lease vehicles rather than purchase them.</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Regional and unallocated funeral and cemetery costs.</w:t>
      </w:r>
      <w:r>
        <w:rPr>
          <w:color w:val="000000"/>
        </w:rPr>
        <w:t xml:space="preserve"> </w:t>
      </w:r>
      <w:r>
        <w:rPr>
          <w:rFonts w:ascii="Times New Roman;serif" w:hAnsi="Times New Roman;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$17.7 million for the year ended December 31, 2025, a increase of $2.4 million compared to the year ended December 31, 2024, primarily driven by an increase in leadership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General, administrative, and other expenses, which include salaries and benefits and cash and equity incentive compensation for our Houston support office, totaled $48.6 million for the year ended December 31, 2025, a decrease of $10.4 million compared to the year ended December 31, 2024, primarily driven by a $6.2 million decrease in salary and benefits expenses and cash and equity incentive compensation costs, primarily driven by the termination expense of our founder and former Executive Chairman of the Board pursuant to his Transition Agreement and termination expense for our former Chief Financial Officer pursuant to his Separation and Release Agreement recorded in the prior year, and an $6.2 million decrease in other professional fees. These decreases were offset by a $1.0 million increase in depreciation and amortizations, $0.6 million increase in computer maintenance and licenses, and a $0.4 million increase in various other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7529" w:type="dxa"/>
        <w:jc w:val="left"/>
        <w:tblInd w:w="0" w:type="dxa"/>
        <w:tblLayout w:type="fixed"/>
        <w:tblCellMar>
          <w:top w:w="28" w:type="dxa"/>
          <w:left w:w="28" w:type="dxa"/>
          <w:bottom w:w="28" w:type="dxa"/>
          <w:right w:w="28" w:type="dxa"/>
        </w:tblCellMar>
      </w:tblPr>
      <w:tblGrid>
        <w:gridCol w:w="1381"/>
        <w:gridCol w:w="1211"/>
        <w:gridCol w:w="1218"/>
        <w:gridCol w:w="109"/>
        <w:gridCol w:w="109"/>
        <w:gridCol w:w="259"/>
        <w:gridCol w:w="259"/>
        <w:gridCol w:w="259"/>
        <w:gridCol w:w="259"/>
        <w:gridCol w:w="504"/>
        <w:gridCol w:w="279"/>
        <w:gridCol w:w="292"/>
        <w:gridCol w:w="109"/>
        <w:gridCol w:w="109"/>
        <w:gridCol w:w="109"/>
        <w:gridCol w:w="229"/>
        <w:gridCol w:w="283"/>
        <w:gridCol w:w="288"/>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90"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disposals of 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sold thirteen funeral homes and four cemeteries for an aggregate gain of $1.5 million. We also recognized an impairment of $1.8 million on assets held for sale during the year ended December 31,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six funeral homes and one cemetery for a loss of $1.2 million. We also recognized an impairment of $0.6 million as a result of our 2024 qualitative assessment of tradenames and an impairment of $40 thousand related to property, plant, and equipment for assets held for sale.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related to its respective debt arrangement is as follows (in thousands):</w:t>
      </w:r>
    </w:p>
    <w:tbl>
      <w:tblPr>
        <w:tblW w:w="5193" w:type="dxa"/>
        <w:jc w:val="center"/>
        <w:tblInd w:w="0" w:type="dxa"/>
        <w:tblLayout w:type="fixed"/>
        <w:tblCellMar>
          <w:top w:w="28" w:type="dxa"/>
          <w:left w:w="28" w:type="dxa"/>
          <w:bottom w:w="28" w:type="dxa"/>
          <w:right w:w="28" w:type="dxa"/>
        </w:tblCellMar>
      </w:tblPr>
      <w:tblGrid>
        <w:gridCol w:w="538"/>
        <w:gridCol w:w="471"/>
        <w:gridCol w:w="475"/>
        <w:gridCol w:w="109"/>
        <w:gridCol w:w="109"/>
        <w:gridCol w:w="259"/>
        <w:gridCol w:w="259"/>
        <w:gridCol w:w="259"/>
        <w:gridCol w:w="259"/>
        <w:gridCol w:w="504"/>
        <w:gridCol w:w="330"/>
        <w:gridCol w:w="346"/>
        <w:gridCol w:w="109"/>
        <w:gridCol w:w="109"/>
        <w:gridCol w:w="109"/>
        <w:gridCol w:w="227"/>
        <w:gridCol w:w="297"/>
        <w:gridCol w:w="42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275"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w:t>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gain on property damage, net of insurance claims. </w:t>
      </w:r>
      <w:r>
        <w:rPr>
          <w:rFonts w:ascii="Times New Roman;serif" w:hAnsi="Times New Roman;serif"/>
          <w:b w:val="false"/>
          <w:color w:val="000000"/>
          <w:sz w:val="20"/>
        </w:rPr>
        <w:t>During the year ended December 31, 2024, we recorded a $0.4 million gain, net of insurance proceeds, for damages from Hurricane Ian, which occurred during the third quarter of 2022.</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Other, net. </w:t>
      </w:r>
      <w:r>
        <w:rPr>
          <w:rFonts w:ascii="Times New Roman;serif" w:hAnsi="Times New Roman;serif"/>
          <w:b w:val="false"/>
          <w:color w:val="000000"/>
          <w:sz w:val="20"/>
        </w:rPr>
        <w:t>During the year ended December 31, 2025, we recorded a $1.0 million gain on the sale of other real property not used in business operations. We did not record any gain or loss activity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Income tax expense totaled $18.8 million for the year ended December 31, 2025, an increase of $1.6 million compared to the year ended December 31, 2024. Our operating tax rate before discrete items was 31.6% and 32.1% for the year ended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net discrete tax benefit of $3.4 million for the year ended December 31, 2025, a decrease of $4.5 million compared to the year ended December 31, 2024. The net discrete tax benefit for the year ended December 31, 2025, is primarily due to vesting of long-term equity compensation, stock option exercises. Our effective tax rate was 26.7% and 34.2% for years ended December 31, 2025 and 2024,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our unrecognized tax benefit reserve for uncertain tax positions primarily relates to the uncertainty of receiving audit protection for revenue recognition of cemetery property for the benefit derived from carrying back losses to tax years with a higher effective tax rate than the current 21.0% rate. Our unrecognized tax benefit reserve for the years ended December 31, 2025 and 2024 was $3.6 million and $3.5 million,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II, Item 8, Financial Statements and Supplementary Data, Notes 1 and 16 for additional information regarding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identified the following accounting policies as those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quantitative goodwill impairment test involves estimates and management judgment. In the quantitative analysis, we compare the fair value of each reporting unit to its carrying value, including goodwill. We determine fair value for each reporting unit using an income approach, weighted 80%, and two market approaches, weighted 10% each.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first methodology for determining a market approach fair value utilizes the guideline public company method, in which we rely on market multiples of comparable companies operating in the same industry as the individual reporting units. Our second market approach methodology utilizes the guideline transaction method, in which transaction multiples are derived from acquisitions of controlling interests in companies engaged in the same or similar lines of business as the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II, Item 8, Financial Statements and Supplementary Data, Note 4 for additional information related to goodwill.</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Determining the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To the extent that information not available to us at the closing date subsequently becomes available during the allocation period, we may adjust goodwill, intangible assets, and other assets or liabilities associated with the acquisition.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third-party appraisers. Through this thorough internal process, the Company is able to identify viable costs of property based on historical experience, particular markets and demographics, reasonable margins, practical retail prices, and park infrastructure and condition.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II, Item 8, Financial Statements and Supplementary Data, Note 3 for additional information related to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RECENT ACCOUNTING PRONOUNCEMENTS, ACCOUNTING CHANGES AND OTHER REGULATIONS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discussion of recent accounting pronouncements and accounting changes, see Part II, Item 8, Financial Statements and Supplementary Data,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bookmarkStart w:id="1" w:name="i58ce3f8eb5bb47afae585be30d34dfa8_8500"/>
      <w:bookmarkEnd w:id="1"/>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at a reasonable price. We are not exposed to any other significant market risks other than those related to the impact of health and safety concerns from epidemics and pandemics and inflation which are described in more detail in Part 1, Item 1A, Risk Factors in this Form 10-K for the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quantitative and qualitative information is provided about financial instruments to which we are a party at December 31, 2025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December 31, 2025 are presented in Part II, Item 8, Financial Statements and Supplementary Data, Note 8. The sensitivity of the fixed income securities is such that a 0.25% change in interest rates causes an approximate 0.82% change in the value of the fixed income securities.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current and forecasted interest rate risk in the ordinary course of business and seek to maintain optimal financial flexibility, quality and solvency. As of December 31, 2025, we had outstanding borrowings under the Credit Facility of $126.7 million. Any further borrowings or voluntary prepayments against the Credit Facility or any change in the floating rate would cause a change in interest expense. We have the option to pay interest under our Credit Facility at either the prime rate or the Term SOFR rate, plus an applicable margin based on our leverage ratio. At December 31, 2025, the prime rate margin was equivalent to 1.125% and the SOFR rate margin was 2.500%. Assuming the outstanding balance remains unchanged, a change of 100 basis points in our borrowing rate would result in a change in income before taxes of $1.3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Senior Notes bear interest at the fixed annual rate of 4.25%. We may redeem the Senior Notes, in whole or in part, at the redemption price of 100% on or after May 15, 2026, plus accrued and unpaid interest, if any, to, but excluding, the redemption date. At December 31, 2025, the carrying value of the Senior Notes on our Consolidated Balance Sheets was $397.3 million and the fair value of the Senior Notes was $385.7 million based on the last traded or broker quoted price as reported by Financial Industry Regulatory Authority. Increases in market interest rates may cause the value of the Senior Notes to decrease, but such changes will not affect our interest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remainder of our long-term debt and leases consist of non interest-bearing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0"/>
        <w:gridCol w:w="3088"/>
        <w:gridCol w:w="3095"/>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67">
              <w:r>
                <w:rPr>
                  <w:rStyle w:val="InternetLink"/>
                  <w:rFonts w:ascii="Times New Roman;serif" w:hAnsi="Times New Roman;serif"/>
                  <w:b w:val="false"/>
                  <w:strike w:val="false"/>
                  <w:dstrike w:val="false"/>
                  <w:color w:val="000000"/>
                  <w:sz w:val="20"/>
                  <w:u w:val="none"/>
                  <w:effect w:val="none"/>
                </w:rPr>
                <w:t>Reports of Independent Registered Public Accounting Firm</w:t>
              </w:r>
            </w:hyperlink>
            <w:r>
              <w:rPr>
                <w:rFonts w:ascii="Times New Roman;serif" w:hAnsi="Times New Roman;serif"/>
                <w:b w:val="false"/>
                <w:color w:val="000000"/>
                <w:sz w:val="20"/>
              </w:rPr>
              <w:t xml:space="preserve"> (PCAOB ID Number 248)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67">
              <w:r>
                <w:rPr>
                  <w:rStyle w:val="InternetLink"/>
                  <w:rFonts w:ascii="Times New Roman;serif" w:hAnsi="Times New Roman;serif"/>
                  <w:b w:val="false"/>
                  <w:strike w:val="false"/>
                  <w:dstrike w:val="false"/>
                  <w:color w:val="000000"/>
                  <w:sz w:val="20"/>
                  <w:u w:val="none"/>
                  <w:effect w:val="non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3">
              <w:r>
                <w:rPr>
                  <w:rStyle w:val="InternetLink"/>
                  <w:rFonts w:ascii="Times New Roman;serif" w:hAnsi="Times New Roman;serif"/>
                  <w:b w:val="false"/>
                  <w:strike w:val="false"/>
                  <w:dstrike w:val="false"/>
                  <w:color w:val="000080"/>
                  <w:sz w:val="20"/>
                  <w:u w:val="single"/>
                  <w:effect w:val="none"/>
                </w:rPr>
                <w:t>Consolidated Balance Sheet</w:t>
              </w:r>
            </w:hyperlink>
            <w:hyperlink w:anchor="i4443665aa8f84fa09ac7bee378fd43ca_73">
              <w:r>
                <w:rPr>
                  <w:rStyle w:val="InternetLink"/>
                  <w:rFonts w:ascii="Times New Roman;serif" w:hAnsi="Times New Roman;serif"/>
                  <w:b w:val="false"/>
                  <w:strike w:val="false"/>
                  <w:dstrike w:val="false"/>
                  <w:color w:val="000080"/>
                  <w:sz w:val="20"/>
                  <w:u w:val="single"/>
                  <w:effect w:val="none"/>
                </w:rPr>
                <w:t>s</w:t>
              </w:r>
            </w:hyperlink>
            <w:hyperlink w:anchor="i4443665aa8f84fa09ac7bee378fd43ca_73">
              <w:r>
                <w:rPr>
                  <w:rStyle w:val="InternetLink"/>
                  <w:rFonts w:ascii="Times New Roman;serif" w:hAnsi="Times New Roman;serif"/>
                  <w:b w:val="false"/>
                  <w:strike w:val="false"/>
                  <w:dstrike w:val="false"/>
                  <w:color w:val="000080"/>
                  <w:sz w:val="20"/>
                  <w:u w:val="single"/>
                  <w:effect w:val="none"/>
                </w:rPr>
                <w:t xml:space="preserve"> as of December 31, 202</w:t>
              </w:r>
            </w:hyperlink>
            <w:hyperlink w:anchor="i4443665aa8f84fa09ac7bee378fd43ca_73">
              <w:r>
                <w:rPr>
                  <w:rStyle w:val="InternetLink"/>
                  <w:rFonts w:ascii="Times New Roman;serif" w:hAnsi="Times New Roman;serif"/>
                  <w:b w:val="false"/>
                  <w:strike w:val="false"/>
                  <w:dstrike w:val="false"/>
                  <w:color w:val="000080"/>
                  <w:sz w:val="20"/>
                  <w:u w:val="single"/>
                  <w:effect w:val="none"/>
                </w:rPr>
                <w:t>5</w:t>
              </w:r>
            </w:hyperlink>
            <w:hyperlink w:anchor="i4443665aa8f84fa09ac7bee378fd43ca_73">
              <w:r>
                <w:rPr>
                  <w:rStyle w:val="InternetLink"/>
                  <w:rFonts w:ascii="Times New Roman;serif" w:hAnsi="Times New Roman;serif"/>
                  <w:b w:val="false"/>
                  <w:strike w:val="false"/>
                  <w:dstrike w:val="false"/>
                  <w:color w:val="000080"/>
                  <w:sz w:val="20"/>
                  <w:u w:val="single"/>
                  <w:effect w:val="none"/>
                </w:rPr>
                <w:t xml:space="preserve"> and 202</w:t>
              </w:r>
            </w:hyperlink>
            <w:r>
              <w:rPr>
                <w:rFonts w:ascii="Times New Roman;serif" w:hAnsi="Times New Roman;serif"/>
                <w:b w:val="false"/>
                <w:color w:val="000000"/>
                <w:sz w:val="20"/>
              </w:rPr>
              <w:t>4</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3">
              <w:r>
                <w:rPr>
                  <w:rStyle w:val="InternetLink"/>
                  <w:rFonts w:ascii="Times New Roman;serif" w:hAnsi="Times New Roman;serif"/>
                  <w:b w:val="false"/>
                  <w:strike w:val="false"/>
                  <w:dstrike w:val="false"/>
                  <w:color w:val="000000"/>
                  <w:sz w:val="20"/>
                  <w:u w:val="none"/>
                  <w:effect w:val="none"/>
                </w:rPr>
                <w:t>38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6">
              <w:r>
                <w:rPr>
                  <w:rStyle w:val="InternetLink"/>
                  <w:rFonts w:ascii="Times New Roman;serif" w:hAnsi="Times New Roman;serif"/>
                  <w:b w:val="false"/>
                  <w:strike w:val="false"/>
                  <w:dstrike w:val="false"/>
                  <w:color w:val="000080"/>
                  <w:sz w:val="20"/>
                  <w:u w:val="single"/>
                  <w:effect w:val="none"/>
                </w:rPr>
                <w:t>Consolidated Statements of Operations for the Years Ended December 31,</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 xml:space="preserve"> 202</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5</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 202</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4</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w:t>
              </w:r>
            </w:hyperlink>
            <w:hyperlink w:anchor="i4443665aa8f84fa09ac7bee378fd43ca_76">
              <w:r>
                <w:rPr>
                  <w:rStyle w:val="InternetLink"/>
                  <w:rFonts w:ascii="Times New Roman;serif" w:hAnsi="Times New Roman;serif"/>
                  <w:b w:val="false"/>
                  <w:strike w:val="false"/>
                  <w:dstrike w:val="false"/>
                  <w:color w:val="000080"/>
                  <w:sz w:val="20"/>
                  <w:u w:val="single"/>
                  <w:effect w:val="none"/>
                </w:rPr>
                <w:t xml:space="preserve"> and 202</w:t>
              </w:r>
            </w:hyperlink>
            <w:r>
              <w:rPr>
                <w:rFonts w:ascii="Times New Roman;serif" w:hAnsi="Times New Roman;serif"/>
                <w:b w:val="false"/>
                <w:color w:val="000000"/>
                <w:sz w:val="20"/>
              </w:rPr>
              <w:t>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6">
              <w:r>
                <w:rPr>
                  <w:rStyle w:val="InternetLink"/>
                  <w:rFonts w:ascii="Times New Roman;serif" w:hAnsi="Times New Roman;serif"/>
                  <w:b w:val="false"/>
                  <w:strike w:val="false"/>
                  <w:dstrike w:val="false"/>
                  <w:color w:val="000000"/>
                  <w:sz w:val="20"/>
                  <w:u w:val="none"/>
                  <w:effect w:val="non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9">
              <w:r>
                <w:rPr>
                  <w:rStyle w:val="InternetLink"/>
                  <w:rFonts w:ascii="Times New Roman;serif" w:hAnsi="Times New Roman;serif"/>
                  <w:b w:val="false"/>
                  <w:strike w:val="false"/>
                  <w:dstrike w:val="false"/>
                  <w:color w:val="000080"/>
                  <w:sz w:val="20"/>
                  <w:u w:val="single"/>
                  <w:effect w:val="none"/>
                </w:rPr>
                <w:t>Consolidated Statements of Changes in Stockholders’ Equity for the Years Ended December 31, 202</w:t>
              </w:r>
            </w:hyperlink>
            <w:hyperlink w:anchor="i4443665aa8f84fa09ac7bee378fd43ca_79">
              <w:r>
                <w:rPr>
                  <w:rStyle w:val="InternetLink"/>
                  <w:rFonts w:ascii="Times New Roman;serif" w:hAnsi="Times New Roman;serif"/>
                  <w:b w:val="false"/>
                  <w:strike w:val="false"/>
                  <w:dstrike w:val="false"/>
                  <w:color w:val="000080"/>
                  <w:sz w:val="20"/>
                  <w:u w:val="single"/>
                  <w:effect w:val="none"/>
                </w:rPr>
                <w:t>5</w:t>
              </w:r>
            </w:hyperlink>
            <w:hyperlink w:anchor="i4443665aa8f84fa09ac7bee378fd43ca_79">
              <w:r>
                <w:rPr>
                  <w:rStyle w:val="InternetLink"/>
                  <w:rFonts w:ascii="Times New Roman;serif" w:hAnsi="Times New Roman;serif"/>
                  <w:b w:val="false"/>
                  <w:strike w:val="false"/>
                  <w:dstrike w:val="false"/>
                  <w:color w:val="000080"/>
                  <w:sz w:val="20"/>
                  <w:u w:val="single"/>
                  <w:effect w:val="none"/>
                </w:rPr>
                <w:t>, 202</w:t>
              </w:r>
            </w:hyperlink>
            <w:hyperlink w:anchor="i4443665aa8f84fa09ac7bee378fd43ca_79">
              <w:r>
                <w:rPr>
                  <w:rStyle w:val="InternetLink"/>
                  <w:rFonts w:ascii="Times New Roman;serif" w:hAnsi="Times New Roman;serif"/>
                  <w:b w:val="false"/>
                  <w:strike w:val="false"/>
                  <w:dstrike w:val="false"/>
                  <w:color w:val="000080"/>
                  <w:sz w:val="20"/>
                  <w:u w:val="single"/>
                  <w:effect w:val="none"/>
                </w:rPr>
                <w:t>4</w:t>
              </w:r>
            </w:hyperlink>
            <w:hyperlink w:anchor="i4443665aa8f84fa09ac7bee378fd43ca_79">
              <w:r>
                <w:rPr>
                  <w:rStyle w:val="InternetLink"/>
                  <w:rFonts w:ascii="Times New Roman;serif" w:hAnsi="Times New Roman;serif"/>
                  <w:b w:val="false"/>
                  <w:strike w:val="false"/>
                  <w:dstrike w:val="false"/>
                  <w:color w:val="000080"/>
                  <w:sz w:val="20"/>
                  <w:u w:val="single"/>
                  <w:effect w:val="none"/>
                </w:rPr>
                <w:t>,</w:t>
              </w:r>
            </w:hyperlink>
            <w:hyperlink w:anchor="i4443665aa8f84fa09ac7bee378fd43ca_79">
              <w:r>
                <w:rPr>
                  <w:rStyle w:val="InternetLink"/>
                  <w:rFonts w:ascii="Times New Roman;serif" w:hAnsi="Times New Roman;serif"/>
                  <w:b w:val="false"/>
                  <w:strike w:val="false"/>
                  <w:dstrike w:val="false"/>
                  <w:color w:val="000080"/>
                  <w:sz w:val="20"/>
                  <w:u w:val="single"/>
                  <w:effect w:val="none"/>
                </w:rPr>
                <w:t xml:space="preserve"> and 202</w:t>
              </w:r>
            </w:hyperlink>
            <w:r>
              <w:rPr>
                <w:rFonts w:ascii="Times New Roman;serif" w:hAnsi="Times New Roman;serif"/>
                <w:b w:val="false"/>
                <w:color w:val="000000"/>
                <w:sz w:val="20"/>
              </w:rPr>
              <w:t>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9">
              <w:r>
                <w:rPr>
                  <w:rStyle w:val="InternetLink"/>
                  <w:rFonts w:ascii="Times New Roman;serif" w:hAnsi="Times New Roman;serif"/>
                  <w:b w:val="false"/>
                  <w:strike w:val="false"/>
                  <w:dstrike w:val="false"/>
                  <w:color w:val="000000"/>
                  <w:sz w:val="20"/>
                  <w:u w:val="none"/>
                  <w:effect w:val="none"/>
                </w:rPr>
                <w:t>41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2">
              <w:r>
                <w:rPr>
                  <w:rStyle w:val="InternetLink"/>
                  <w:rFonts w:ascii="Times New Roman;serif" w:hAnsi="Times New Roman;serif"/>
                  <w:b w:val="false"/>
                  <w:strike w:val="false"/>
                  <w:dstrike w:val="false"/>
                  <w:color w:val="000080"/>
                  <w:sz w:val="20"/>
                  <w:u w:val="single"/>
                  <w:effect w:val="none"/>
                </w:rPr>
                <w:t>Consolidated Statements of Cash Flows for the Years Ended December 31, 202</w:t>
              </w:r>
            </w:hyperlink>
            <w:hyperlink w:anchor="i4443665aa8f84fa09ac7bee378fd43ca_82">
              <w:r>
                <w:rPr>
                  <w:rStyle w:val="InternetLink"/>
                  <w:rFonts w:ascii="Times New Roman;serif" w:hAnsi="Times New Roman;serif"/>
                  <w:b w:val="false"/>
                  <w:strike w:val="false"/>
                  <w:dstrike w:val="false"/>
                  <w:color w:val="000080"/>
                  <w:sz w:val="20"/>
                  <w:u w:val="single"/>
                  <w:effect w:val="none"/>
                </w:rPr>
                <w:t>5</w:t>
              </w:r>
            </w:hyperlink>
            <w:hyperlink w:anchor="i4443665aa8f84fa09ac7bee378fd43ca_82">
              <w:r>
                <w:rPr>
                  <w:rStyle w:val="InternetLink"/>
                  <w:rFonts w:ascii="Times New Roman;serif" w:hAnsi="Times New Roman;serif"/>
                  <w:b w:val="false"/>
                  <w:strike w:val="false"/>
                  <w:dstrike w:val="false"/>
                  <w:color w:val="000080"/>
                  <w:sz w:val="20"/>
                  <w:u w:val="single"/>
                  <w:effect w:val="none"/>
                </w:rPr>
                <w:t>, 202</w:t>
              </w:r>
            </w:hyperlink>
            <w:hyperlink w:anchor="i4443665aa8f84fa09ac7bee378fd43ca_82">
              <w:r>
                <w:rPr>
                  <w:rStyle w:val="InternetLink"/>
                  <w:rFonts w:ascii="Times New Roman;serif" w:hAnsi="Times New Roman;serif"/>
                  <w:b w:val="false"/>
                  <w:strike w:val="false"/>
                  <w:dstrike w:val="false"/>
                  <w:color w:val="000080"/>
                  <w:sz w:val="20"/>
                  <w:u w:val="single"/>
                  <w:effect w:val="none"/>
                </w:rPr>
                <w:t>4</w:t>
              </w:r>
            </w:hyperlink>
            <w:hyperlink w:anchor="i4443665aa8f84fa09ac7bee378fd43ca_82">
              <w:r>
                <w:rPr>
                  <w:rStyle w:val="InternetLink"/>
                  <w:rFonts w:ascii="Times New Roman;serif" w:hAnsi="Times New Roman;serif"/>
                  <w:b w:val="false"/>
                  <w:strike w:val="false"/>
                  <w:dstrike w:val="false"/>
                  <w:color w:val="000080"/>
                  <w:sz w:val="20"/>
                  <w:u w:val="single"/>
                  <w:effect w:val="none"/>
                </w:rPr>
                <w:t>,</w:t>
              </w:r>
            </w:hyperlink>
            <w:hyperlink w:anchor="i4443665aa8f84fa09ac7bee378fd43ca_82">
              <w:r>
                <w:rPr>
                  <w:rStyle w:val="InternetLink"/>
                  <w:rFonts w:ascii="Times New Roman;serif" w:hAnsi="Times New Roman;serif"/>
                  <w:b w:val="false"/>
                  <w:strike w:val="false"/>
                  <w:dstrike w:val="false"/>
                  <w:color w:val="000080"/>
                  <w:sz w:val="20"/>
                  <w:u w:val="single"/>
                  <w:effect w:val="none"/>
                </w:rPr>
                <w:t xml:space="preserve"> and 202</w:t>
              </w:r>
            </w:hyperlink>
            <w:r>
              <w:rPr>
                <w:rFonts w:ascii="Times New Roman;serif" w:hAnsi="Times New Roman;serif"/>
                <w:b w:val="false"/>
                <w:color w:val="000000"/>
                <w:sz w:val="20"/>
              </w:rPr>
              <w:t>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2">
              <w:r>
                <w:rPr>
                  <w:rStyle w:val="InternetLink"/>
                  <w:rFonts w:ascii="Times New Roman;serif" w:hAnsi="Times New Roman;serif"/>
                  <w:b w:val="false"/>
                  <w:strike w:val="false"/>
                  <w:dstrike w:val="false"/>
                  <w:color w:val="000000"/>
                  <w:sz w:val="20"/>
                  <w:u w:val="none"/>
                  <w:effect w:val="none"/>
                </w:rPr>
                <w:t>40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5">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5">
              <w:r>
                <w:rPr>
                  <w:rStyle w:val="InternetLink"/>
                  <w:rFonts w:ascii="Times New Roman;serif" w:hAnsi="Times New Roman;serif"/>
                  <w:b w:val="false"/>
                  <w:strike w:val="false"/>
                  <w:dstrike w:val="false"/>
                  <w:color w:val="000000"/>
                  <w:sz w:val="20"/>
                  <w:u w:val="none"/>
                  <w:effect w:val="none"/>
                </w:rPr>
                <w:t>42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1.</w:t>
            </w:r>
            <w:hyperlink w:anchor="i4443665aa8f84fa09ac7bee378fd43ca_88">
              <w:r>
                <w:rPr>
                  <w:rStyle w:val="InternetLink"/>
                  <w:rFonts w:ascii="Times New Roman;serif" w:hAnsi="Times New Roman;serif"/>
                  <w:b w:val="false"/>
                  <w:strike w:val="false"/>
                  <w:dstrike w:val="false"/>
                  <w:color w:val="000080"/>
                  <w:sz w:val="20"/>
                  <w:u w:val="single"/>
                  <w:effect w:val="none"/>
                </w:rPr>
                <w:t>Basis of Presentation and Summary of Significant Accounting Pol</w:t>
              </w:r>
            </w:hyperlink>
            <w:hyperlink w:anchor="i4443665aa8f84fa09ac7bee378fd43ca_88">
              <w:r>
                <w:rPr>
                  <w:rStyle w:val="InternetLink"/>
                  <w:rFonts w:ascii="Times New Roman;serif" w:hAnsi="Times New Roman;serif"/>
                  <w:b w:val="false"/>
                  <w:strike w:val="false"/>
                  <w:dstrike w:val="false"/>
                  <w:color w:val="000080"/>
                  <w:sz w:val="20"/>
                  <w:u w:val="single"/>
                  <w:effect w:val="none"/>
                </w:rPr>
                <w:t>icies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8">
              <w:r>
                <w:rPr>
                  <w:rStyle w:val="InternetLink"/>
                  <w:rFonts w:ascii="Times New Roman;serif" w:hAnsi="Times New Roman;serif"/>
                  <w:b w:val="false"/>
                  <w:strike w:val="false"/>
                  <w:dstrike w:val="false"/>
                  <w:color w:val="000000"/>
                  <w:sz w:val="20"/>
                  <w:u w:val="none"/>
                  <w:effect w:val="none"/>
                </w:rPr>
                <w:t>42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2. </w:t>
            </w:r>
            <w:hyperlink w:anchor="i4443665aa8f84fa09ac7bee378fd43ca_94">
              <w:r>
                <w:rPr>
                  <w:rStyle w:val="InternetLink"/>
                  <w:rFonts w:ascii="Times New Roman;serif" w:hAnsi="Times New Roman;serif"/>
                  <w:b w:val="false"/>
                  <w:strike w:val="false"/>
                  <w:dstrike w:val="false"/>
                  <w:color w:val="000080"/>
                  <w:sz w:val="20"/>
                  <w:u w:val="single"/>
                  <w:effect w:val="none"/>
                </w:rPr>
                <w:t>Re</w:t>
              </w:r>
            </w:hyperlink>
            <w:hyperlink w:anchor="i4443665aa8f84fa09ac7bee378fd43ca_94">
              <w:r>
                <w:rPr>
                  <w:rStyle w:val="InternetLink"/>
                  <w:rFonts w:ascii="Times New Roman;serif" w:hAnsi="Times New Roman;serif"/>
                  <w:b w:val="false"/>
                  <w:strike w:val="false"/>
                  <w:dstrike w:val="false"/>
                  <w:color w:val="000080"/>
                  <w:sz w:val="20"/>
                  <w:u w:val="single"/>
                  <w:effect w:val="none"/>
                </w:rPr>
                <w:t>cently Issu</w:t>
              </w:r>
            </w:hyperlink>
            <w:hyperlink w:anchor="i4443665aa8f84fa09ac7bee378fd43ca_94">
              <w:r>
                <w:rPr>
                  <w:rStyle w:val="InternetLink"/>
                  <w:rFonts w:ascii="Times New Roman;serif" w:hAnsi="Times New Roman;serif"/>
                  <w:b w:val="false"/>
                  <w:strike w:val="false"/>
                  <w:dstrike w:val="false"/>
                  <w:color w:val="000080"/>
                  <w:sz w:val="20"/>
                  <w:u w:val="single"/>
                  <w:effect w:val="none"/>
                </w:rPr>
                <w:t>ed A</w:t>
              </w:r>
            </w:hyperlink>
            <w:hyperlink w:anchor="i4443665aa8f84fa09ac7bee378fd43ca_94">
              <w:r>
                <w:rPr>
                  <w:rStyle w:val="InternetLink"/>
                  <w:rFonts w:ascii="Times New Roman;serif" w:hAnsi="Times New Roman;serif"/>
                  <w:b w:val="false"/>
                  <w:strike w:val="false"/>
                  <w:dstrike w:val="false"/>
                  <w:color w:val="000080"/>
                  <w:sz w:val="20"/>
                  <w:u w:val="single"/>
                  <w:effect w:val="none"/>
                </w:rPr>
                <w:t>ccounting Standards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4">
              <w:r>
                <w:rPr>
                  <w:rStyle w:val="InternetLink"/>
                  <w:rFonts w:ascii="Times New Roman;serif" w:hAnsi="Times New Roman;serif"/>
                  <w:b w:val="false"/>
                  <w:strike w:val="false"/>
                  <w:dstrike w:val="false"/>
                  <w:color w:val="000000"/>
                  <w:sz w:val="20"/>
                  <w:u w:val="none"/>
                  <w:effect w:val="none"/>
                </w:rPr>
                <w:t>50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3. </w:t>
            </w:r>
            <w:hyperlink w:anchor="i4443665aa8f84fa09ac7bee378fd43ca_97">
              <w:r>
                <w:rPr>
                  <w:rStyle w:val="InternetLink"/>
                  <w:rFonts w:ascii="Times New Roman;serif" w:hAnsi="Times New Roman;serif"/>
                  <w:b w:val="false"/>
                  <w:strike w:val="false"/>
                  <w:dstrike w:val="false"/>
                  <w:color w:val="000080"/>
                  <w:sz w:val="20"/>
                  <w:u w:val="single"/>
                  <w:effect w:val="none"/>
                </w:rPr>
                <w:t>Business Com</w:t>
              </w:r>
            </w:hyperlink>
            <w:hyperlink w:anchor="i4443665aa8f84fa09ac7bee378fd43ca_97">
              <w:r>
                <w:rPr>
                  <w:rStyle w:val="InternetLink"/>
                  <w:rFonts w:ascii="Times New Roman;serif" w:hAnsi="Times New Roman;serif"/>
                  <w:b w:val="false"/>
                  <w:strike w:val="false"/>
                  <w:dstrike w:val="false"/>
                  <w:color w:val="000080"/>
                  <w:sz w:val="20"/>
                  <w:u w:val="single"/>
                  <w:effect w:val="none"/>
                </w:rPr>
                <w:t>binations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7">
              <w:r>
                <w:rPr>
                  <w:rStyle w:val="InternetLink"/>
                  <w:rFonts w:ascii="Times New Roman;serif" w:hAnsi="Times New Roman;serif"/>
                  <w:b w:val="false"/>
                  <w:strike w:val="false"/>
                  <w:dstrike w:val="false"/>
                  <w:color w:val="000000"/>
                  <w:sz w:val="20"/>
                  <w:u w:val="none"/>
                  <w:effect w:val="non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4. </w:t>
            </w:r>
            <w:hyperlink w:anchor="i4443665aa8f84fa09ac7bee378fd43ca_100">
              <w:r>
                <w:rPr>
                  <w:rStyle w:val="InternetLink"/>
                  <w:rFonts w:ascii="Times New Roman;serif" w:hAnsi="Times New Roman;serif"/>
                  <w:b w:val="false"/>
                  <w:strike w:val="false"/>
                  <w:dstrike w:val="false"/>
                  <w:color w:val="000000"/>
                  <w:sz w:val="20"/>
                  <w:u w:val="none"/>
                  <w:effect w:val="none"/>
                </w:rPr>
                <w:t>Goodwill</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0">
              <w:r>
                <w:rPr>
                  <w:rStyle w:val="InternetLink"/>
                  <w:rFonts w:ascii="Times New Roman;serif" w:hAnsi="Times New Roman;serif"/>
                  <w:b w:val="false"/>
                  <w:strike w:val="false"/>
                  <w:dstrike w:val="false"/>
                  <w:color w:val="000000"/>
                  <w:sz w:val="20"/>
                  <w:u w:val="none"/>
                  <w:effect w:val="non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5. </w:t>
            </w:r>
            <w:hyperlink w:anchor="i4443665aa8f84fa09ac7bee378fd43ca_103">
              <w:r>
                <w:rPr>
                  <w:rStyle w:val="InternetLink"/>
                  <w:rFonts w:ascii="Times New Roman;serif" w:hAnsi="Times New Roman;serif"/>
                  <w:b w:val="false"/>
                  <w:strike w:val="false"/>
                  <w:dstrike w:val="false"/>
                  <w:color w:val="000080"/>
                  <w:sz w:val="20"/>
                  <w:u w:val="single"/>
                  <w:effect w:val="none"/>
                </w:rPr>
                <w:t>Divested Operat</w:t>
              </w:r>
            </w:hyperlink>
            <w:hyperlink w:anchor="i4443665aa8f84fa09ac7bee378fd43ca_103">
              <w:r>
                <w:rPr>
                  <w:rStyle w:val="InternetLink"/>
                  <w:rFonts w:ascii="Times New Roman;serif" w:hAnsi="Times New Roman;serif"/>
                  <w:b w:val="false"/>
                  <w:strike w:val="false"/>
                  <w:dstrike w:val="false"/>
                  <w:color w:val="000080"/>
                  <w:sz w:val="20"/>
                  <w:u w:val="single"/>
                  <w:effect w:val="none"/>
                </w:rPr>
                <w: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3">
              <w:r>
                <w:rPr>
                  <w:rStyle w:val="InternetLink"/>
                  <w:rFonts w:ascii="Times New Roman;serif" w:hAnsi="Times New Roman;serif"/>
                  <w:b w:val="false"/>
                  <w:strike w:val="false"/>
                  <w:dstrike w:val="false"/>
                  <w:color w:val="000000"/>
                  <w:sz w:val="20"/>
                  <w:u w:val="none"/>
                  <w:effect w:val="non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6. </w:t>
            </w:r>
            <w:hyperlink w:anchor="i4443665aa8f84fa09ac7bee378fd43ca_106">
              <w:r>
                <w:rPr>
                  <w:rStyle w:val="InternetLink"/>
                  <w:rFonts w:ascii="Times New Roman;serif" w:hAnsi="Times New Roman;serif"/>
                  <w:b w:val="false"/>
                  <w:strike w:val="false"/>
                  <w:dstrike w:val="false"/>
                  <w:color w:val="000000"/>
                  <w:sz w:val="20"/>
                  <w:u w:val="none"/>
                  <w:effect w:val="none"/>
                </w:rPr>
                <w:t>Receivables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6">
              <w:r>
                <w:rPr>
                  <w:rStyle w:val="InternetLink"/>
                  <w:rFonts w:ascii="Times New Roman;serif" w:hAnsi="Times New Roman;serif"/>
                  <w:b w:val="false"/>
                  <w:strike w:val="false"/>
                  <w:dstrike w:val="false"/>
                  <w:color w:val="000000"/>
                  <w:sz w:val="20"/>
                  <w:u w:val="none"/>
                  <w:effect w:val="non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443665aa8f84fa09ac7bee378fd43ca_109">
              <w:r>
                <w:rPr>
                  <w:rStyle w:val="InternetLink"/>
                  <w:rFonts w:ascii="Times New Roman;serif" w:hAnsi="Times New Roman;serif"/>
                  <w:b w:val="false"/>
                  <w:strike w:val="false"/>
                  <w:dstrike w:val="false"/>
                  <w:color w:val="000080"/>
                  <w:sz w:val="20"/>
                  <w:u w:val="single"/>
                  <w:effect w:val="none"/>
                </w:rPr>
                <w:t>7</w:t>
              </w:r>
            </w:hyperlink>
            <w:hyperlink w:anchor="i4443665aa8f84fa09ac7bee378fd43ca_109">
              <w:r>
                <w:rPr>
                  <w:rStyle w:val="InternetLink"/>
                  <w:rFonts w:ascii="Times New Roman;serif" w:hAnsi="Times New Roman;serif"/>
                  <w:b w:val="false"/>
                  <w:strike w:val="false"/>
                  <w:dstrike w:val="false"/>
                  <w:color w:val="000080"/>
                  <w:sz w:val="20"/>
                  <w:u w:val="single"/>
                  <w:effect w:val="none"/>
                </w:rPr>
                <w:t>.</w:t>
              </w:r>
            </w:hyperlink>
            <w:hyperlink w:anchor="i4443665aa8f84fa09ac7bee378fd43ca_109">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09">
              <w:r>
                <w:rPr>
                  <w:rStyle w:val="InternetLink"/>
                  <w:rFonts w:ascii="Times New Roman;serif" w:hAnsi="Times New Roman;serif"/>
                  <w:b w:val="false"/>
                  <w:strike w:val="false"/>
                  <w:dstrike w:val="false"/>
                  <w:color w:val="000080"/>
                  <w:sz w:val="20"/>
                  <w:u w:val="single"/>
                  <w:effect w:val="none"/>
                </w:rPr>
                <w:t>Fair Value Measurements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9">
              <w:r>
                <w:rPr>
                  <w:rStyle w:val="InternetLink"/>
                  <w:rFonts w:ascii="Times New Roman;serif" w:hAnsi="Times New Roman;serif"/>
                  <w:b w:val="false"/>
                  <w:strike w:val="false"/>
                  <w:dstrike w:val="false"/>
                  <w:color w:val="000000"/>
                  <w:sz w:val="20"/>
                  <w:u w:val="none"/>
                  <w:effect w:val="non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8. </w:t>
            </w:r>
            <w:hyperlink w:anchor="i4443665aa8f84fa09ac7bee378fd43ca_112">
              <w:r>
                <w:rPr>
                  <w:rStyle w:val="InternetLink"/>
                  <w:rFonts w:ascii="Times New Roman;serif" w:hAnsi="Times New Roman;serif"/>
                  <w:b w:val="false"/>
                  <w:strike w:val="false"/>
                  <w:dstrike w:val="false"/>
                  <w:color w:val="000000"/>
                  <w:sz w:val="20"/>
                  <w:u w:val="none"/>
                  <w:effect w:val="none"/>
                </w:rPr>
                <w:t>Trust Investments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2">
              <w:r>
                <w:rPr>
                  <w:rStyle w:val="InternetLink"/>
                  <w:rFonts w:ascii="Times New Roman;serif" w:hAnsi="Times New Roman;serif"/>
                  <w:b w:val="false"/>
                  <w:strike w:val="false"/>
                  <w:dstrike w:val="false"/>
                  <w:color w:val="000000"/>
                  <w:sz w:val="20"/>
                  <w:u w:val="none"/>
                  <w:effect w:val="non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15">
              <w:r>
                <w:rPr>
                  <w:rStyle w:val="InternetLink"/>
                  <w:rFonts w:ascii="Times New Roman;serif" w:hAnsi="Times New Roman;serif"/>
                  <w:b w:val="false"/>
                  <w:strike w:val="false"/>
                  <w:dstrike w:val="false"/>
                  <w:color w:val="000080"/>
                  <w:sz w:val="20"/>
                  <w:u w:val="single"/>
                  <w:effect w:val="none"/>
                </w:rPr>
                <w:t>9</w:t>
              </w:r>
            </w:hyperlink>
            <w:hyperlink w:anchor="i4443665aa8f84fa09ac7bee378fd43ca_115">
              <w:r>
                <w:rPr>
                  <w:rStyle w:val="InternetLink"/>
                  <w:rFonts w:ascii="Times New Roman;serif" w:hAnsi="Times New Roman;serif"/>
                  <w:b w:val="false"/>
                  <w:strike w:val="false"/>
                  <w:dstrike w:val="false"/>
                  <w:color w:val="000080"/>
                  <w:sz w:val="20"/>
                  <w:u w:val="single"/>
                  <w:effect w:val="none"/>
                </w:rPr>
                <w:t>.</w:t>
              </w:r>
            </w:hyperlink>
            <w:hyperlink w:anchor="i4443665aa8f84fa09ac7bee378fd43ca_115">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15">
              <w:r>
                <w:rPr>
                  <w:rStyle w:val="InternetLink"/>
                  <w:rFonts w:ascii="Times New Roman;serif" w:hAnsi="Times New Roman;serif"/>
                  <w:b w:val="false"/>
                  <w:strike w:val="false"/>
                  <w:dstrike w:val="false"/>
                  <w:color w:val="000080"/>
                  <w:sz w:val="20"/>
                  <w:u w:val="single"/>
                  <w:effect w:val="none"/>
                </w:rPr>
                <w:t>Receivables from Preneed Funeral Trusts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5">
              <w:r>
                <w:rPr>
                  <w:rStyle w:val="InternetLink"/>
                  <w:rFonts w:ascii="Times New Roman;serif" w:hAnsi="Times New Roman;serif"/>
                  <w:b w:val="false"/>
                  <w:strike w:val="false"/>
                  <w:dstrike w:val="false"/>
                  <w:color w:val="000000"/>
                  <w:sz w:val="20"/>
                  <w:u w:val="none"/>
                  <w:effect w:val="non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18">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18">
              <w:r>
                <w:rPr>
                  <w:rStyle w:val="InternetLink"/>
                  <w:rFonts w:ascii="Times New Roman;serif" w:hAnsi="Times New Roman;serif"/>
                  <w:b w:val="false"/>
                  <w:strike w:val="false"/>
                  <w:dstrike w:val="false"/>
                  <w:color w:val="000080"/>
                  <w:sz w:val="20"/>
                  <w:u w:val="single"/>
                  <w:effect w:val="none"/>
                </w:rPr>
                <w:t>0.</w:t>
              </w:r>
            </w:hyperlink>
            <w:hyperlink w:anchor="i4443665aa8f84fa09ac7bee378fd43ca_118">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18">
              <w:r>
                <w:rPr>
                  <w:rStyle w:val="InternetLink"/>
                  <w:rFonts w:ascii="Times New Roman;serif" w:hAnsi="Times New Roman;serif"/>
                  <w:b w:val="false"/>
                  <w:strike w:val="false"/>
                  <w:dstrike w:val="false"/>
                  <w:color w:val="000080"/>
                  <w:sz w:val="20"/>
                  <w:u w:val="single"/>
                  <w:effect w:val="none"/>
                </w:rPr>
                <w:t xml:space="preserve">Contracts </w:t>
              </w:r>
            </w:hyperlink>
            <w:hyperlink w:anchor="i4443665aa8f84fa09ac7bee378fd43ca_118">
              <w:r>
                <w:rPr>
                  <w:rStyle w:val="InternetLink"/>
                  <w:rFonts w:ascii="Times New Roman;serif" w:hAnsi="Times New Roman;serif"/>
                  <w:b w:val="false"/>
                  <w:strike w:val="false"/>
                  <w:dstrike w:val="false"/>
                  <w:color w:val="000080"/>
                  <w:sz w:val="20"/>
                  <w:u w:val="single"/>
                  <w:effect w:val="none"/>
                </w:rPr>
                <w:t>Funded by Insurance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8">
              <w:r>
                <w:rPr>
                  <w:rStyle w:val="InternetLink"/>
                  <w:rFonts w:ascii="Times New Roman;serif" w:hAnsi="Times New Roman;serif"/>
                  <w:b w:val="false"/>
                  <w:strike w:val="false"/>
                  <w:dstrike w:val="false"/>
                  <w:color w:val="000000"/>
                  <w:sz w:val="20"/>
                  <w:u w:val="none"/>
                  <w:effect w:val="none"/>
                </w:rPr>
                <w:t>63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21">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21">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21">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21">
              <w:r>
                <w:rPr>
                  <w:rStyle w:val="InternetLink"/>
                  <w:rFonts w:ascii="Times New Roman;serif" w:hAnsi="Times New Roman;serif"/>
                  <w:b w:val="false"/>
                  <w:strike w:val="false"/>
                  <w:dstrike w:val="false"/>
                  <w:color w:val="000080"/>
                  <w:sz w:val="20"/>
                  <w:u w:val="single"/>
                  <w:effect w:val="none"/>
                </w:rPr>
                <w:t>Intangibles and Other Non Current Assets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1">
              <w:r>
                <w:rPr>
                  <w:rStyle w:val="InternetLink"/>
                  <w:rFonts w:ascii="Times New Roman;serif" w:hAnsi="Times New Roman;serif"/>
                  <w:b w:val="false"/>
                  <w:strike w:val="false"/>
                  <w:dstrike w:val="false"/>
                  <w:color w:val="000000"/>
                  <w:sz w:val="20"/>
                  <w:u w:val="none"/>
                  <w:effect w:val="none"/>
                </w:rPr>
                <w:t>64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24">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24">
              <w:r>
                <w:rPr>
                  <w:rStyle w:val="InternetLink"/>
                  <w:rFonts w:ascii="Times New Roman;serif" w:hAnsi="Times New Roman;serif"/>
                  <w:b w:val="false"/>
                  <w:strike w:val="false"/>
                  <w:dstrike w:val="false"/>
                  <w:color w:val="000080"/>
                  <w:sz w:val="20"/>
                  <w:u w:val="single"/>
                  <w:effect w:val="none"/>
                </w:rPr>
                <w:t>2.</w:t>
              </w:r>
            </w:hyperlink>
            <w:hyperlink w:anchor="i4443665aa8f84fa09ac7bee378fd43ca_124">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24">
              <w:r>
                <w:rPr>
                  <w:rStyle w:val="InternetLink"/>
                  <w:rFonts w:ascii="Times New Roman;serif" w:hAnsi="Times New Roman;serif"/>
                  <w:b w:val="false"/>
                  <w:strike w:val="false"/>
                  <w:dstrike w:val="false"/>
                  <w:color w:val="000080"/>
                  <w:sz w:val="20"/>
                  <w:u w:val="single"/>
                  <w:effect w:val="none"/>
                </w:rPr>
                <w:t>Credit Facility and Acquisition</w:t>
              </w:r>
            </w:hyperlink>
            <w:hyperlink w:anchor="i4443665aa8f84fa09ac7bee378fd43ca_124">
              <w:r>
                <w:rPr>
                  <w:rStyle w:val="InternetLink"/>
                  <w:rFonts w:ascii="Times New Roman;serif" w:hAnsi="Times New Roman;serif"/>
                  <w:b w:val="false"/>
                  <w:strike w:val="false"/>
                  <w:dstrike w:val="false"/>
                  <w:color w:val="000080"/>
                  <w:sz w:val="20"/>
                  <w:u w:val="single"/>
                  <w:effect w:val="none"/>
                </w:rPr>
                <w:t xml:space="preserve"> Debt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4">
              <w:r>
                <w:rPr>
                  <w:rStyle w:val="InternetLink"/>
                  <w:rFonts w:ascii="Times New Roman;serif" w:hAnsi="Times New Roman;serif"/>
                  <w:b w:val="false"/>
                  <w:strike w:val="false"/>
                  <w:dstrike w:val="false"/>
                  <w:color w:val="000000"/>
                  <w:sz w:val="20"/>
                  <w:u w:val="none"/>
                  <w:effect w:val="non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87">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5887">
              <w:r>
                <w:rPr>
                  <w:rStyle w:val="InternetLink"/>
                  <w:rFonts w:ascii="Times New Roman;serif" w:hAnsi="Times New Roman;serif"/>
                  <w:b w:val="false"/>
                  <w:strike w:val="false"/>
                  <w:dstrike w:val="false"/>
                  <w:color w:val="000080"/>
                  <w:sz w:val="20"/>
                  <w:u w:val="single"/>
                  <w:effect w:val="none"/>
                </w:rPr>
                <w:t>3.</w:t>
              </w:r>
            </w:hyperlink>
            <w:hyperlink w:anchor="i4443665aa8f84fa09ac7bee378fd43ca_5887">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5887">
              <w:r>
                <w:rPr>
                  <w:rStyle w:val="InternetLink"/>
                  <w:rFonts w:ascii="Times New Roman;serif" w:hAnsi="Times New Roman;serif"/>
                  <w:b w:val="false"/>
                  <w:strike w:val="false"/>
                  <w:dstrike w:val="false"/>
                  <w:color w:val="000080"/>
                  <w:sz w:val="20"/>
                  <w:u w:val="single"/>
                  <w:effect w:val="none"/>
                </w:rPr>
                <w:t>Senio</w:t>
              </w:r>
            </w:hyperlink>
            <w:hyperlink w:anchor="i4443665aa8f84fa09ac7bee378fd43ca_5887">
              <w:r>
                <w:rPr>
                  <w:rStyle w:val="InternetLink"/>
                  <w:rFonts w:ascii="Times New Roman;serif" w:hAnsi="Times New Roman;serif"/>
                  <w:b w:val="false"/>
                  <w:strike w:val="false"/>
                  <w:dstrike w:val="false"/>
                  <w:color w:val="000080"/>
                  <w:sz w:val="20"/>
                  <w:u w:val="single"/>
                  <w:effect w:val="none"/>
                </w:rPr>
                <w:t>r Notes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35">
              <w:r>
                <w:rPr>
                  <w:rStyle w:val="InternetLink"/>
                  <w:rFonts w:ascii="Times New Roman;serif" w:hAnsi="Times New Roman;serif"/>
                  <w:b w:val="false"/>
                  <w:strike w:val="false"/>
                  <w:dstrike w:val="false"/>
                  <w:color w:val="000000"/>
                  <w:sz w:val="20"/>
                  <w:u w:val="none"/>
                  <w:effect w:val="none"/>
                </w:rPr>
                <w:t>67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33">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33">
              <w:r>
                <w:rPr>
                  <w:rStyle w:val="InternetLink"/>
                  <w:rFonts w:ascii="Times New Roman;serif" w:hAnsi="Times New Roman;serif"/>
                  <w:b w:val="false"/>
                  <w:strike w:val="false"/>
                  <w:dstrike w:val="false"/>
                  <w:color w:val="000080"/>
                  <w:sz w:val="20"/>
                  <w:u w:val="single"/>
                  <w:effect w:val="none"/>
                </w:rPr>
                <w:t>4.</w:t>
              </w:r>
            </w:hyperlink>
            <w:hyperlink w:anchor="i4443665aa8f84fa09ac7bee378fd43ca_133">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33">
              <w:r>
                <w:rPr>
                  <w:rStyle w:val="InternetLink"/>
                  <w:rFonts w:ascii="Times New Roman;serif" w:hAnsi="Times New Roman;serif"/>
                  <w:b w:val="false"/>
                  <w:strike w:val="false"/>
                  <w:dstrike w:val="false"/>
                  <w:color w:val="000080"/>
                  <w:sz w:val="20"/>
                  <w:u w:val="single"/>
                  <w:effect w:val="none"/>
                </w:rPr>
                <w:t>Leases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33">
              <w:r>
                <w:rPr>
                  <w:rStyle w:val="InternetLink"/>
                  <w:rFonts w:ascii="Times New Roman;serif" w:hAnsi="Times New Roman;serif"/>
                  <w:b w:val="false"/>
                  <w:strike w:val="false"/>
                  <w:dstrike w:val="false"/>
                  <w:color w:val="000000"/>
                  <w:sz w:val="20"/>
                  <w:u w:val="none"/>
                  <w:effect w:val="none"/>
                </w:rPr>
                <w:t>68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39">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39">
              <w:r>
                <w:rPr>
                  <w:rStyle w:val="InternetLink"/>
                  <w:rFonts w:ascii="Times New Roman;serif" w:hAnsi="Times New Roman;serif"/>
                  <w:b w:val="false"/>
                  <w:strike w:val="false"/>
                  <w:dstrike w:val="false"/>
                  <w:color w:val="000080"/>
                  <w:sz w:val="20"/>
                  <w:u w:val="single"/>
                  <w:effect w:val="none"/>
                </w:rPr>
                <w:t xml:space="preserve">5. </w:t>
              </w:r>
            </w:hyperlink>
            <w:hyperlink w:anchor="i4443665aa8f84fa09ac7bee378fd43ca_139">
              <w:r>
                <w:rPr>
                  <w:rStyle w:val="InternetLink"/>
                  <w:rFonts w:ascii="Times New Roman;serif" w:hAnsi="Times New Roman;serif"/>
                  <w:b w:val="false"/>
                  <w:strike w:val="false"/>
                  <w:dstrike w:val="false"/>
                  <w:color w:val="000080"/>
                  <w:sz w:val="20"/>
                  <w:u w:val="single"/>
                  <w:effect w:val="none"/>
                </w:rPr>
                <w:t>Commit</w:t>
              </w:r>
            </w:hyperlink>
            <w:hyperlink w:anchor="i4443665aa8f84fa09ac7bee378fd43ca_139">
              <w:r>
                <w:rPr>
                  <w:rStyle w:val="InternetLink"/>
                  <w:rFonts w:ascii="Times New Roman;serif" w:hAnsi="Times New Roman;serif"/>
                  <w:b w:val="false"/>
                  <w:strike w:val="false"/>
                  <w:dstrike w:val="false"/>
                  <w:color w:val="000080"/>
                  <w:sz w:val="20"/>
                  <w:u w:val="single"/>
                  <w:effect w:val="none"/>
                </w:rPr>
                <w:t>ments and Contingencies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39">
              <w:r>
                <w:rPr>
                  <w:rStyle w:val="InternetLink"/>
                  <w:rFonts w:ascii="Times New Roman;serif" w:hAnsi="Times New Roman;serif"/>
                  <w:b w:val="false"/>
                  <w:strike w:val="false"/>
                  <w:dstrike w:val="false"/>
                  <w:color w:val="000000"/>
                  <w:sz w:val="20"/>
                  <w:u w:val="none"/>
                  <w:effect w:val="none"/>
                </w:rPr>
                <w:t>70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42">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42">
              <w:r>
                <w:rPr>
                  <w:rStyle w:val="InternetLink"/>
                  <w:rFonts w:ascii="Times New Roman;serif" w:hAnsi="Times New Roman;serif"/>
                  <w:b w:val="false"/>
                  <w:strike w:val="false"/>
                  <w:dstrike w:val="false"/>
                  <w:color w:val="000080"/>
                  <w:sz w:val="20"/>
                  <w:u w:val="single"/>
                  <w:effect w:val="none"/>
                </w:rPr>
                <w:t>6.</w:t>
              </w:r>
            </w:hyperlink>
            <w:hyperlink w:anchor="i4443665aa8f84fa09ac7bee378fd43ca_142">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42">
              <w:r>
                <w:rPr>
                  <w:rStyle w:val="InternetLink"/>
                  <w:rFonts w:ascii="Times New Roman;serif" w:hAnsi="Times New Roman;serif"/>
                  <w:b w:val="false"/>
                  <w:strike w:val="false"/>
                  <w:dstrike w:val="false"/>
                  <w:color w:val="000080"/>
                  <w:sz w:val="20"/>
                  <w:u w:val="single"/>
                  <w:effect w:val="none"/>
                </w:rPr>
                <w:t>Income Taxes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42">
              <w:r>
                <w:rPr>
                  <w:rStyle w:val="InternetLink"/>
                  <w:rFonts w:ascii="Times New Roman;serif" w:hAnsi="Times New Roman;serif"/>
                  <w:b w:val="false"/>
                  <w:strike w:val="false"/>
                  <w:dstrike w:val="false"/>
                  <w:color w:val="000000"/>
                  <w:sz w:val="20"/>
                  <w:u w:val="none"/>
                  <w:effect w:val="none"/>
                </w:rPr>
                <w:t>71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45">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45">
              <w:r>
                <w:rPr>
                  <w:rStyle w:val="InternetLink"/>
                  <w:rFonts w:ascii="Times New Roman;serif" w:hAnsi="Times New Roman;serif"/>
                  <w:b w:val="false"/>
                  <w:strike w:val="false"/>
                  <w:dstrike w:val="false"/>
                  <w:color w:val="000080"/>
                  <w:sz w:val="20"/>
                  <w:u w:val="single"/>
                  <w:effect w:val="none"/>
                </w:rPr>
                <w:t>7.</w:t>
              </w:r>
            </w:hyperlink>
            <w:hyperlink w:anchor="i4443665aa8f84fa09ac7bee378fd43ca_145">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45">
              <w:r>
                <w:rPr>
                  <w:rStyle w:val="InternetLink"/>
                  <w:rFonts w:ascii="Times New Roman;serif" w:hAnsi="Times New Roman;serif"/>
                  <w:b w:val="false"/>
                  <w:strike w:val="false"/>
                  <w:dstrike w:val="false"/>
                  <w:color w:val="000080"/>
                  <w:sz w:val="20"/>
                  <w:u w:val="single"/>
                  <w:effect w:val="none"/>
                </w:rPr>
                <w:t xml:space="preserve">Stockholders' </w:t>
              </w:r>
            </w:hyperlink>
            <w:hyperlink w:anchor="i4443665aa8f84fa09ac7bee378fd43ca_145">
              <w:r>
                <w:rPr>
                  <w:rStyle w:val="InternetLink"/>
                  <w:rFonts w:ascii="Times New Roman;serif" w:hAnsi="Times New Roman;serif"/>
                  <w:b w:val="false"/>
                  <w:strike w:val="false"/>
                  <w:dstrike w:val="false"/>
                  <w:color w:val="000080"/>
                  <w:sz w:val="20"/>
                  <w:u w:val="single"/>
                  <w:effect w:val="none"/>
                </w:rPr>
                <w:t>Equity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45">
              <w:r>
                <w:rPr>
                  <w:rStyle w:val="InternetLink"/>
                  <w:rFonts w:ascii="Times New Roman;serif" w:hAnsi="Times New Roman;serif"/>
                  <w:b w:val="false"/>
                  <w:strike w:val="false"/>
                  <w:dstrike w:val="false"/>
                  <w:color w:val="000000"/>
                  <w:sz w:val="20"/>
                  <w:u w:val="none"/>
                  <w:effect w:val="none"/>
                </w:rPr>
                <w:t>73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54">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54">
              <w:r>
                <w:rPr>
                  <w:rStyle w:val="InternetLink"/>
                  <w:rFonts w:ascii="Times New Roman;serif" w:hAnsi="Times New Roman;serif"/>
                  <w:b w:val="false"/>
                  <w:strike w:val="false"/>
                  <w:dstrike w:val="false"/>
                  <w:color w:val="000080"/>
                  <w:sz w:val="20"/>
                  <w:u w:val="single"/>
                  <w:effect w:val="none"/>
                </w:rPr>
                <w:t>8.</w:t>
              </w:r>
            </w:hyperlink>
            <w:hyperlink w:anchor="i4443665aa8f84fa09ac7bee378fd43ca_154">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54">
              <w:r>
                <w:rPr>
                  <w:rStyle w:val="InternetLink"/>
                  <w:rFonts w:ascii="Times New Roman;serif" w:hAnsi="Times New Roman;serif"/>
                  <w:b w:val="false"/>
                  <w:strike w:val="false"/>
                  <w:dstrike w:val="false"/>
                  <w:color w:val="000080"/>
                  <w:sz w:val="20"/>
                  <w:u w:val="single"/>
                  <w:effect w:val="none"/>
                </w:rPr>
                <w:t>Earnings Per Share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4">
              <w:r>
                <w:rPr>
                  <w:rStyle w:val="InternetLink"/>
                  <w:rFonts w:ascii="Times New Roman;serif" w:hAnsi="Times New Roman;serif"/>
                  <w:b w:val="false"/>
                  <w:strike w:val="false"/>
                  <w:dstrike w:val="false"/>
                  <w:color w:val="000000"/>
                  <w:sz w:val="20"/>
                  <w:u w:val="none"/>
                  <w:effect w:val="none"/>
                </w:rPr>
                <w:t>77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57">
              <w:r>
                <w:rPr>
                  <w:rStyle w:val="InternetLink"/>
                  <w:rFonts w:ascii="Times New Roman;serif" w:hAnsi="Times New Roman;serif"/>
                  <w:b w:val="false"/>
                  <w:strike w:val="false"/>
                  <w:dstrike w:val="false"/>
                  <w:color w:val="000080"/>
                  <w:sz w:val="20"/>
                  <w:u w:val="single"/>
                  <w:effect w:val="none"/>
                </w:rPr>
                <w:t>1</w:t>
              </w:r>
            </w:hyperlink>
            <w:hyperlink w:anchor="i4443665aa8f84fa09ac7bee378fd43ca_157">
              <w:r>
                <w:rPr>
                  <w:rStyle w:val="InternetLink"/>
                  <w:rFonts w:ascii="Times New Roman;serif" w:hAnsi="Times New Roman;serif"/>
                  <w:b w:val="false"/>
                  <w:strike w:val="false"/>
                  <w:dstrike w:val="false"/>
                  <w:color w:val="000080"/>
                  <w:sz w:val="20"/>
                  <w:u w:val="single"/>
                  <w:effect w:val="none"/>
                </w:rPr>
                <w:t>9.</w:t>
              </w:r>
            </w:hyperlink>
            <w:hyperlink w:anchor="i4443665aa8f84fa09ac7bee378fd43ca_157">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57">
              <w:r>
                <w:rPr>
                  <w:rStyle w:val="InternetLink"/>
                  <w:rFonts w:ascii="Times New Roman;serif" w:hAnsi="Times New Roman;serif"/>
                  <w:b w:val="false"/>
                  <w:strike w:val="false"/>
                  <w:dstrike w:val="false"/>
                  <w:color w:val="000080"/>
                  <w:sz w:val="20"/>
                  <w:u w:val="single"/>
                  <w:effect w:val="none"/>
                </w:rPr>
                <w:t>Segment Reporting</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7">
              <w:r>
                <w:rPr>
                  <w:rStyle w:val="InternetLink"/>
                  <w:rFonts w:ascii="Times New Roman;serif" w:hAnsi="Times New Roman;serif"/>
                  <w:b w:val="false"/>
                  <w:strike w:val="false"/>
                  <w:dstrike w:val="false"/>
                  <w:color w:val="000000"/>
                  <w:sz w:val="20"/>
                  <w:u w:val="none"/>
                  <w:effect w:val="none"/>
                </w:rPr>
                <w:t>78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60">
              <w:r>
                <w:rPr>
                  <w:rStyle w:val="InternetLink"/>
                  <w:rFonts w:ascii="Times New Roman;serif" w:hAnsi="Times New Roman;serif"/>
                  <w:b w:val="false"/>
                  <w:strike w:val="false"/>
                  <w:dstrike w:val="false"/>
                  <w:color w:val="000080"/>
                  <w:sz w:val="20"/>
                  <w:u w:val="single"/>
                  <w:effect w:val="none"/>
                </w:rPr>
                <w:t>2</w:t>
              </w:r>
            </w:hyperlink>
            <w:hyperlink w:anchor="i4443665aa8f84fa09ac7bee378fd43ca_160">
              <w:r>
                <w:rPr>
                  <w:rStyle w:val="InternetLink"/>
                  <w:rFonts w:ascii="Times New Roman;serif" w:hAnsi="Times New Roman;serif"/>
                  <w:b w:val="false"/>
                  <w:strike w:val="false"/>
                  <w:dstrike w:val="false"/>
                  <w:color w:val="000080"/>
                  <w:sz w:val="20"/>
                  <w:u w:val="single"/>
                  <w:effect w:val="none"/>
                </w:rPr>
                <w:t>0.</w:t>
              </w:r>
            </w:hyperlink>
            <w:hyperlink w:anchor="i4443665aa8f84fa09ac7bee378fd43ca_160">
              <w:r>
                <w:rPr>
                  <w:rStyle w:val="InternetLink"/>
                  <w:rFonts w:ascii="Times New Roman;serif" w:hAnsi="Times New Roman;serif"/>
                  <w:b w:val="false"/>
                  <w:strike w:val="false"/>
                  <w:dstrike w:val="false"/>
                  <w:color w:val="000080"/>
                  <w:sz w:val="20"/>
                  <w:u w:val="single"/>
                  <w:effect w:val="none"/>
                </w:rPr>
                <w:t xml:space="preserve"> </w:t>
              </w:r>
            </w:hyperlink>
            <w:hyperlink w:anchor="i4443665aa8f84fa09ac7bee378fd43ca_160">
              <w:r>
                <w:rPr>
                  <w:rStyle w:val="InternetLink"/>
                  <w:rFonts w:ascii="Times New Roman;serif" w:hAnsi="Times New Roman;serif"/>
                  <w:b w:val="false"/>
                  <w:strike w:val="false"/>
                  <w:dstrike w:val="false"/>
                  <w:color w:val="000080"/>
                  <w:sz w:val="20"/>
                  <w:u w:val="single"/>
                  <w:effect w:val="none"/>
                </w:rPr>
                <w:t>Supplementary Da</w:t>
              </w:r>
            </w:hyperlink>
            <w:r>
              <w:rPr>
                <w:rFonts w:ascii="Times New Roman;serif" w:hAnsi="Times New Roman;serif"/>
                <w:b w:val="false"/>
                <w:color w:val="000000"/>
                <w:sz w:val="20"/>
              </w:rPr>
              <w:t>ta</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60">
              <w:r>
                <w:rPr>
                  <w:rStyle w:val="InternetLink"/>
                  <w:rFonts w:ascii="Times New Roman;serif" w:hAnsi="Times New Roman;serif"/>
                  <w:b w:val="false"/>
                  <w:strike w:val="false"/>
                  <w:dstrike w:val="false"/>
                  <w:color w:val="000000"/>
                  <w:sz w:val="20"/>
                  <w:u w:val="none"/>
                  <w:effect w:val="none"/>
                </w:rPr>
                <w:t>82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Carriage Services, Inc. (a Delaware corporation) and subsidiaries (the “Company”) as of December 31, 2025 and 2024, the related consolidated statements of operations,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lineRule="auto" w:line="288" w:before="120" w:after="283"/>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(“COSO”), and our report dated February 26, 2026 expressed an unqualified opinion.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Critical audit matters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84"/>
        <w:jc w:val="both"/>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288" w:before="0" w:after="284"/>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We have audited the internal control over financial reporting of Carriage Services, Inc., (a Delaware corporation) and subsidiaries (the “Company”)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February 26, 2026 expressed an unqualified opinion on those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16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both"/>
        <w:rPr/>
      </w:pPr>
      <w:r>
        <w:rPr/>
      </w:r>
    </w:p>
    <w:p>
      <w:pPr>
        <w:pStyle w:val="TextBody"/>
        <w:bidi w:val="0"/>
        <w:spacing w:lineRule="auto" w:line="417" w:before="0" w:after="284"/>
        <w:jc w:val="both"/>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689"/>
        <w:gridCol w:w="2246"/>
        <w:gridCol w:w="2196"/>
        <w:gridCol w:w="211"/>
        <w:gridCol w:w="976"/>
        <w:gridCol w:w="109"/>
        <w:gridCol w:w="109"/>
        <w:gridCol w:w="109"/>
        <w:gridCol w:w="109"/>
        <w:gridCol w:w="211"/>
        <w:gridCol w:w="976"/>
        <w:gridCol w:w="109"/>
        <w:gridCol w:w="155"/>
      </w:tblGrid>
      <w:tr>
        <w:trPr/>
        <w:tc>
          <w:tcPr>
            <w:tcW w:w="268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 shares authorized and 27,378,870 and 26,881,355 shares issued, respectively and 15,751,052 and 15,253,537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11,627,818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946"/>
        <w:gridCol w:w="1688"/>
        <w:gridCol w:w="1670"/>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94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10"/>
            <w:tcBorders/>
          </w:tcPr>
          <w:p>
            <w:pPr>
              <w:pStyle w:val="TableContents"/>
              <w:bidi w:val="0"/>
              <w:spacing w:before="0" w:after="283"/>
              <w:jc w:val="left"/>
              <w:rPr>
                <w:sz w:val="4"/>
                <w:szCs w:val="4"/>
              </w:rPr>
            </w:pPr>
            <w:r>
              <w:rPr>
                <w:sz w:val="4"/>
                <w:szCs w:val="4"/>
              </w:rPr>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4"/>
            <w:tcBorders/>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field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property damage, net of insurance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related to discrete income tax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89"/>
        <w:gridCol w:w="1989"/>
        <w:gridCol w:w="1995"/>
        <w:gridCol w:w="211"/>
        <w:gridCol w:w="721"/>
        <w:gridCol w:w="109"/>
        <w:gridCol w:w="109"/>
        <w:gridCol w:w="109"/>
        <w:gridCol w:w="109"/>
        <w:gridCol w:w="211"/>
        <w:gridCol w:w="721"/>
        <w:gridCol w:w="109"/>
        <w:gridCol w:w="109"/>
        <w:gridCol w:w="109"/>
        <w:gridCol w:w="109"/>
        <w:gridCol w:w="211"/>
        <w:gridCol w:w="721"/>
        <w:gridCol w:w="109"/>
        <w:gridCol w:w="155"/>
      </w:tblGrid>
      <w:tr>
        <w:trPr/>
        <w:tc>
          <w:tcPr>
            <w:tcW w:w="22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and accretion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on divestitures and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property damage, net of insurance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sale of excess real property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that provided (used)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preneed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prepaid,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and 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Preneed funeral and cemetery trust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receipts held in trust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 and real property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divestitures and sale of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insurance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from the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against the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issuance costs for the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acquisition debt and obligations under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 and employee stock purchase plan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on restricted stock, performance award vestings, and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 and financing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Land purchased in exchange for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08"/>
        <w:gridCol w:w="632"/>
        <w:gridCol w:w="637"/>
        <w:gridCol w:w="355"/>
        <w:gridCol w:w="355"/>
        <w:gridCol w:w="356"/>
        <w:gridCol w:w="109"/>
        <w:gridCol w:w="109"/>
        <w:gridCol w:w="109"/>
        <w:gridCol w:w="227"/>
        <w:gridCol w:w="489"/>
        <w:gridCol w:w="128"/>
        <w:gridCol w:w="109"/>
        <w:gridCol w:w="109"/>
        <w:gridCol w:w="109"/>
        <w:gridCol w:w="226"/>
        <w:gridCol w:w="849"/>
        <w:gridCol w:w="125"/>
        <w:gridCol w:w="109"/>
        <w:gridCol w:w="109"/>
        <w:gridCol w:w="109"/>
        <w:gridCol w:w="207"/>
        <w:gridCol w:w="780"/>
        <w:gridCol w:w="115"/>
        <w:gridCol w:w="109"/>
        <w:gridCol w:w="109"/>
        <w:gridCol w:w="109"/>
        <w:gridCol w:w="198"/>
        <w:gridCol w:w="770"/>
        <w:gridCol w:w="110"/>
        <w:gridCol w:w="109"/>
        <w:gridCol w:w="109"/>
        <w:gridCol w:w="109"/>
        <w:gridCol w:w="196"/>
        <w:gridCol w:w="736"/>
        <w:gridCol w:w="109"/>
        <w:gridCol w:w="162"/>
      </w:tblGrid>
      <w:tr>
        <w:trPr/>
        <w:tc>
          <w:tcPr>
            <w:tcW w:w="8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2022</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(278,753)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employee stock purchase plan</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directors and board advisor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former executive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common stock</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common stock, performance awards, and stock options surrendered for taxes paid</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on common stock ($0.45 per share)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2023</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210,256 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employee stock purchase plan</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directors and board advisor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common stock</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common stock, performance awards, and stock options surrendered for taxes paid</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on common stock ($0.45 per share)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243,825 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employee stock purchase plan</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directors and board advisor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common stock</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common stock, performance awards, and stock options surrendered for taxes paid</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on common stock ($0.45 per share)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2025</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238,539 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(278,753)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is a leading provider of funeral and cemetery services and merchandise in the United States (“U.S.”). Our operations are reported in two business segments: Funeral Home Operations, which currently accounts for approximately 65% of our total revenue and Cemetery Operations, which currently accounts for approximately 35% of our total revenue. At December 31, 2025,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Company and its subsidiaries. All significant intercompany balances and transactions have been eliminated.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consider all highly liquid investments purchased with an original maturity of three months or less to be cash equivalents. We maintain cash and cash equivalents at U.S. financial institutions for which the combined account balances in individual institutions may</w:t>
      </w:r>
      <w:r>
        <w:rPr>
          <w:color w:val="000000"/>
        </w:rPr>
        <w:t xml:space="preserve"> </w:t>
      </w:r>
      <w:r>
        <w:rPr>
          <w:rFonts w:ascii="Times New Roman;serif" w:hAnsi="Times New Roman;serif"/>
          <w:b w:val="false"/>
          <w:color w:val="000000"/>
          <w:sz w:val="20"/>
        </w:rPr>
        <w:t>exceed FDIC insurance coverage and, as a result, there is a concentration of credit risk related to amounts on deposit in excess of FDIC insurance coverage. As of December 31, 2025, approximately $2.6 million of our deposits were not covered by FDIC insurance. We have not experienced any losses and believe we are not exposed to any significant risk with such accounts.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Funeral and Cemetery Receivables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funeral receivables are recorded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 xml:space="preserve">Preneed cemetery receivables with payments expected to be received beyond one year from the balance sheet date are recorded in </w:t>
      </w:r>
      <w:r>
        <w:rPr>
          <w:rFonts w:ascii="Times New Roman;serif" w:hAnsi="Times New Roman;serif"/>
          <w:b w:val="false"/>
          <w:i/>
          <w:color w:val="000000"/>
          <w:sz w:val="20"/>
        </w:rPr>
        <w:t xml:space="preserve">Preneed cemetery receivables, net. </w:t>
      </w:r>
      <w:r>
        <w:rPr>
          <w:rFonts w:ascii="Times New Roman;serif" w:hAnsi="Times New Roman;serif"/>
          <w:b w:val="false"/>
          <w:color w:val="000000"/>
          <w:sz w:val="20"/>
        </w:rPr>
        <w:t xml:space="preserve">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serif" w:hAnsi="Times New Roman;serif"/>
          <w:b w:val="false"/>
          <w:i/>
          <w:color w:val="000000"/>
          <w:sz w:val="20"/>
        </w:rPr>
        <w:t>Other revenue</w:t>
      </w:r>
      <w:r>
        <w:rPr>
          <w:rFonts w:ascii="Times New Roman;serif" w:hAnsi="Times New Roman;serif"/>
          <w:b w:val="false"/>
          <w:color w:val="000000"/>
          <w:sz w:val="20"/>
        </w:rPr>
        <w:t>. In substantially all cases, we receive an initial down payment at the time the contract is signed.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funeral and atneed cemetery receivables, we have a collections policy where statements are sent to the customer at 30 days past due. Past due notification letters are sent at 45 days and continue until payment is received or the contract is placed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a third-party collections agency. For our preneed cemetery receivables, we have a collections policy where past due notification letters are sent to the customer beginning at 15 days past due and periodically thereafter until payment is received or the contract is cancelled.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6 to the Consolidated Financial Statements for additional information related to our funeral and cemetery receivables.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3 to the Consolidated Financial Statements for additional information related to acquisitions.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Divested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Prior to divesting a funeral home or cemetery, we first determine whether the sale of the net assets and activities (together referred to as a “set”) qualifies as a business. First, we perform a screen test to determine if the set is not a business. The principle factor in the screen test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consider the accounting treatment of goodwill for that set (see discussion of Goodwill below). Goodwill is only allocated to the sale if the set is considered to be a business.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4 and 5 to the Consolidated Financial Statements for additional information related to divestitures.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excess of the purchase price over the fair value of identifiable net assets of funeral home businesses and cemeteries we acquire is recorded as goodwill. Goodwill has an indefinite life and is not subject to amortization. As such, we test goodwill for impairment on an annual basis as of August 31</w:t>
      </w:r>
      <w:r>
        <w:rPr>
          <w:rFonts w:ascii="Times New Roman;serif" w:hAnsi="Times New Roman;serif"/>
          <w:b w:val="false"/>
          <w:color w:val="000000"/>
          <w:sz w:val="13"/>
        </w:rPr>
        <w:t xml:space="preserve">st </w:t>
      </w:r>
      <w:r>
        <w:rPr>
          <w:rFonts w:ascii="Times New Roman;serif" w:hAnsi="Times New Roman;serif"/>
          <w:b w:val="false"/>
          <w:color w:val="000000"/>
          <w:sz w:val="20"/>
        </w:rPr>
        <w:t xml:space="preserve">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most recent annual goodwill impairment test as of August 31, 2025. We intend to perform a quantitative impairment test at least once every three years and perform a qualitative assessment during the remaining two years. We conducted qualitative assessments in 2023 and 2024; however, we performed a quantitative assessment in 2025. No goodwill impairment was recorded as a result of our assessments. In addition to our annual test, we assess the impairment of goodwill whenever events or changes in circumstances indicate that the carrying value of a reporting unit may be greater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an income approach, weighted 80%, and two market approaches, weighted 10% each.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first methodology for determining a market approach fair value utilizes the guideline public company method, in which we rely on market multiples of comparable companies operating in the same industry as the individual reporting units. Our second market approach methodology utilizes the guideline transaction method, in which transaction multiples are derived from acquisitions of controlling interests in companies engaged in the same or similar lines of business as the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we divest a portion of a reporting unit that constitutes a business in accordance with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and 2024, after each divestiture, we concluded that it was more-likely-than not that the fair value of our reporting units was greater than their carrying value and thus there was no impairment to goodwill.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Notes 4 and 5 to the Consolidated Financial Statements for additional information related to goodwill.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intangible assets include tradenames resulting from acquisitions and are included in </w:t>
      </w:r>
      <w:r>
        <w:rPr>
          <w:rFonts w:ascii="Times New Roman;serif" w:hAnsi="Times New Roman;serif"/>
          <w:b w:val="false"/>
          <w:i/>
          <w:color w:val="000000"/>
          <w:sz w:val="20"/>
        </w:rPr>
        <w:t>Intangible and other non-current assets, net</w:t>
      </w:r>
      <w:r>
        <w:rPr>
          <w:color w:val="000000"/>
        </w:rPr>
        <w:t xml:space="preserve"> </w:t>
      </w:r>
      <w:r>
        <w:rPr>
          <w:rFonts w:ascii="Times New Roman;serif" w:hAnsi="Times New Roman;serif"/>
          <w:b w:val="false"/>
          <w:color w:val="000000"/>
          <w:sz w:val="20"/>
        </w:rPr>
        <w:t>on our Consolidated Balance Sheets. Our tradenames are considered to have an indefinite life and are not subject to amortization. As such, we test our intangible assets for impairment on an annual basis as of August 31</w:t>
      </w:r>
      <w:r>
        <w:rPr>
          <w:rFonts w:ascii="Times New Roman;serif" w:hAnsi="Times New Roman;serif"/>
          <w:b w:val="false"/>
          <w:color w:val="000000"/>
          <w:sz w:val="13"/>
        </w:rPr>
        <w:t xml:space="preserve">st </w:t>
      </w:r>
      <w:r>
        <w:rPr>
          <w:rFonts w:ascii="Times New Roman;serif" w:hAnsi="Times New Roman;serif"/>
          <w:b w:val="false"/>
          <w:color w:val="000000"/>
          <w:sz w:val="20"/>
        </w:rPr>
        <w:t xml:space="preserve">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most recent annual intangible assets impairment test as of August 31, 2025. We intend to perform a quantitative impairment test at least once every three years and perform a qualitative assessment during the remaining two years. We conducted qualitative assessments in 2023 and 2024; however, we performed a quantitative assessment in 2025.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2025 quantitative assessment did not indicate any impairment to intangible assets as a result of our testing. As a result of our 2024 qualitative assessment, we determined that there were factors that would indicate the need to perform additional quantitative impairment tests for certain funeral home businesses. As a result of these additional quantitative impairment tests, we recorded an impairment to the tradenames for certain funeral home businesses of $0.6 million, during the year ended December 31, 2024, as the carrying amount of these tradenames exceeded their fair value.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11 to the Consolidated Financial Statements for additional information related to intangible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Preneed and Perpetual Care Trust Funds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trust fund assets are reflected in our financial statements as </w:t>
      </w:r>
      <w:r>
        <w:rPr>
          <w:rFonts w:ascii="Times New Roman;serif" w:hAnsi="Times New Roman;serif"/>
          <w:b w:val="false"/>
          <w:i/>
          <w:color w:val="000000"/>
          <w:sz w:val="20"/>
        </w:rPr>
        <w:t>Preneed cemetery trust investments, Preneed funeral trust investments,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Cemetery perpetual care trust investments. </w:t>
      </w:r>
      <w:r>
        <w:rPr>
          <w:rFonts w:ascii="Times New Roman;serif" w:hAnsi="Times New Roman;serif"/>
          <w:b w:val="false"/>
          <w:color w:val="000000"/>
          <w:sz w:val="20"/>
        </w:rPr>
        <w:t xml:space="preserve">We have recognized financial interests of third parties in the trust funds in our financial statements as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Fixed income securities are classified as trading securities and accounted for at fair value. Equity securities with readily determinable market values are accounted for at fair value. The fair value of our trust fund assets is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mirrors the fair value of the financial assets.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preneed funeral and preneed cemetery merchandise and service trusts, as well as the corresponding trust liabilities, are reflected in our financial statements net of an allowance for contract cancellations. We determine this allowance based on our five-year historical experience of contract cancellations. On an ongoing basis, we monitor our historical trend and adjust our allowance accordingly.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8 and 9 to the Consolidated Financial Statements for additional information related to preneed and perpetual care trust funds.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preneed funeral trust fund assets in trusts that are controlled and operated by third parties in which we do not have a controlling financial interest (less than 50%) in the trust assets. We account for these receivables at cost, reflected in our financial statements as </w:t>
      </w:r>
      <w:r>
        <w:rPr>
          <w:rFonts w:ascii="Times New Roman;serif" w:hAnsi="Times New Roman;serif"/>
          <w:b w:val="false"/>
          <w:i/>
          <w:color w:val="000000"/>
          <w:sz w:val="20"/>
        </w:rPr>
        <w:t xml:space="preserve">Receivables from preneed funeral trusts, net, </w:t>
      </w:r>
      <w:r>
        <w:rPr>
          <w:rFonts w:ascii="Times New Roman;serif" w:hAnsi="Times New Roman;serif"/>
          <w:b w:val="false"/>
          <w:color w:val="000000"/>
          <w:sz w:val="20"/>
        </w:rPr>
        <w:t xml:space="preserve">with a corresponding amount recognized as </w:t>
      </w:r>
      <w:r>
        <w:rPr>
          <w:rFonts w:ascii="Times New Roman;serif" w:hAnsi="Times New Roman;serif"/>
          <w:b w:val="false"/>
          <w:i/>
          <w:color w:val="000000"/>
          <w:sz w:val="20"/>
        </w:rPr>
        <w:t>Deferred preneed funeral revenue</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Under certain state regulations, we are allowed to retain certain amounts not required to be deposited to a trust or used to purchase a third-party insurance policy. These amounts we retain represent future revenue that are not held in trust accounts and are recorded in </w:t>
      </w:r>
      <w:r>
        <w:rPr>
          <w:rFonts w:ascii="Times New Roman;serif" w:hAnsi="Times New Roman;serif"/>
          <w:b w:val="false"/>
          <w:i/>
          <w:color w:val="000000"/>
          <w:sz w:val="20"/>
        </w:rPr>
        <w:t xml:space="preserve">Deferred preneed funeral and cemetery revenue. </w:t>
      </w:r>
      <w:r>
        <w:rPr>
          <w:rFonts w:ascii="Times New Roman;serif" w:hAnsi="Times New Roman;serif"/>
          <w:b w:val="false"/>
          <w:color w:val="000000"/>
          <w:sz w:val="20"/>
        </w:rPr>
        <w:t xml:space="preserve">Future revenue that are held in trust accounts are included in </w:t>
      </w:r>
      <w:r>
        <w:rPr>
          <w:rFonts w:ascii="Times New Roman;serif" w:hAnsi="Times New Roman;serif"/>
          <w:b w:val="false"/>
          <w:i/>
          <w:color w:val="000000"/>
          <w:sz w:val="20"/>
        </w:rPr>
        <w:t xml:space="preserve">Deferred preneed funeral and cemetery receipts held in trust </w:t>
      </w:r>
      <w:r>
        <w:rPr>
          <w:rFonts w:ascii="Times New Roman;serif" w:hAnsi="Times New Roman;serif"/>
          <w:b w:val="false"/>
          <w:color w:val="000000"/>
          <w:sz w:val="20"/>
        </w:rPr>
        <w:t>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2023, we withdrew $8.6 million of realized capital gains and earnings from our preneed funeral and cemetery trust investments. We did not withdraw any realized capital gains and earnings from our preneed trust investments during the year ended December 31, 2025 and 2024.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erif" w:hAnsi="Times New Roman;serif"/>
          <w:b w:val="false"/>
          <w:i/>
          <w:color w:val="000000"/>
          <w:sz w:val="20"/>
        </w:rPr>
        <w:t xml:space="preserve">Preneed funeral trust investments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Preneed cemetery trust investments </w:t>
      </w:r>
      <w:r>
        <w:rPr>
          <w:rFonts w:ascii="Times New Roman;serif" w:hAnsi="Times New Roman;serif"/>
          <w:b w:val="false"/>
          <w:color w:val="000000"/>
          <w:sz w:val="20"/>
        </w:rPr>
        <w:t xml:space="preserve">and increase our </w:t>
      </w:r>
      <w:r>
        <w:rPr>
          <w:rFonts w:ascii="Times New Roman;serif" w:hAnsi="Times New Roman;serif"/>
          <w:b w:val="false"/>
          <w:i/>
          <w:color w:val="000000"/>
          <w:sz w:val="20"/>
        </w:rPr>
        <w:t xml:space="preserve">Deferred preneed funeral revenue </w:t>
      </w:r>
      <w:r>
        <w:rPr>
          <w:rFonts w:ascii="Times New Roman;serif" w:hAnsi="Times New Roman;serif"/>
          <w:b w:val="false"/>
          <w:color w:val="000000"/>
          <w:sz w:val="20"/>
        </w:rPr>
        <w:t xml:space="preserve">and </w:t>
      </w:r>
      <w:r>
        <w:rPr>
          <w:rFonts w:ascii="Times New Roman;serif" w:hAnsi="Times New Roman;serif"/>
          <w:b w:val="false"/>
          <w:i/>
          <w:color w:val="000000"/>
          <w:sz w:val="20"/>
        </w:rPr>
        <w:t>Deferred preneed cemetery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(disposal groups) to be sold as held for sale (“HFS”)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and other actions required to complete the plan to sell the disposal group have been initiated; (4)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initially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the date of sale. The Company assesses the fair value of a disposal group, less any costs to sell, each reporting period it remains classified as held for sale and reports any subsequent changes as an adjustment to the carrying value of the disposal group, as long as the new carrying value does not exceed the carrying value of the disposal group at the time it was initially classified as held for sale. Additionally, depreciation is not recorded during the period in which the long-lived assets, included in the disposal group, are classified as 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determining that a disposal group meets the criteria to be classified as held for sale, the Company reports the assets and liabilities of the disposal group, if material, in the line items current and non-current assets held for sale and current and long-term liabilities held for sale in the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20 to the Consolidated Financial Statements for additional information related to assets and liabilities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Notes 7 and 8 to the Consolidated Financial Statements for additional required disclosures related to the fair value measurement of our financial assets and liabilities.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Capitalized Commissions on Preneed Contracts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capitalize sales commissions and other direct selling costs related to preneed cemetery merchandise and services and preneed funeral trust contracts as these costs are incremental and recoverable costs of obtaining a contract with a customer.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commissions on preneed contracts are amortized on a straight-line basis over the average maturity period of ten years for our preneed funeral trust contracts and eight years for our preneed cemetery merchandise and services contracts.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funded contracts continue to be expensed in the period incurred as these contracts are not included on our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11 to the Consolidated Financial Statements for additional information related to capitalized commissions on preneed contracts.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Internally Developed Software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capitalize costs incurred during the “application development stage” of an internally developed software project, meaning only costs directly related to designing, coding, and testing the software are capitalized, while preliminary project costs and post-implementation activities are expensed, and the capitalized software is then amortized over its estimated useful life, typically ranging from two to five years.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11 to the Consolidated Financial Statements for additional information related to internally developed software.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Property, plant, and equipment are stated at cost. The costs of ordinary maintenance and repairs are charged to operations as incurred, while renewals and major replacements that extend the useful economic life of the asset are capitalized. Depreciation of property, plant, and equipment is computed based on the straight-line method over the following estimated useful lives of the assets:</w:t>
      </w:r>
      <w:r>
        <w:rPr>
          <w:color w:val="000000"/>
        </w:rPr>
        <w:t> </w:t>
      </w:r>
    </w:p>
    <w:tbl>
      <w:tblPr>
        <w:tblW w:w="3300" w:type="dxa"/>
        <w:jc w:val="left"/>
        <w:tblInd w:w="0" w:type="dxa"/>
        <w:tblLayout w:type="fixed"/>
        <w:tblCellMar>
          <w:top w:w="28" w:type="dxa"/>
          <w:left w:w="28" w:type="dxa"/>
          <w:bottom w:w="28" w:type="dxa"/>
          <w:right w:w="28" w:type="dxa"/>
        </w:tblCellMar>
      </w:tblPr>
      <w:tblGrid>
        <w:gridCol w:w="896"/>
        <w:gridCol w:w="787"/>
        <w:gridCol w:w="791"/>
        <w:gridCol w:w="241"/>
        <w:gridCol w:w="241"/>
        <w:gridCol w:w="34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to 40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10</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15</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7</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plant, and equipment and right-of-use assets (see discussion of Leases below) are reported at the lower of their carrying amount or fair value and are reviewed for impairment whenever events, such as significant negative industry or economic trends or changes in circumstances indicate that the carrying amount of an asset may not be recoverable. Factors that could trigger an impairment review include, but are not limited to, significant under-performance relative to historical or projected future operating results. We test the recoverability of our long-lived assets by comparing their carrying value to the sum of the undiscounted cash flows expected to result from the use of the assets over their remaining useful lives. We recognize an impairment loss if the carrying amount of the long-lived asset is not recoverable and exceeds its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assets to be disposed of and assets not expected to provide any future service potential are recorded at the lower of their carrying amount or fair value less estimated costs to sell. If we determine that the carrying value is not recoverable from the proceeds of the sale, we record an impairment loss at that time.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20 to the Consolidated Financial Statements for additional information related to property, plant,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Cemetery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third-party appraisers. Through this thorough internal process, we are able to identify viable costs of property based on historical experience, particular markets and demographics, reasonable margins, practical retail prices and park infrastructure and condition.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cemetery property is sold, the value of the cemetery property (interment right costs) is expensed as amortization using the specific identification method in the period in which the sale of the interment right is recognized as revenue.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20 to the Consolidated Financial Statements for additional information related to cemetery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We lease certain funeral homes, vehicles, and equipment under finance leases with original terms ranging from three and a half to forty years. We do not have any material lease agreements with residual value guarantees, sale-leaseback terms, material restrictive covenants, related parties or sublease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Sheets at the lease commencement date based on the present value of lease payments over the lease term. For our leases that do not provide an implicit interest rate in the agreement, we use our incremental borrowing rate based on the information available at the commencement date to determine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Sheets and expense is recognized on a straight-line basis over the lease term.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Operating lease ROU assets are included in </w:t>
      </w:r>
      <w:r>
        <w:rPr>
          <w:rFonts w:ascii="Times New Roman;serif" w:hAnsi="Times New Roman;serif"/>
          <w:b w:val="false"/>
          <w:i/>
          <w:color w:val="000000"/>
          <w:sz w:val="20"/>
        </w:rPr>
        <w:t>Operating lease right-of-use assets</w:t>
      </w:r>
      <w:r>
        <w:rPr>
          <w:color w:val="000000"/>
        </w:rPr>
        <w:t xml:space="preserve"> </w:t>
      </w:r>
      <w:r>
        <w:rPr>
          <w:rFonts w:ascii="Times New Roman;serif" w:hAnsi="Times New Roman;serif"/>
          <w:b w:val="false"/>
          <w:color w:val="000000"/>
          <w:sz w:val="20"/>
        </w:rPr>
        <w:t xml:space="preserve">and operating lease liabilities are included in </w:t>
      </w:r>
      <w:r>
        <w:rPr>
          <w:rFonts w:ascii="Times New Roman;serif" w:hAnsi="Times New Roman;serif"/>
          <w:b w:val="false"/>
          <w:i/>
          <w:color w:val="000000"/>
          <w:sz w:val="20"/>
        </w:rPr>
        <w:t>Current portion of operating lease obligation</w:t>
      </w:r>
      <w:r>
        <w:rPr>
          <w:rFonts w:ascii="Times New Roman;serif" w:hAnsi="Times New Roman;serif"/>
          <w:b w:val="false"/>
          <w:color w:val="000000"/>
          <w:sz w:val="20"/>
        </w:rPr>
        <w:t xml:space="preserve">s and </w:t>
      </w:r>
      <w:r>
        <w:rPr>
          <w:rFonts w:ascii="Times New Roman;serif" w:hAnsi="Times New Roman;serif"/>
          <w:b w:val="false"/>
          <w:i/>
          <w:color w:val="000000"/>
          <w:sz w:val="20"/>
        </w:rPr>
        <w:t>Obligations under operating leases, net of current portion</w:t>
      </w:r>
      <w:r>
        <w:rPr>
          <w:color w:val="000000"/>
        </w:rPr>
        <w:t xml:space="preserve"> </w:t>
      </w:r>
      <w:r>
        <w:rPr>
          <w:rFonts w:ascii="Times New Roman;serif" w:hAnsi="Times New Roman;serif"/>
          <w:b w:val="false"/>
          <w:color w:val="000000"/>
          <w:sz w:val="20"/>
        </w:rPr>
        <w:t xml:space="preserve">on our Consolidated Balance Sheets. Finance lease ROU assets are included in </w:t>
      </w:r>
      <w:r>
        <w:rPr>
          <w:rFonts w:ascii="Times New Roman;serif" w:hAnsi="Times New Roman;serif"/>
          <w:b w:val="false"/>
          <w:i/>
          <w:color w:val="000000"/>
          <w:sz w:val="20"/>
        </w:rPr>
        <w:t>Property, plant, and equipment, net</w:t>
      </w:r>
      <w:r>
        <w:rPr>
          <w:color w:val="000000"/>
        </w:rPr>
        <w:t xml:space="preserve"> </w:t>
      </w:r>
      <w:r>
        <w:rPr>
          <w:rFonts w:ascii="Times New Roman;serif" w:hAnsi="Times New Roman;serif"/>
          <w:b w:val="false"/>
          <w:color w:val="000000"/>
          <w:sz w:val="20"/>
        </w:rPr>
        <w:t xml:space="preserve">and finance lease liabilities are included in </w:t>
      </w:r>
      <w:r>
        <w:rPr>
          <w:rFonts w:ascii="Times New Roman;serif" w:hAnsi="Times New Roman;serif"/>
          <w:b w:val="false"/>
          <w:i/>
          <w:color w:val="000000"/>
          <w:sz w:val="20"/>
        </w:rPr>
        <w:t>Current portion of finance lease obligations</w:t>
      </w:r>
      <w:r>
        <w:rPr>
          <w:color w:val="000000"/>
        </w:rPr>
        <w:t xml:space="preserve"> </w:t>
      </w:r>
      <w:r>
        <w:rPr>
          <w:rFonts w:ascii="Times New Roman;serif" w:hAnsi="Times New Roman;serif"/>
          <w:b w:val="false"/>
          <w:color w:val="000000"/>
          <w:sz w:val="20"/>
        </w:rPr>
        <w:t>and O</w:t>
      </w:r>
      <w:r>
        <w:rPr>
          <w:rFonts w:ascii="Times New Roman;serif" w:hAnsi="Times New Roman;serif"/>
          <w:b w:val="false"/>
          <w:i/>
          <w:color w:val="000000"/>
          <w:sz w:val="20"/>
        </w:rPr>
        <w:t>bligations under finance leases, net of current portion</w:t>
      </w:r>
      <w:r>
        <w:rPr>
          <w:color w:val="000000"/>
        </w:rPr>
        <w:t xml:space="preserve"> </w:t>
      </w:r>
      <w:r>
        <w:rPr>
          <w:rFonts w:ascii="Times New Roman;serif" w:hAnsi="Times New Roman;serif"/>
          <w:b w:val="false"/>
          <w:color w:val="000000"/>
          <w:sz w:val="20"/>
        </w:rPr>
        <w:t xml:space="preserve">on our Consolidated Balance Sheets.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14 to the Consolidated Financial Statements for additional information related to leases.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Plans and Stock-Based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The excess tax benefit related to share-based payments was $2.8 million for the year ended December 31, 2025. The excess tax deficiency related to share-based payments was $0.8 million for the year ended December 31, 2024. We had immaterial amounts of excess tax deficiency for the year ended December 31, 2023. Excess tax benefits and deficiencies are recorded within </w:t>
      </w:r>
      <w:r>
        <w:rPr>
          <w:rFonts w:ascii="Times New Roman;serif" w:hAnsi="Times New Roman;serif"/>
          <w:b w:val="false"/>
          <w:i/>
          <w:color w:val="000000"/>
          <w:sz w:val="20"/>
        </w:rPr>
        <w:t xml:space="preserve">Expense (benefit) related to discrete income tax items </w:t>
      </w:r>
      <w:r>
        <w:rPr>
          <w:rFonts w:ascii="Times New Roman;serif" w:hAnsi="Times New Roman;serif"/>
          <w:b w:val="false"/>
          <w:color w:val="000000"/>
          <w:sz w:val="20"/>
        </w:rPr>
        <w:t>on our Consolidated Statements of Operations and are included in operating cash flows on the Consolidated Statements of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17 to the Consolidated Financial Statements for additional information related to equity plans and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We recognize revenue when the merchandise is transferred or the service is performed, in satisfaction of the corresponding performance obligation. Sales taxes collected are recognized on a net basis in our Consolidated Financial Statements.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Ancillary funeral service revenue, which is recorded in </w:t>
      </w: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represents revenue from our flower shop, pet cremation business, and online cremation businesses. Revenue is recognized when control of the merchandise or services is transferred to the customer and are primarily sold on an atneed basis.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earnings from our preneed trust investments, as well as trust management fees charged by our wholly owned registered investment advisory firm CSV RIA are recorded in </w:t>
      </w:r>
      <w:r>
        <w:rPr>
          <w:rFonts w:ascii="Times New Roman;serif" w:hAnsi="Times New Roman;serif"/>
          <w:b w:val="false"/>
          <w:i/>
          <w:color w:val="000000"/>
          <w:sz w:val="20"/>
        </w:rPr>
        <w:t>Other revenue</w:t>
      </w:r>
      <w:r>
        <w:rPr>
          <w:rFonts w:ascii="Times New Roman;serif" w:hAnsi="Times New Roman;serif"/>
          <w:b w:val="false"/>
          <w:color w:val="000000"/>
          <w:sz w:val="20"/>
        </w:rPr>
        <w:t xml:space="preserve">. At December 31, 2025,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Balances due on undelivered preneed funeral trust contracts have reduced </w:t>
      </w:r>
      <w:r>
        <w:rPr>
          <w:rFonts w:ascii="Times New Roman;serif" w:hAnsi="Times New Roman;serif"/>
          <w:b w:val="false"/>
          <w:i/>
          <w:color w:val="000000"/>
          <w:sz w:val="20"/>
        </w:rPr>
        <w:t>Deferred preneed funeral revenue</w:t>
      </w:r>
      <w:r>
        <w:rPr>
          <w:color w:val="000000"/>
        </w:rPr>
        <w:t xml:space="preserve"> </w:t>
      </w:r>
      <w:r>
        <w:rPr>
          <w:rFonts w:ascii="Times New Roman;serif" w:hAnsi="Times New Roman;serif"/>
          <w:b w:val="false"/>
          <w:color w:val="000000"/>
          <w:sz w:val="20"/>
        </w:rPr>
        <w:t xml:space="preserve">by $11.3 million and $10.2 million at December 31, 2025 and 2024, respectively. As these performance obligations are to be completed after the date of death, we cannot quantify the recognition of revenue in future periods. However, we estimate an average maturity period of 10 years for preneed funeral contracts.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Balances due from customers on delivered preneed cemetery contracts are included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 xml:space="preserve">on our Consolidated Balance Sheets. Balances due on undelivered preneed cemetery contracts have reduced </w:t>
      </w:r>
      <w:r>
        <w:rPr>
          <w:rFonts w:ascii="Times New Roman;serif" w:hAnsi="Times New Roman;serif"/>
          <w:b w:val="false"/>
          <w:i/>
          <w:color w:val="000000"/>
          <w:sz w:val="20"/>
        </w:rPr>
        <w:t>Deferred preneed cemetery revenue</w:t>
      </w:r>
      <w:r>
        <w:rPr>
          <w:color w:val="000000"/>
        </w:rPr>
        <w:t xml:space="preserve"> </w:t>
      </w:r>
      <w:r>
        <w:rPr>
          <w:rFonts w:ascii="Times New Roman;serif" w:hAnsi="Times New Roman;serif"/>
          <w:b w:val="false"/>
          <w:color w:val="000000"/>
          <w:sz w:val="20"/>
        </w:rPr>
        <w:t>on our Consolidated Balance Sheets by $16.6 million and $13.6 million at December 31, 2025 and 2024, respectively. As these performance obligations are to be completed after the date of death, we cannot quantify the recognition of revenue in future periods. However, we estimate an average maturity period of eight years for preneed cemetery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19 to the Consolidated Financial Statements for additional information related to the disaggregation of revenue by segment..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subsidiaries file a consolidated U. S. federal income tax return, separate income tax returns in 14 states in which we operate and combined or unitary income tax returns in 10 states in which we operate. We record deferred taxes for temporary differences between the tax basis and financial reporting basis of assets and liabilities. We classify our deferred tax liabilities and assets as non-current on our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 valuation allowance to reflect the estimated amount of deferred tax assets for which realization is uncertain. Management reviews the valuation allowance at the end of each quarter and makes adjustments if it is determined that it is more-likely-than not that the tax benefits will be realized.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Sheets. Accrued interest and penalties related to uncertain tax positions is included in</w:t>
      </w:r>
      <w:r>
        <w:rPr>
          <w:color w:val="000000"/>
        </w:rPr>
        <w:t xml:space="preserve"> </w:t>
      </w:r>
      <w:r>
        <w:rPr>
          <w:rFonts w:ascii="Times New Roman;serif" w:hAnsi="Times New Roman;serif"/>
          <w:b w:val="false"/>
          <w:i/>
          <w:color w:val="000000"/>
          <w:sz w:val="20"/>
        </w:rPr>
        <w:t>(Benefit) expense related to discrete income tax items</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16 to the Consolidated Financial Statements for additional information related to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Computation of Earnings Per Common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performance awards.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18 to the Consolidated Financial Statements for additional information related to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December 2023, the FASB issued ASU, </w:t>
      </w:r>
      <w:r>
        <w:rPr>
          <w:rFonts w:ascii="Times New Roman;serif" w:hAnsi="Times New Roman;serif"/>
          <w:b w:val="false"/>
          <w:i/>
          <w:color w:val="000000"/>
          <w:sz w:val="20"/>
        </w:rPr>
        <w:t>Income Taxes - Improvements to Income Tax Disclosures</w:t>
      </w:r>
      <w:r>
        <w:rPr>
          <w:color w:val="000000"/>
        </w:rPr>
        <w:t xml:space="preserve"> </w:t>
      </w:r>
      <w:r>
        <w:rPr>
          <w:rFonts w:ascii="Times New Roman;serif" w:hAnsi="Times New Roman;serif"/>
          <w:b w:val="false"/>
          <w:color w:val="000000"/>
          <w:sz w:val="20"/>
        </w:rPr>
        <w:t>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and therefore were effective for us for our fiscal year beginning January 1, 2025, and for interim periods within our fiscal year beginning January 1, 2026. The adoption has no material impact on our consolidated financial statements as it modified disclosure requirements only. See Note 16 to the Consolidated Financial Statements for additional information related to income taxes.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expect the adoption will have no material impact on our consolidated financial statements as it modifies disclosure requirements only.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Under the new guidance, costs associated with software developed for internal use will now be capitalized when management authorizes a project and when it is probable the project will be completed and used to perform the function intended, rather than when a project reaches the application development stage under existing guidance. The guidance is effective beginning January 1, 2028, with early adoption permitted, and can be applied prospectively, retrospectively, or on a modified retrospective basis. We have not determined the transition method, timing for adoption, or estimated the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9, 2025, we acquired a business consisting of six funeral homes, one cemetery, and one cremation focused business in the Orlando, FL area for approximately $49.0 million. The purchase price consisted of $47.0 million in cash at closing and $2.0 million of deferred purchase price payments. The net present value of such future deferred purchase price payments was $1.3 million. We acquired substantially all of the assets and assumed certain operating liabilities of these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17, 2025, we acquired a business consisting of two funeral homes in the Pensacola, FL area for $9.5 million in cash.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acquisitions that contributed to the recognition of goodwill include enhancement of our footprint in strategic markets and the addition of deferred revenue that will enhance our long-term stability.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Consolidated Statements of Operations from the date of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businesses described above (in thousands):</w:t>
      </w:r>
    </w:p>
    <w:tbl>
      <w:tblPr>
        <w:tblW w:w="7373"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669"/>
        <w:gridCol w:w="2290"/>
        <w:gridCol w:w="49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allocation was updated for immaterial measurement-period adjustments; no other material changes to the acquisition accounting were identified. The purchase accounting is preliminary as we have not finalized our assessment of the fair value because there has been insufficient time between the acquisition date and the issuance of these financial statements to complete our review and the final determination of fair value. We are also currently reviewing the allocation of goodwill between segments.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acquire any businesses during the year ended December 31, 2024. On March 22, 2023, we acquired a business consisting of three funeral homes, two cemeteries and one cremation focused business in the Bakersfield, CA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purchase price allocation for our Bakersfield, CA business acquisition (in thousands):</w:t>
      </w:r>
    </w:p>
    <w:tbl>
      <w:tblPr>
        <w:tblW w:w="10205" w:type="dxa"/>
        <w:jc w:val="left"/>
        <w:tblInd w:w="0" w:type="dxa"/>
        <w:tblLayout w:type="fixed"/>
        <w:tblCellMar>
          <w:top w:w="28" w:type="dxa"/>
          <w:left w:w="28" w:type="dxa"/>
          <w:bottom w:w="28" w:type="dxa"/>
          <w:right w:w="28" w:type="dxa"/>
        </w:tblCellMar>
      </w:tblPr>
      <w:tblGrid>
        <w:gridCol w:w="1097"/>
        <w:gridCol w:w="943"/>
        <w:gridCol w:w="927"/>
        <w:gridCol w:w="528"/>
        <w:gridCol w:w="1807"/>
        <w:gridCol w:w="272"/>
        <w:gridCol w:w="109"/>
        <w:gridCol w:w="109"/>
        <w:gridCol w:w="109"/>
        <w:gridCol w:w="306"/>
        <w:gridCol w:w="676"/>
        <w:gridCol w:w="159"/>
        <w:gridCol w:w="109"/>
        <w:gridCol w:w="109"/>
        <w:gridCol w:w="109"/>
        <w:gridCol w:w="550"/>
        <w:gridCol w:w="1881"/>
        <w:gridCol w:w="405"/>
      </w:tblGrid>
      <w:tr>
        <w:trPr/>
        <w:tc>
          <w:tcPr>
            <w:tcW w:w="109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Purchase Price Allocation</w:t>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&amp; equipment</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liabilities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December 31, 2023, our accounting for this acquisition is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former owners and staff of our acquired funeral home and cemetery businesses have provided high quality service to families for generations, which often represents a substantial portion of the value of a business. The excess of the purchase price over the fair value of identifiable net assets of acquired funeral home and cemetery businesses is recorded as goodwill.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changes in goodwill in the accompanying Consolidated Balance Sheets (in thousands):</w:t>
      </w:r>
      <w:r>
        <w:rPr>
          <w:color w:val="000000"/>
        </w:rPr>
        <w:t> </w:t>
      </w:r>
    </w:p>
    <w:tbl>
      <w:tblPr>
        <w:tblW w:w="7201" w:type="dxa"/>
        <w:jc w:val="left"/>
        <w:tblInd w:w="0" w:type="dxa"/>
        <w:tblLayout w:type="fixed"/>
        <w:tblCellMar>
          <w:top w:w="28" w:type="dxa"/>
          <w:left w:w="28" w:type="dxa"/>
          <w:bottom w:w="28" w:type="dxa"/>
          <w:right w:w="28" w:type="dxa"/>
        </w:tblCellMar>
      </w:tblPr>
      <w:tblGrid>
        <w:gridCol w:w="1314"/>
        <w:gridCol w:w="1156"/>
        <w:gridCol w:w="1160"/>
        <w:gridCol w:w="284"/>
        <w:gridCol w:w="1114"/>
        <w:gridCol w:w="147"/>
        <w:gridCol w:w="109"/>
        <w:gridCol w:w="109"/>
        <w:gridCol w:w="109"/>
        <w:gridCol w:w="284"/>
        <w:gridCol w:w="1114"/>
        <w:gridCol w:w="147"/>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beginning of the year</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end of the year</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we allocated $24.7 million of goodwill to the sale of thirteen funeral homes and four cemeteries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Operations, of which $23.0 million was allocated to our funeral home segment and $1.7 million was allocated to our cemetery segment.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we allocated $8.8 million of goodwill to the sale of six funeral homes and one cemetery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 xml:space="preserve">on our Consolidated Statements of Operations, of which $7.8 million was allocated to our funeral homes segment and $1.0 million was allocated to our cemetery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2025 and 2024 annual qualitative impairment assessments, we determined that there were no factors that would indicate the need to perform an additional quantitative goodwill impairment test. We concluded that it is more-likely-than-not that the fair value of our reporting units is greater than their carrying value and thus there was no impairment to goodwill.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Notes 1, 3, and 5 to the Consolidated Financial Statements for a discussion of the methodology used for our annual goodwill impairment test and a discussion of our acquisitions and divestitures.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5. DIVESTED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thirteen funeral homes and four cemeteries for an aggregate of $40.4 million and merged two funeral homes with other businesses we own in existing markets. During the year ended December 31, 2024, we sold six funeral homes and one cemetery for an aggregate of $10.9 million and merged three funeral homes with other business we own in existing markets. During the year ended December 31, 2023, we sold two funeral homes and two cemeteries for an aggregate of $1.1 million and merged one funeral home with another business we own in a nearby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7851" w:type="dxa"/>
        <w:jc w:val="left"/>
        <w:tblInd w:w="0" w:type="dxa"/>
        <w:tblLayout w:type="fixed"/>
        <w:tblCellMar>
          <w:top w:w="28" w:type="dxa"/>
          <w:left w:w="28" w:type="dxa"/>
          <w:bottom w:w="28" w:type="dxa"/>
          <w:right w:w="28" w:type="dxa"/>
        </w:tblCellMar>
      </w:tblPr>
      <w:tblGrid>
        <w:gridCol w:w="1381"/>
        <w:gridCol w:w="1211"/>
        <w:gridCol w:w="1218"/>
        <w:gridCol w:w="109"/>
        <w:gridCol w:w="109"/>
        <w:gridCol w:w="139"/>
        <w:gridCol w:w="139"/>
        <w:gridCol w:w="139"/>
        <w:gridCol w:w="139"/>
        <w:gridCol w:w="269"/>
        <w:gridCol w:w="285"/>
        <w:gridCol w:w="286"/>
        <w:gridCol w:w="139"/>
        <w:gridCol w:w="139"/>
        <w:gridCol w:w="139"/>
        <w:gridCol w:w="269"/>
        <w:gridCol w:w="284"/>
        <w:gridCol w:w="287"/>
        <w:gridCol w:w="109"/>
        <w:gridCol w:w="109"/>
        <w:gridCol w:w="109"/>
        <w:gridCol w:w="227"/>
        <w:gridCol w:w="252"/>
        <w:gridCol w:w="36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70"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disposals of 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ending December 31, 2025, 2024 and 2023, after each divestiture, we concluded that it was more-likely-than not that the fair value of our reporting units was greater than their carrying value and thus there was no impairment to goodwill.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 to the Consolidated Financial Statements for a discussion of the methodology used for assessing goodwill impairment after a divestiture of a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RECEIVABLES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 (in thousands):</w:t>
      </w:r>
    </w:p>
    <w:tbl>
      <w:tblPr>
        <w:tblW w:w="9040"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318"/>
        <w:gridCol w:w="612"/>
        <w:gridCol w:w="164"/>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9005"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68"/>
        <w:gridCol w:w="688"/>
        <w:gridCol w:w="138"/>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receivables include supplier rebates, commissions due from third-party insurance companies and perpetual care income receivables.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allowance for credit losses by portfolio segment 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1126"/>
        <w:gridCol w:w="991"/>
        <w:gridCol w:w="994"/>
        <w:gridCol w:w="242"/>
        <w:gridCol w:w="762"/>
        <w:gridCol w:w="125"/>
        <w:gridCol w:w="109"/>
        <w:gridCol w:w="109"/>
        <w:gridCol w:w="109"/>
        <w:gridCol w:w="325"/>
        <w:gridCol w:w="1034"/>
        <w:gridCol w:w="168"/>
        <w:gridCol w:w="109"/>
        <w:gridCol w:w="109"/>
        <w:gridCol w:w="109"/>
        <w:gridCol w:w="211"/>
        <w:gridCol w:w="616"/>
        <w:gridCol w:w="109"/>
        <w:gridCol w:w="109"/>
        <w:gridCol w:w="109"/>
        <w:gridCol w:w="109"/>
        <w:gridCol w:w="241"/>
        <w:gridCol w:w="550"/>
        <w:gridCol w:w="125"/>
        <w:gridCol w:w="109"/>
        <w:gridCol w:w="109"/>
        <w:gridCol w:w="109"/>
        <w:gridCol w:w="260"/>
        <w:gridCol w:w="822"/>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trade and financed receivables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Receivables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cemetery receivables are comprised of the following (in thousands): </w:t>
      </w:r>
    </w:p>
    <w:tbl>
      <w:tblPr>
        <w:tblW w:w="5666" w:type="dxa"/>
        <w:jc w:val="center"/>
        <w:tblInd w:w="0" w:type="dxa"/>
        <w:tblLayout w:type="fixed"/>
        <w:tblCellMar>
          <w:top w:w="28" w:type="dxa"/>
          <w:left w:w="28" w:type="dxa"/>
          <w:bottom w:w="28" w:type="dxa"/>
          <w:right w:w="28" w:type="dxa"/>
        </w:tblCellMar>
      </w:tblPr>
      <w:tblGrid>
        <w:gridCol w:w="797"/>
        <w:gridCol w:w="702"/>
        <w:gridCol w:w="705"/>
        <w:gridCol w:w="284"/>
        <w:gridCol w:w="1114"/>
        <w:gridCol w:w="147"/>
        <w:gridCol w:w="109"/>
        <w:gridCol w:w="109"/>
        <w:gridCol w:w="109"/>
        <w:gridCol w:w="309"/>
        <w:gridCol w:w="1056"/>
        <w:gridCol w:w="2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Interment rights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services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finance charges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cemetery receivables are as follows (in thousands):</w:t>
      </w:r>
    </w:p>
    <w:tbl>
      <w:tblPr>
        <w:tblW w:w="8622" w:type="dxa"/>
        <w:jc w:val="left"/>
        <w:tblInd w:w="0" w:type="dxa"/>
        <w:tblLayout w:type="fixed"/>
        <w:tblCellMar>
          <w:top w:w="28" w:type="dxa"/>
          <w:left w:w="28" w:type="dxa"/>
          <w:bottom w:w="28" w:type="dxa"/>
          <w:right w:w="28" w:type="dxa"/>
        </w:tblCellMar>
      </w:tblPr>
      <w:tblGrid>
        <w:gridCol w:w="1869"/>
        <w:gridCol w:w="1644"/>
        <w:gridCol w:w="1647"/>
        <w:gridCol w:w="284"/>
        <w:gridCol w:w="1114"/>
        <w:gridCol w:w="147"/>
        <w:gridCol w:w="109"/>
        <w:gridCol w:w="109"/>
        <w:gridCol w:w="109"/>
        <w:gridCol w:w="309"/>
        <w:gridCol w:w="1056"/>
        <w:gridCol w:w="22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finance charges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 at amortized cost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 and credit losses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balances due on undelivered cemetery preneed contracts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in accounts receivable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 including HFS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 summarizes the activity in our allowance for credit losses for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1417"/>
        <w:gridCol w:w="1246"/>
        <w:gridCol w:w="1249"/>
        <w:gridCol w:w="251"/>
        <w:gridCol w:w="800"/>
        <w:gridCol w:w="130"/>
        <w:gridCol w:w="109"/>
        <w:gridCol w:w="109"/>
        <w:gridCol w:w="109"/>
        <w:gridCol w:w="358"/>
        <w:gridCol w:w="1150"/>
        <w:gridCol w:w="185"/>
        <w:gridCol w:w="109"/>
        <w:gridCol w:w="109"/>
        <w:gridCol w:w="109"/>
        <w:gridCol w:w="231"/>
        <w:gridCol w:w="512"/>
        <w:gridCol w:w="119"/>
        <w:gridCol w:w="109"/>
        <w:gridCol w:w="109"/>
        <w:gridCol w:w="109"/>
        <w:gridCol w:w="109"/>
        <w:gridCol w:w="109"/>
        <w:gridCol w:w="274"/>
        <w:gridCol w:w="877"/>
        <w:gridCol w:w="207"/>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allowance for credit losses on </w:t>
            </w:r>
            <w:r>
              <w:rPr>
                <w:rFonts w:ascii="Times New Roman;serif" w:hAnsi="Times New Roman;serif"/>
                <w:b w:val="false"/>
                <w:i/>
                <w:color w:val="000000"/>
                <w:sz w:val="20"/>
              </w:rPr>
              <w:t>Preneed cemetery receivables, net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our cemetery receivables by year of origination as of December 31, 2025 is as follows (in thousands):</w:t>
      </w:r>
    </w:p>
    <w:tbl>
      <w:tblPr>
        <w:tblW w:w="10205" w:type="dxa"/>
        <w:jc w:val="left"/>
        <w:tblInd w:w="0" w:type="dxa"/>
        <w:tblLayout w:type="fixed"/>
        <w:tblCellMar>
          <w:top w:w="28" w:type="dxa"/>
          <w:left w:w="28" w:type="dxa"/>
          <w:bottom w:w="28" w:type="dxa"/>
          <w:right w:w="28" w:type="dxa"/>
        </w:tblCellMar>
      </w:tblPr>
      <w:tblGrid>
        <w:gridCol w:w="459"/>
        <w:gridCol w:w="404"/>
        <w:gridCol w:w="4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826"/>
        <w:gridCol w:w="156"/>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117,502 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aging of past due cemetery receivables as of December 31, 2025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17"/>
        <w:gridCol w:w="367"/>
        <w:gridCol w:w="368"/>
        <w:gridCol w:w="216"/>
        <w:gridCol w:w="631"/>
        <w:gridCol w:w="111"/>
        <w:gridCol w:w="109"/>
        <w:gridCol w:w="109"/>
        <w:gridCol w:w="109"/>
        <w:gridCol w:w="216"/>
        <w:gridCol w:w="631"/>
        <w:gridCol w:w="111"/>
        <w:gridCol w:w="109"/>
        <w:gridCol w:w="109"/>
        <w:gridCol w:w="109"/>
        <w:gridCol w:w="222"/>
        <w:gridCol w:w="491"/>
        <w:gridCol w:w="114"/>
        <w:gridCol w:w="109"/>
        <w:gridCol w:w="109"/>
        <w:gridCol w:w="109"/>
        <w:gridCol w:w="215"/>
        <w:gridCol w:w="627"/>
        <w:gridCol w:w="111"/>
        <w:gridCol w:w="109"/>
        <w:gridCol w:w="109"/>
        <w:gridCol w:w="109"/>
        <w:gridCol w:w="213"/>
        <w:gridCol w:w="729"/>
        <w:gridCol w:w="110"/>
        <w:gridCol w:w="109"/>
        <w:gridCol w:w="109"/>
        <w:gridCol w:w="109"/>
        <w:gridCol w:w="211"/>
        <w:gridCol w:w="826"/>
        <w:gridCol w:w="109"/>
        <w:gridCol w:w="109"/>
        <w:gridCol w:w="109"/>
        <w:gridCol w:w="109"/>
        <w:gridCol w:w="211"/>
        <w:gridCol w:w="826"/>
        <w:gridCol w:w="160"/>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aging of past due preneed cemetery receivables as of December 31, 2024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51"/>
        <w:gridCol w:w="397"/>
        <w:gridCol w:w="398"/>
        <w:gridCol w:w="224"/>
        <w:gridCol w:w="656"/>
        <w:gridCol w:w="116"/>
        <w:gridCol w:w="109"/>
        <w:gridCol w:w="109"/>
        <w:gridCol w:w="109"/>
        <w:gridCol w:w="224"/>
        <w:gridCol w:w="656"/>
        <w:gridCol w:w="116"/>
        <w:gridCol w:w="109"/>
        <w:gridCol w:w="109"/>
        <w:gridCol w:w="109"/>
        <w:gridCol w:w="241"/>
        <w:gridCol w:w="533"/>
        <w:gridCol w:w="124"/>
        <w:gridCol w:w="109"/>
        <w:gridCol w:w="109"/>
        <w:gridCol w:w="109"/>
        <w:gridCol w:w="221"/>
        <w:gridCol w:w="647"/>
        <w:gridCol w:w="114"/>
        <w:gridCol w:w="109"/>
        <w:gridCol w:w="109"/>
        <w:gridCol w:w="109"/>
        <w:gridCol w:w="223"/>
        <w:gridCol w:w="652"/>
        <w:gridCol w:w="115"/>
        <w:gridCol w:w="109"/>
        <w:gridCol w:w="109"/>
        <w:gridCol w:w="109"/>
        <w:gridCol w:w="211"/>
        <w:gridCol w:w="721"/>
        <w:gridCol w:w="109"/>
        <w:gridCol w:w="109"/>
        <w:gridCol w:w="109"/>
        <w:gridCol w:w="109"/>
        <w:gridCol w:w="211"/>
        <w:gridCol w:w="721"/>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12) and Senior Notes (as defined in Note 13) are classified within Level 2 of the Fair Value Measurements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carrying value and fair value of our Credit Facility was $126.7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December 31, 2025, the carrying value of our acquisition debt was $6.2 million, which approximated its fair value. The fair value of our Senior Notes was $385.7 million at December 31, 2025,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erif" w:hAnsi="Times New Roman;serif"/>
          <w:b w:val="false"/>
          <w:i/>
          <w:color w:val="000000"/>
          <w:sz w:val="20"/>
        </w:rPr>
        <w:t>Fair Value Measurement of Investments in Certain Entities That Calculate Net Asset Value per Share (or Its Equivalent)</w:t>
      </w:r>
      <w:r>
        <w:rPr>
          <w:color w:val="000000"/>
        </w:rPr>
        <w:t xml:space="preserve"> </w:t>
      </w:r>
      <w:r>
        <w:rPr>
          <w:rFonts w:ascii="Times New Roman;serif" w:hAnsi="Times New Roman;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December 31, 2025 because the investments include restrictions that do not allow for liquidation until 2027. As of December 31, 2025, we do not have an unfunded commitment for this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we have six investments in real estate debt and structured credit (“alternative investments”), whose fair value has been estimated using NAV and therefore, has not been classified in the fair value hierarchy. The investment strategy for these alternative investments is to create capital growth, income generation, and risk-adjusted returns. Capital growth is 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44% of the total alternative investment and can be liquidated with a 40-day notice period and cannot exceed 5% of the total fund’s value. The structured credit is approximately 56% of the total alternative investment and can be liquidated with a 15-day notice period with no restrictions. As of December 31, 2025, we had approximately $43.1 million in unfunded commitments for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investments in fixed income securities, common stock, and mutual funds presented within the preneed and perpetual care trust investments categories on our Consolidated Balance Sheets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receivables at cost.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three-level valuation hierarchy based upon the transparency of inputs is utilized in the measurement and valuation of financial assets or liabilities as of the measurement date:</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1—Fair value of securities based on unadjusted quoted prices for identical assets or liabilities in active markets. Our investments classified as Level 1 securities include cash, U.S. treasury debt, common stock and equity mutual funds;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3—Unobservable inputs based upon the reporting entity’s internally developed assumptions, which market participants would use in pricing the asset or liability. As of December 31, 2025 and 2024, we did not have any assets that had fair values determined by Level 3 inputs and no liabilities measured at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8 and 9 to our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our</w:t>
      </w:r>
      <w:r>
        <w:rPr>
          <w:color w:val="000000"/>
        </w:rPr>
        <w:t xml:space="preserve"> </w:t>
      </w:r>
      <w:r>
        <w:rPr>
          <w:rFonts w:ascii="Times New Roman;serif" w:hAnsi="Times New Roman;serif"/>
          <w:b w:val="false"/>
          <w:color w:val="000000"/>
          <w:sz w:val="20"/>
        </w:rPr>
        <w:t xml:space="preserve">Consolidated Statements of Operations, when a service is performed or merchandise is delivered. Trust management fees charged by our wholly 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erif" w:hAnsi="Times New Roman;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Changes in the fair value of our trust fund assets (</w:t>
      </w:r>
      <w:r>
        <w:rPr>
          <w:rFonts w:ascii="Times New Roman;serif" w:hAnsi="Times New Roman;serif"/>
          <w:b w:val="false"/>
          <w:i/>
          <w:color w:val="000000"/>
          <w:sz w:val="20"/>
        </w:rPr>
        <w:t>Preneed funeral, cemetery and perpetual care trust investments</w:t>
      </w:r>
      <w:r>
        <w:rPr>
          <w:rFonts w:ascii="Times New Roman;serif" w:hAnsi="Times New Roman;serif"/>
          <w:b w:val="false"/>
          <w:color w:val="000000"/>
          <w:sz w:val="20"/>
        </w:rPr>
        <w:t>) are offset by changes in the fair value of our trust fund liabilities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and reflected in </w:t>
      </w:r>
      <w:r>
        <w:rPr>
          <w:rFonts w:ascii="Times New Roman;serif" w:hAnsi="Times New Roman;serif"/>
          <w:b w:val="false"/>
          <w:i/>
          <w:color w:val="000000"/>
          <w:sz w:val="20"/>
        </w:rPr>
        <w:t>Other, net</w:t>
      </w:r>
      <w:r>
        <w:rPr>
          <w:rFonts w:ascii="Times New Roman;serif" w:hAnsi="Times New Roman;serif"/>
          <w:b w:val="false"/>
          <w:color w:val="000000"/>
          <w:sz w:val="20"/>
        </w:rPr>
        <w:t xml:space="preserve">. There is no impact on earnings until such time the services are performed,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Cemetery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cemetery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765" w:type="dxa"/>
        <w:jc w:val="left"/>
        <w:tblInd w:w="0" w:type="dxa"/>
        <w:tblLayout w:type="fixed"/>
        <w:tblCellMar>
          <w:top w:w="28" w:type="dxa"/>
          <w:left w:w="28" w:type="dxa"/>
          <w:bottom w:w="28" w:type="dxa"/>
          <w:right w:w="28" w:type="dxa"/>
        </w:tblCellMar>
      </w:tblPr>
      <w:tblGrid>
        <w:gridCol w:w="1558"/>
        <w:gridCol w:w="1369"/>
        <w:gridCol w:w="1377"/>
        <w:gridCol w:w="284"/>
        <w:gridCol w:w="1114"/>
        <w:gridCol w:w="147"/>
        <w:gridCol w:w="109"/>
        <w:gridCol w:w="109"/>
        <w:gridCol w:w="109"/>
        <w:gridCol w:w="281"/>
        <w:gridCol w:w="1103"/>
        <w:gridCol w:w="20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29,686</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111,920</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76"/>
        <w:gridCol w:w="677"/>
        <w:gridCol w:w="681"/>
        <w:gridCol w:w="542"/>
        <w:gridCol w:w="542"/>
        <w:gridCol w:w="543"/>
        <w:gridCol w:w="109"/>
        <w:gridCol w:w="109"/>
        <w:gridCol w:w="109"/>
        <w:gridCol w:w="211"/>
        <w:gridCol w:w="826"/>
        <w:gridCol w:w="109"/>
        <w:gridCol w:w="109"/>
        <w:gridCol w:w="109"/>
        <w:gridCol w:w="109"/>
        <w:gridCol w:w="274"/>
        <w:gridCol w:w="802"/>
        <w:gridCol w:w="142"/>
        <w:gridCol w:w="109"/>
        <w:gridCol w:w="109"/>
        <w:gridCol w:w="109"/>
        <w:gridCol w:w="268"/>
        <w:gridCol w:w="853"/>
        <w:gridCol w:w="138"/>
        <w:gridCol w:w="109"/>
        <w:gridCol w:w="109"/>
        <w:gridCol w:w="109"/>
        <w:gridCol w:w="449"/>
        <w:gridCol w:w="268"/>
        <w:gridCol w:w="696"/>
      </w:tblGrid>
      <w:tr>
        <w:trPr/>
        <w:tc>
          <w:tcPr>
            <w:tcW w:w="8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6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cemetery trust investments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21"/>
        <w:gridCol w:w="620"/>
        <w:gridCol w:w="623"/>
        <w:gridCol w:w="244"/>
        <w:gridCol w:w="714"/>
        <w:gridCol w:w="126"/>
        <w:gridCol w:w="122"/>
        <w:gridCol w:w="122"/>
        <w:gridCol w:w="122"/>
        <w:gridCol w:w="308"/>
        <w:gridCol w:w="598"/>
        <w:gridCol w:w="128"/>
        <w:gridCol w:w="109"/>
        <w:gridCol w:w="109"/>
        <w:gridCol w:w="109"/>
        <w:gridCol w:w="244"/>
        <w:gridCol w:w="714"/>
        <w:gridCol w:w="126"/>
        <w:gridCol w:w="126"/>
        <w:gridCol w:w="126"/>
        <w:gridCol w:w="126"/>
        <w:gridCol w:w="308"/>
        <w:gridCol w:w="599"/>
        <w:gridCol w:w="128"/>
        <w:gridCol w:w="109"/>
        <w:gridCol w:w="109"/>
        <w:gridCol w:w="109"/>
        <w:gridCol w:w="244"/>
        <w:gridCol w:w="714"/>
        <w:gridCol w:w="126"/>
        <w:gridCol w:w="109"/>
        <w:gridCol w:w="109"/>
        <w:gridCol w:w="109"/>
        <w:gridCol w:w="267"/>
        <w:gridCol w:w="617"/>
        <w:gridCol w:w="211"/>
      </w:tblGrid>
      <w:tr>
        <w:trPr/>
        <w:tc>
          <w:tcPr>
            <w:tcW w:w="8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preneed cemetery trust investments in an unrealized loss position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cemetery trust investment security transactions recorded in </w:t>
      </w:r>
      <w:r>
        <w:rPr>
          <w:rFonts w:ascii="Times New Roman;serif" w:hAnsi="Times New Roman;serif"/>
          <w:b w:val="false"/>
          <w:i/>
          <w:color w:val="000000"/>
          <w:sz w:val="20"/>
        </w:rPr>
        <w:t xml:space="preserve">Other, net </w:t>
      </w:r>
      <w:r>
        <w:rPr>
          <w:rFonts w:ascii="Times New Roman;serif" w:hAnsi="Times New Roman;serif"/>
          <w:b w:val="false"/>
          <w:color w:val="000000"/>
          <w:sz w:val="20"/>
        </w:rPr>
        <w:t>on our Consolidated Statements of Operations are as follows (in thousands):</w:t>
      </w:r>
    </w:p>
    <w:tbl>
      <w:tblPr>
        <w:tblW w:w="9602" w:type="dxa"/>
        <w:jc w:val="left"/>
        <w:tblInd w:w="0" w:type="dxa"/>
        <w:tblLayout w:type="fixed"/>
        <w:tblCellMar>
          <w:top w:w="28" w:type="dxa"/>
          <w:left w:w="28" w:type="dxa"/>
          <w:bottom w:w="28" w:type="dxa"/>
          <w:right w:w="28" w:type="dxa"/>
        </w:tblCellMar>
      </w:tblPr>
      <w:tblGrid>
        <w:gridCol w:w="1854"/>
        <w:gridCol w:w="1628"/>
        <w:gridCol w:w="1632"/>
        <w:gridCol w:w="109"/>
        <w:gridCol w:w="109"/>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cemetery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cemetery trusts are as follows (in thousands):</w:t>
      </w:r>
    </w:p>
    <w:tbl>
      <w:tblPr>
        <w:tblW w:w="5944"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09"/>
        <w:gridCol w:w="109"/>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Funeral Trust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funeral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600" w:type="dxa"/>
        <w:jc w:val="left"/>
        <w:tblInd w:w="0" w:type="dxa"/>
        <w:tblLayout w:type="fixed"/>
        <w:tblCellMar>
          <w:top w:w="28" w:type="dxa"/>
          <w:left w:w="28" w:type="dxa"/>
          <w:bottom w:w="28" w:type="dxa"/>
          <w:right w:w="28" w:type="dxa"/>
        </w:tblCellMar>
      </w:tblPr>
      <w:tblGrid>
        <w:gridCol w:w="1498"/>
        <w:gridCol w:w="1317"/>
        <w:gridCol w:w="1324"/>
        <w:gridCol w:w="284"/>
        <w:gridCol w:w="1114"/>
        <w:gridCol w:w="147"/>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69"/>
        <w:gridCol w:w="668"/>
        <w:gridCol w:w="671"/>
        <w:gridCol w:w="536"/>
        <w:gridCol w:w="536"/>
        <w:gridCol w:w="537"/>
        <w:gridCol w:w="109"/>
        <w:gridCol w:w="109"/>
        <w:gridCol w:w="109"/>
        <w:gridCol w:w="211"/>
        <w:gridCol w:w="826"/>
        <w:gridCol w:w="109"/>
        <w:gridCol w:w="109"/>
        <w:gridCol w:w="109"/>
        <w:gridCol w:w="109"/>
        <w:gridCol w:w="273"/>
        <w:gridCol w:w="798"/>
        <w:gridCol w:w="141"/>
        <w:gridCol w:w="109"/>
        <w:gridCol w:w="109"/>
        <w:gridCol w:w="109"/>
        <w:gridCol w:w="267"/>
        <w:gridCol w:w="848"/>
        <w:gridCol w:w="137"/>
        <w:gridCol w:w="109"/>
        <w:gridCol w:w="109"/>
        <w:gridCol w:w="109"/>
        <w:gridCol w:w="413"/>
        <w:gridCol w:w="280"/>
        <w:gridCol w:w="616"/>
        <w:gridCol w:w="161"/>
      </w:tblGrid>
      <w:tr>
        <w:trPr/>
        <w:tc>
          <w:tcPr>
            <w:tcW w:w="86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320" w:type="dxa"/>
        <w:jc w:val="left"/>
        <w:tblInd w:w="0" w:type="dxa"/>
        <w:tblLayout w:type="fixed"/>
        <w:tblCellMar>
          <w:top w:w="28" w:type="dxa"/>
          <w:left w:w="28" w:type="dxa"/>
          <w:bottom w:w="28" w:type="dxa"/>
          <w:right w:w="28" w:type="dxa"/>
        </w:tblCellMar>
      </w:tblPr>
      <w:tblGrid>
        <w:gridCol w:w="892"/>
        <w:gridCol w:w="785"/>
        <w:gridCol w:w="797"/>
        <w:gridCol w:w="226"/>
        <w:gridCol w:w="4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64"/>
        <w:gridCol w:w="662"/>
        <w:gridCol w:w="665"/>
        <w:gridCol w:w="532"/>
        <w:gridCol w:w="532"/>
        <w:gridCol w:w="533"/>
        <w:gridCol w:w="109"/>
        <w:gridCol w:w="109"/>
        <w:gridCol w:w="109"/>
        <w:gridCol w:w="211"/>
        <w:gridCol w:w="826"/>
        <w:gridCol w:w="109"/>
        <w:gridCol w:w="109"/>
        <w:gridCol w:w="109"/>
        <w:gridCol w:w="109"/>
        <w:gridCol w:w="272"/>
        <w:gridCol w:w="795"/>
        <w:gridCol w:w="140"/>
        <w:gridCol w:w="109"/>
        <w:gridCol w:w="109"/>
        <w:gridCol w:w="109"/>
        <w:gridCol w:w="266"/>
        <w:gridCol w:w="845"/>
        <w:gridCol w:w="137"/>
        <w:gridCol w:w="109"/>
        <w:gridCol w:w="109"/>
        <w:gridCol w:w="109"/>
        <w:gridCol w:w="452"/>
        <w:gridCol w:w="280"/>
        <w:gridCol w:w="614"/>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03"/>
        <w:gridCol w:w="602"/>
        <w:gridCol w:w="605"/>
        <w:gridCol w:w="242"/>
        <w:gridCol w:w="708"/>
        <w:gridCol w:w="125"/>
        <w:gridCol w:w="121"/>
        <w:gridCol w:w="121"/>
        <w:gridCol w:w="121"/>
        <w:gridCol w:w="308"/>
        <w:gridCol w:w="592"/>
        <w:gridCol w:w="127"/>
        <w:gridCol w:w="109"/>
        <w:gridCol w:w="109"/>
        <w:gridCol w:w="109"/>
        <w:gridCol w:w="242"/>
        <w:gridCol w:w="709"/>
        <w:gridCol w:w="125"/>
        <w:gridCol w:w="125"/>
        <w:gridCol w:w="125"/>
        <w:gridCol w:w="125"/>
        <w:gridCol w:w="307"/>
        <w:gridCol w:w="592"/>
        <w:gridCol w:w="127"/>
        <w:gridCol w:w="109"/>
        <w:gridCol w:w="109"/>
        <w:gridCol w:w="109"/>
        <w:gridCol w:w="242"/>
        <w:gridCol w:w="708"/>
        <w:gridCol w:w="125"/>
        <w:gridCol w:w="109"/>
        <w:gridCol w:w="109"/>
        <w:gridCol w:w="109"/>
        <w:gridCol w:w="269"/>
        <w:gridCol w:w="619"/>
        <w:gridCol w:w="139"/>
        <w:gridCol w:w="170"/>
      </w:tblGrid>
      <w:tr>
        <w:trPr/>
        <w:tc>
          <w:tcPr>
            <w:tcW w:w="8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funeral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9163" w:type="dxa"/>
        <w:jc w:val="left"/>
        <w:tblInd w:w="0" w:type="dxa"/>
        <w:tblLayout w:type="fixed"/>
        <w:tblCellMar>
          <w:top w:w="28" w:type="dxa"/>
          <w:left w:w="28" w:type="dxa"/>
          <w:bottom w:w="28" w:type="dxa"/>
          <w:right w:w="28" w:type="dxa"/>
        </w:tblCellMar>
      </w:tblPr>
      <w:tblGrid>
        <w:gridCol w:w="1794"/>
        <w:gridCol w:w="1576"/>
        <w:gridCol w:w="1580"/>
        <w:gridCol w:w="109"/>
        <w:gridCol w:w="109"/>
        <w:gridCol w:w="109"/>
        <w:gridCol w:w="109"/>
        <w:gridCol w:w="109"/>
        <w:gridCol w:w="109"/>
        <w:gridCol w:w="109"/>
        <w:gridCol w:w="109"/>
        <w:gridCol w:w="109"/>
        <w:gridCol w:w="246"/>
        <w:gridCol w:w="475"/>
        <w:gridCol w:w="109"/>
        <w:gridCol w:w="109"/>
        <w:gridCol w:w="109"/>
        <w:gridCol w:w="109"/>
        <w:gridCol w:w="271"/>
        <w:gridCol w:w="524"/>
        <w:gridCol w:w="109"/>
        <w:gridCol w:w="109"/>
        <w:gridCol w:w="109"/>
        <w:gridCol w:w="109"/>
        <w:gridCol w:w="235"/>
        <w:gridCol w:w="455"/>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71" w:type="dxa"/>
            <w:gridSpan w:val="6"/>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funeral trusts are as follows (in thousands):</w:t>
      </w:r>
    </w:p>
    <w:tbl>
      <w:tblPr>
        <w:tblW w:w="5820"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09"/>
        <w:gridCol w:w="109"/>
        <w:gridCol w:w="159"/>
        <w:gridCol w:w="159"/>
        <w:gridCol w:w="159"/>
        <w:gridCol w:w="159"/>
        <w:gridCol w:w="398"/>
        <w:gridCol w:w="398"/>
        <w:gridCol w:w="159"/>
        <w:gridCol w:w="159"/>
        <w:gridCol w:w="159"/>
        <w:gridCol w:w="159"/>
        <w:gridCol w:w="398"/>
        <w:gridCol w:w="398"/>
        <w:gridCol w:w="159"/>
        <w:gridCol w:w="109"/>
        <w:gridCol w:w="109"/>
        <w:gridCol w:w="109"/>
        <w:gridCol w:w="398"/>
        <w:gridCol w:w="398"/>
        <w:gridCol w:w="213"/>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36" w:type="dxa"/>
            <w:gridSpan w:val="6"/>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Perpetual Care Trust Investments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 xml:space="preserve">on our Consolidated Balance Sheets represent the corpus of those trusts plus undistributed income. The components of </w:t>
      </w: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are as follows (in thousands):</w:t>
      </w:r>
      <w:r>
        <w:rPr>
          <w:color w:val="000000"/>
        </w:rPr>
        <w:t> </w:t>
      </w:r>
    </w:p>
    <w:tbl>
      <w:tblPr>
        <w:tblW w:w="8306" w:type="dxa"/>
        <w:jc w:val="left"/>
        <w:tblInd w:w="0" w:type="dxa"/>
        <w:tblLayout w:type="fixed"/>
        <w:tblCellMar>
          <w:top w:w="28" w:type="dxa"/>
          <w:left w:w="28" w:type="dxa"/>
          <w:bottom w:w="28" w:type="dxa"/>
          <w:right w:w="28" w:type="dxa"/>
        </w:tblCellMar>
      </w:tblPr>
      <w:tblGrid>
        <w:gridCol w:w="1754"/>
        <w:gridCol w:w="1541"/>
        <w:gridCol w:w="1550"/>
        <w:gridCol w:w="313"/>
        <w:gridCol w:w="1070"/>
        <w:gridCol w:w="161"/>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due to (due from) trust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 including HFS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cost and market values associated with the trust investments held in perpetual care trust funds at December 31, 2025 (in thousands):</w:t>
      </w:r>
    </w:p>
    <w:tbl>
      <w:tblPr>
        <w:tblW w:w="10205" w:type="dxa"/>
        <w:jc w:val="left"/>
        <w:tblInd w:w="0" w:type="dxa"/>
        <w:tblLayout w:type="fixed"/>
        <w:tblCellMar>
          <w:top w:w="28" w:type="dxa"/>
          <w:left w:w="28" w:type="dxa"/>
          <w:bottom w:w="28" w:type="dxa"/>
          <w:right w:w="28" w:type="dxa"/>
        </w:tblCellMar>
      </w:tblPr>
      <w:tblGrid>
        <w:gridCol w:w="886"/>
        <w:gridCol w:w="690"/>
        <w:gridCol w:w="693"/>
        <w:gridCol w:w="549"/>
        <w:gridCol w:w="549"/>
        <w:gridCol w:w="551"/>
        <w:gridCol w:w="109"/>
        <w:gridCol w:w="109"/>
        <w:gridCol w:w="109"/>
        <w:gridCol w:w="211"/>
        <w:gridCol w:w="721"/>
        <w:gridCol w:w="109"/>
        <w:gridCol w:w="109"/>
        <w:gridCol w:w="109"/>
        <w:gridCol w:w="109"/>
        <w:gridCol w:w="276"/>
        <w:gridCol w:w="808"/>
        <w:gridCol w:w="143"/>
        <w:gridCol w:w="109"/>
        <w:gridCol w:w="109"/>
        <w:gridCol w:w="109"/>
        <w:gridCol w:w="270"/>
        <w:gridCol w:w="860"/>
        <w:gridCol w:w="139"/>
        <w:gridCol w:w="109"/>
        <w:gridCol w:w="109"/>
        <w:gridCol w:w="109"/>
        <w:gridCol w:w="422"/>
        <w:gridCol w:w="280"/>
        <w:gridCol w:w="580"/>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5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200" w:type="dxa"/>
        <w:jc w:val="left"/>
        <w:tblInd w:w="0" w:type="dxa"/>
        <w:tblLayout w:type="fixed"/>
        <w:tblCellMar>
          <w:top w:w="28" w:type="dxa"/>
          <w:left w:w="28" w:type="dxa"/>
          <w:bottom w:w="28" w:type="dxa"/>
          <w:right w:w="28" w:type="dxa"/>
        </w:tblCellMar>
      </w:tblPr>
      <w:tblGrid>
        <w:gridCol w:w="892"/>
        <w:gridCol w:w="785"/>
        <w:gridCol w:w="797"/>
        <w:gridCol w:w="211"/>
        <w:gridCol w:w="36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reflects the cost and market values associated with the trust investments held in perpetual care trust funds at December 31, 2024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5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within our perpetual care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9"/>
        <w:gridCol w:w="611"/>
        <w:gridCol w:w="613"/>
        <w:gridCol w:w="243"/>
        <w:gridCol w:w="711"/>
        <w:gridCol w:w="125"/>
        <w:gridCol w:w="122"/>
        <w:gridCol w:w="122"/>
        <w:gridCol w:w="122"/>
        <w:gridCol w:w="308"/>
        <w:gridCol w:w="595"/>
        <w:gridCol w:w="128"/>
        <w:gridCol w:w="109"/>
        <w:gridCol w:w="109"/>
        <w:gridCol w:w="109"/>
        <w:gridCol w:w="243"/>
        <w:gridCol w:w="711"/>
        <w:gridCol w:w="125"/>
        <w:gridCol w:w="125"/>
        <w:gridCol w:w="125"/>
        <w:gridCol w:w="125"/>
        <w:gridCol w:w="308"/>
        <w:gridCol w:w="595"/>
        <w:gridCol w:w="128"/>
        <w:gridCol w:w="109"/>
        <w:gridCol w:w="109"/>
        <w:gridCol w:w="109"/>
        <w:gridCol w:w="243"/>
        <w:gridCol w:w="711"/>
        <w:gridCol w:w="125"/>
        <w:gridCol w:w="109"/>
        <w:gridCol w:w="109"/>
        <w:gridCol w:w="109"/>
        <w:gridCol w:w="270"/>
        <w:gridCol w:w="621"/>
        <w:gridCol w:w="140"/>
        <w:gridCol w:w="170"/>
      </w:tblGrid>
      <w:tr>
        <w:trPr/>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7199" w:type="dxa"/>
        <w:jc w:val="left"/>
        <w:tblInd w:w="0" w:type="dxa"/>
        <w:tblLayout w:type="fixed"/>
        <w:tblCellMar>
          <w:top w:w="28" w:type="dxa"/>
          <w:left w:w="28" w:type="dxa"/>
          <w:bottom w:w="28" w:type="dxa"/>
          <w:right w:w="28" w:type="dxa"/>
        </w:tblCellMar>
      </w:tblPr>
      <w:tblGrid>
        <w:gridCol w:w="992"/>
        <w:gridCol w:w="873"/>
        <w:gridCol w:w="880"/>
        <w:gridCol w:w="109"/>
        <w:gridCol w:w="109"/>
        <w:gridCol w:w="109"/>
        <w:gridCol w:w="109"/>
        <w:gridCol w:w="109"/>
        <w:gridCol w:w="109"/>
        <w:gridCol w:w="109"/>
        <w:gridCol w:w="211"/>
        <w:gridCol w:w="691"/>
        <w:gridCol w:w="109"/>
        <w:gridCol w:w="109"/>
        <w:gridCol w:w="109"/>
        <w:gridCol w:w="109"/>
        <w:gridCol w:w="211"/>
        <w:gridCol w:w="691"/>
        <w:gridCol w:w="109"/>
        <w:gridCol w:w="109"/>
        <w:gridCol w:w="109"/>
        <w:gridCol w:w="109"/>
        <w:gridCol w:w="211"/>
        <w:gridCol w:w="541"/>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4"/>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care trusts’ corpus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are as follows (in thousands):</w:t>
      </w:r>
    </w:p>
    <w:tbl>
      <w:tblPr>
        <w:tblW w:w="6358" w:type="dxa"/>
        <w:jc w:val="left"/>
        <w:tblInd w:w="0" w:type="dxa"/>
        <w:tblLayout w:type="fixed"/>
        <w:tblCellMar>
          <w:top w:w="28" w:type="dxa"/>
          <w:left w:w="28" w:type="dxa"/>
          <w:bottom w:w="28" w:type="dxa"/>
          <w:right w:w="28" w:type="dxa"/>
        </w:tblCellMar>
      </w:tblPr>
      <w:tblGrid>
        <w:gridCol w:w="603"/>
        <w:gridCol w:w="530"/>
        <w:gridCol w:w="531"/>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perpetual care trusts are as follows (in thousands):</w:t>
      </w:r>
    </w:p>
    <w:tbl>
      <w:tblPr>
        <w:tblW w:w="583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RECEIVABLES FROM PRENEED FUNERAL TRUSTS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7120" w:type="dxa"/>
        <w:jc w:val="left"/>
        <w:tblInd w:w="0" w:type="dxa"/>
        <w:tblLayout w:type="fixed"/>
        <w:tblCellMar>
          <w:top w:w="28" w:type="dxa"/>
          <w:left w:w="28" w:type="dxa"/>
          <w:bottom w:w="28" w:type="dxa"/>
          <w:right w:w="28" w:type="dxa"/>
        </w:tblCellMar>
      </w:tblPr>
      <w:tblGrid>
        <w:gridCol w:w="1323"/>
        <w:gridCol w:w="1165"/>
        <w:gridCol w:w="1171"/>
        <w:gridCol w:w="313"/>
        <w:gridCol w:w="1070"/>
        <w:gridCol w:w="161"/>
        <w:gridCol w:w="109"/>
        <w:gridCol w:w="109"/>
        <w:gridCol w:w="109"/>
        <w:gridCol w:w="309"/>
        <w:gridCol w:w="1056"/>
        <w:gridCol w:w="225"/>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summary reflects the composition of the assets held in trust and controlled by third parties to satisfy our future obligations related to the underlying preneed funeral contracts at December 31, 2025 and 2024. The cost basis includes reinvested interest and dividends that have been earned on the trust assets. Fair value includes unrealized gains and losses on trust assets.</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December 31,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December 31, 2024,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CONTRACTS FUNDED BY INSURANCE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When preneed funeral contracts are funded through third-party insurance policies, we earn a commission on the sale of the policies, which are recorded in </w:t>
      </w:r>
      <w:r>
        <w:rPr>
          <w:rFonts w:ascii="Times New Roman;serif" w:hAnsi="Times New Roman;serif"/>
          <w:b w:val="false"/>
          <w:i/>
          <w:color w:val="000000"/>
          <w:sz w:val="20"/>
        </w:rPr>
        <w:t>Other revenue</w:t>
      </w:r>
      <w:r>
        <w:rPr>
          <w:rFonts w:ascii="Times New Roman;serif" w:hAnsi="Times New Roman;serif"/>
          <w:b w:val="false"/>
          <w:color w:val="000000"/>
          <w:sz w:val="20"/>
        </w:rPr>
        <w:t xml:space="preserve">. These insurance commissions are subject to refund (charge-back) if the preneed policy is cancelled within a year or if there is an imminent death of beneficiary before the first year anniversary of the policy. Approximately 10% of our preneed funeral contracts are cancelled before the first year anniversary of the policy. As such, we recognize 90% of our commissions revenue at the time that it is earned. Based on our historical cancellation rate, we defer 10% of the commissions revenue earned for twelve months until the commission is no longer subject to refund. All selling costs incurred pursuant to the sale of the insurance funded preneed contracts are expensed as incurred.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Additionally, during the year ended December 31, 2023, we received a $6.0 million incentive payment from a vendor for entering into a strategic partnership agreement to market and sell prearranged funeral services in the future, which increased our cash flow from operations and </w:t>
      </w:r>
      <w:r>
        <w:rPr>
          <w:rFonts w:ascii="Times New Roman;serif" w:hAnsi="Times New Roman;serif"/>
          <w:b w:val="false"/>
          <w:i/>
          <w:color w:val="000000"/>
          <w:sz w:val="20"/>
        </w:rPr>
        <w:t xml:space="preserve">Deferred preneed funeral revenue. </w:t>
      </w:r>
      <w:r>
        <w:rPr>
          <w:rFonts w:ascii="Times New Roman;serif" w:hAnsi="Times New Roman;serif"/>
          <w:b w:val="false"/>
          <w:color w:val="000000"/>
          <w:sz w:val="20"/>
        </w:rPr>
        <w:t xml:space="preserve">The incentive payment is subject to partial claw-back if certain preneed funeral sales volumes are not met within the ten-year term of the agreement. As such, we recognize the incentive payment in proportion to our achieved preneed funeral sales volume, net of cancellations, at each reporting period. We recognized $0.4 million in the year ended December 31, 2025, and $0.2 million in each of the years ended December 31, 2024 and 2023 of the incentive payment as </w:t>
      </w:r>
      <w:r>
        <w:rPr>
          <w:rFonts w:ascii="Times New Roman;serif" w:hAnsi="Times New Roman;serif"/>
          <w:b w:val="false"/>
          <w:i/>
          <w:color w:val="000000"/>
          <w:sz w:val="20"/>
        </w:rPr>
        <w:t>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generally revocable and the proceeds from the policy are portable, so the customer can choose to use an alternative provider at the time of need.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contracts to be funded at maturity by third-party insurance policies totaled $420.4 million and $421.3 million at December 31, 2025 and 2024, respectively, and are not recorded as assets or liabilities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11. INTANGIBLE AND OTHER NON-CURRENT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561"/>
        <w:gridCol w:w="2205"/>
        <w:gridCol w:w="2223"/>
        <w:gridCol w:w="287"/>
        <w:gridCol w:w="984"/>
        <w:gridCol w:w="148"/>
        <w:gridCol w:w="109"/>
        <w:gridCol w:w="109"/>
        <w:gridCol w:w="109"/>
        <w:gridCol w:w="284"/>
        <w:gridCol w:w="973"/>
        <w:gridCol w:w="213"/>
      </w:tblGrid>
      <w:tr>
        <w:trPr/>
        <w:tc>
          <w:tcPr>
            <w:tcW w:w="256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net of accumulated amortization of $1,898 and $764,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commissions on preneed contracts, net of accumulated amortization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$5,288 and $4,653, respectively</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agreements not-to-compete, net of accumulated amortization of $3,875 and $3,543,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prepaid and other intangibles, net of accumulated amortization of $478 and $109, respectively</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 including HFS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Trade names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increased the value of our trade names by $3.1 million, with $2.1 million allocated to our funeral home segment and $1.0 million allocated to our cemetery segment, related to our acquisition of businesses, as more fully described in Note 3 to the Consolidated Financial Statements.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four of the funeral homes that we sold and one funeral home that was closed and subsequently sold as real property had a carrying value of trade names of $1.3 million, which was included in the loss on sale and recorded in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two of the funeral homes that we sold had a carrying value of trade names of $0.2 million, which was included in the loss on sale and recorded in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See Notes 1, 3, and 5 to the Consolidated Financial Statements for additional information related to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 xml:space="preserve">Internally Developed Software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Internally developed software is typically amortized on a straight-line basis over five years. Amortization expense was $1.1 million for each of the years ended December 31, 2025, and $0.3 million for each of the years ended December 31, 2024 and 2023.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Capitalized Commissions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expense was $0.9 million for each of the years ended December 31, 2025 and 2024, and $0.8 million and for the year ended December 31, 2023.</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 xml:space="preserve">Prepaid Agreements Not-to-Compete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Prepaid agreements not-to-compete are amortized over the term of the respective agreements, generally ranging from one to ten years. Amortization expense was $0.4 million, $0.5 million, and $0.6 million for the years ended December 31, 2025, 2024 and 2023, respectively.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Non-current Prepaid and Other Intangibles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Non-current prepaid agreements are related to software licenses that have been prepaid for multiple years. These agreements are amortized on a straight-line basis over the term of the respective agreements, generally ranging from two to three years. Other intangible assets relate to intellectual property and are amortized on a straight-line basis, typically over three years. Amortization expense was $0.1 million for each of the years ended December 31, 2025 and 2024 and $37 thousand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our capitalized commissions, prepaid not-to-compete agreements, internal-use software and non-current prepaid and other agreements as of December 31, 2025 is as follows (in thousands):</w:t>
      </w:r>
    </w:p>
    <w:tbl>
      <w:tblPr>
        <w:tblW w:w="10205" w:type="dxa"/>
        <w:jc w:val="left"/>
        <w:tblInd w:w="0" w:type="dxa"/>
        <w:tblLayout w:type="fixed"/>
        <w:tblCellMar>
          <w:top w:w="28" w:type="dxa"/>
          <w:left w:w="28" w:type="dxa"/>
          <w:bottom w:w="28" w:type="dxa"/>
          <w:right w:w="28" w:type="dxa"/>
        </w:tblCellMar>
      </w:tblPr>
      <w:tblGrid>
        <w:gridCol w:w="696"/>
        <w:gridCol w:w="507"/>
        <w:gridCol w:w="510"/>
        <w:gridCol w:w="354"/>
        <w:gridCol w:w="1033"/>
        <w:gridCol w:w="184"/>
        <w:gridCol w:w="109"/>
        <w:gridCol w:w="109"/>
        <w:gridCol w:w="109"/>
        <w:gridCol w:w="548"/>
        <w:gridCol w:w="1213"/>
        <w:gridCol w:w="285"/>
        <w:gridCol w:w="109"/>
        <w:gridCol w:w="109"/>
        <w:gridCol w:w="109"/>
        <w:gridCol w:w="371"/>
        <w:gridCol w:w="1084"/>
        <w:gridCol w:w="191"/>
        <w:gridCol w:w="109"/>
        <w:gridCol w:w="109"/>
        <w:gridCol w:w="109"/>
        <w:gridCol w:w="569"/>
        <w:gridCol w:w="1257"/>
        <w:gridCol w:w="422"/>
      </w:tblGrid>
      <w:tr>
        <w:trPr/>
        <w:tc>
          <w:tcPr>
            <w:tcW w:w="6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Prepaid Agreements 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Internally 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Non-current Prepaid and Other Intangibles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12. CREDIT FACILITY AND ACQUISITION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Facility are unconditionally guaranteed on a joint and several basis by the same subsidiaries which guarantee the Senior Notes (as defined in Note 13)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2025,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436"/>
        <w:gridCol w:w="2137"/>
        <w:gridCol w:w="2133"/>
        <w:gridCol w:w="277"/>
        <w:gridCol w:w="1087"/>
        <w:gridCol w:w="143"/>
        <w:gridCol w:w="109"/>
        <w:gridCol w:w="109"/>
        <w:gridCol w:w="109"/>
        <w:gridCol w:w="277"/>
        <w:gridCol w:w="1087"/>
        <w:gridCol w:w="143"/>
        <w:gridCol w:w="158"/>
      </w:tblGrid>
      <w:tr>
        <w:trPr/>
        <w:tc>
          <w:tcPr>
            <w:tcW w:w="243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$3,300 and $2,947, respectively</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debt, net of current portion</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outstanding borrowings under the Credit Facility of $126.7 million. We also had one letter of credit for $2.2 million under the Credit Facility. The letter of credit will expire on November 25, 2026, and is expected to automatically renew annually and secures our obligations under our various self-insured policies. At December 31, 2025, we had $121.1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borrowings under our Credit Facility bear interest at a prime rate or the SOFR rate, plus an applicable margin based on our leverage ratio. At December 31, 2025, the prime rate margin was equivalent to 1.13% and the SOFR term margin was 2.50%. The weighted average interest rate on our Credit Facility was 6.7% and 8.7% for the years ended December 31, 2025 and 2024,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issuance costs related to our Credit Facility are as follows (in thousands): </w:t>
      </w:r>
    </w:p>
    <w:tbl>
      <w:tblPr>
        <w:tblW w:w="8404" w:type="dxa"/>
        <w:jc w:val="left"/>
        <w:tblInd w:w="0" w:type="dxa"/>
        <w:tblLayout w:type="fixed"/>
        <w:tblCellMar>
          <w:top w:w="28" w:type="dxa"/>
          <w:left w:w="28" w:type="dxa"/>
          <w:bottom w:w="28" w:type="dxa"/>
          <w:right w:w="28" w:type="dxa"/>
        </w:tblCellMar>
      </w:tblPr>
      <w:tblGrid>
        <w:gridCol w:w="1516"/>
        <w:gridCol w:w="1329"/>
        <w:gridCol w:w="1340"/>
        <w:gridCol w:w="109"/>
        <w:gridCol w:w="109"/>
        <w:gridCol w:w="109"/>
        <w:gridCol w:w="109"/>
        <w:gridCol w:w="109"/>
        <w:gridCol w:w="109"/>
        <w:gridCol w:w="211"/>
        <w:gridCol w:w="616"/>
        <w:gridCol w:w="109"/>
        <w:gridCol w:w="109"/>
        <w:gridCol w:w="109"/>
        <w:gridCol w:w="109"/>
        <w:gridCol w:w="211"/>
        <w:gridCol w:w="721"/>
        <w:gridCol w:w="109"/>
        <w:gridCol w:w="109"/>
        <w:gridCol w:w="109"/>
        <w:gridCol w:w="109"/>
        <w:gridCol w:w="360"/>
        <w:gridCol w:w="361"/>
        <w:gridCol w:w="213"/>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29" w:type="dxa"/>
            <w:gridSpan w:val="1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8.5%. Original maturities typically range from nine to twenty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imputed interest expense related to our acquisition debt is as follows (in thousands): </w:t>
      </w:r>
    </w:p>
    <w:tbl>
      <w:tblPr>
        <w:tblW w:w="7142" w:type="dxa"/>
        <w:jc w:val="left"/>
        <w:tblInd w:w="0" w:type="dxa"/>
        <w:tblLayout w:type="fixed"/>
        <w:tblCellMar>
          <w:top w:w="28" w:type="dxa"/>
          <w:left w:w="28" w:type="dxa"/>
          <w:bottom w:w="28" w:type="dxa"/>
          <w:right w:w="28" w:type="dxa"/>
        </w:tblCellMar>
      </w:tblPr>
      <w:tblGrid>
        <w:gridCol w:w="1286"/>
        <w:gridCol w:w="1131"/>
        <w:gridCol w:w="1138"/>
        <w:gridCol w:w="109"/>
        <w:gridCol w:w="109"/>
        <w:gridCol w:w="159"/>
        <w:gridCol w:w="159"/>
        <w:gridCol w:w="159"/>
        <w:gridCol w:w="159"/>
        <w:gridCol w:w="233"/>
        <w:gridCol w:w="233"/>
        <w:gridCol w:w="159"/>
        <w:gridCol w:w="159"/>
        <w:gridCol w:w="159"/>
        <w:gridCol w:w="159"/>
        <w:gridCol w:w="233"/>
        <w:gridCol w:w="233"/>
        <w:gridCol w:w="159"/>
        <w:gridCol w:w="109"/>
        <w:gridCol w:w="109"/>
        <w:gridCol w:w="109"/>
        <w:gridCol w:w="233"/>
        <w:gridCol w:w="233"/>
        <w:gridCol w:w="213"/>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2108" w:type="dxa"/>
            <w:gridSpan w:val="1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06"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imputed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our Credit Facility and acquisition debt for the next five years subsequent to December 31, 2025 and thereafter, excluding debt issuance costs, are as follows (in thousands):</w:t>
      </w:r>
    </w:p>
    <w:tbl>
      <w:tblPr>
        <w:tblW w:w="7569" w:type="dxa"/>
        <w:jc w:val="left"/>
        <w:tblInd w:w="0" w:type="dxa"/>
        <w:tblLayout w:type="fixed"/>
        <w:tblCellMar>
          <w:top w:w="28" w:type="dxa"/>
          <w:left w:w="28" w:type="dxa"/>
          <w:bottom w:w="28" w:type="dxa"/>
          <w:right w:w="28" w:type="dxa"/>
        </w:tblCellMar>
      </w:tblPr>
      <w:tblGrid>
        <w:gridCol w:w="1574"/>
        <w:gridCol w:w="1385"/>
        <w:gridCol w:w="1390"/>
        <w:gridCol w:w="248"/>
        <w:gridCol w:w="973"/>
        <w:gridCol w:w="128"/>
        <w:gridCol w:w="109"/>
        <w:gridCol w:w="109"/>
        <w:gridCol w:w="109"/>
        <w:gridCol w:w="331"/>
        <w:gridCol w:w="969"/>
        <w:gridCol w:w="24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Debt</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 and acquisition debt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Credit Facility and acquisition debt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13. 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$400.0 million in aggregate principal amount of 4.25% Senior Notes due 2029 (the “Senior Notes”) and related guarantees by the Subsidiary Guarantors, which were issued in a private offering under Rule 144A and Regulation S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(“Collateral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in whole or in part, at the redemption price of 100% on or after May 15, 2026, plus accrued and unpaid interest, if any, to, but excluding, the redemption date.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debt discount and the debt issuance costs are being amortized using the effective interest method over the remaining term of 41 months of the Senior Notes. The effective interest rate on the unamortized debt discount and the unamortized debt issuance costs for the Senior Notes for each of the years ended December 31, 2025 and 2024 was 4.42%.</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Senior Notes is reflected on our Consolidated Balance Sheets as follows (in thousands):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4.25% senior notes due 2029 (the “Senior Notes”) is reflected on our Consolidated Balance Sheets as follows (in thousands): </w:t>
      </w:r>
    </w:p>
    <w:tbl>
      <w:tblPr>
        <w:tblW w:w="10205" w:type="dxa"/>
        <w:jc w:val="left"/>
        <w:tblInd w:w="0" w:type="dxa"/>
        <w:tblLayout w:type="fixed"/>
        <w:tblCellMar>
          <w:top w:w="28" w:type="dxa"/>
          <w:left w:w="28" w:type="dxa"/>
          <w:bottom w:w="28" w:type="dxa"/>
          <w:right w:w="28" w:type="dxa"/>
        </w:tblCellMar>
      </w:tblPr>
      <w:tblGrid>
        <w:gridCol w:w="2426"/>
        <w:gridCol w:w="2117"/>
        <w:gridCol w:w="2132"/>
        <w:gridCol w:w="280"/>
        <w:gridCol w:w="1099"/>
        <w:gridCol w:w="145"/>
        <w:gridCol w:w="109"/>
        <w:gridCol w:w="109"/>
        <w:gridCol w:w="109"/>
        <w:gridCol w:w="280"/>
        <w:gridCol w:w="1099"/>
        <w:gridCol w:w="145"/>
        <w:gridCol w:w="155"/>
      </w:tblGrid>
      <w:tr>
        <w:trPr/>
        <w:tc>
          <w:tcPr>
            <w:tcW w:w="242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net of accumulated amortization of $2,411 and $1,848, respectively</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$685 and $526, respectively</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the Senior Notes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396,597 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fair value of the Senior Notes, which are Level 2 measurements, was $385.7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discount and debt issuance costs related to our Senior Notes are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8619" w:type="dxa"/>
        <w:jc w:val="left"/>
        <w:tblInd w:w="0" w:type="dxa"/>
        <w:tblLayout w:type="fixed"/>
        <w:tblCellMar>
          <w:top w:w="28" w:type="dxa"/>
          <w:left w:w="28" w:type="dxa"/>
          <w:bottom w:w="28" w:type="dxa"/>
          <w:right w:w="28" w:type="dxa"/>
        </w:tblCellMar>
      </w:tblPr>
      <w:tblGrid>
        <w:gridCol w:w="1463"/>
        <w:gridCol w:w="1280"/>
        <w:gridCol w:w="129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our Senior Notes for the next five years subsequent to December 31, 2025 and thereafter are as follows (in thousands):</w:t>
      </w:r>
    </w:p>
    <w:tbl>
      <w:tblPr>
        <w:tblW w:w="8522" w:type="dxa"/>
        <w:jc w:val="left"/>
        <w:tblInd w:w="0" w:type="dxa"/>
        <w:tblLayout w:type="fixed"/>
        <w:tblCellMar>
          <w:top w:w="28" w:type="dxa"/>
          <w:left w:w="28" w:type="dxa"/>
          <w:bottom w:w="28" w:type="dxa"/>
          <w:right w:w="28" w:type="dxa"/>
        </w:tblCellMar>
      </w:tblPr>
      <w:tblGrid>
        <w:gridCol w:w="879"/>
        <w:gridCol w:w="774"/>
        <w:gridCol w:w="777"/>
        <w:gridCol w:w="315"/>
        <w:gridCol w:w="1233"/>
        <w:gridCol w:w="162"/>
        <w:gridCol w:w="109"/>
        <w:gridCol w:w="109"/>
        <w:gridCol w:w="109"/>
        <w:gridCol w:w="448"/>
        <w:gridCol w:w="1343"/>
        <w:gridCol w:w="234"/>
        <w:gridCol w:w="109"/>
        <w:gridCol w:w="109"/>
        <w:gridCol w:w="109"/>
        <w:gridCol w:w="109"/>
        <w:gridCol w:w="109"/>
        <w:gridCol w:w="263"/>
        <w:gridCol w:w="1030"/>
        <w:gridCol w:w="19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397,911 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lease obligations consist of operating and finance leases related to real estate, vehicles and equipment. The components of lease cost are as follows (in thousands):</w:t>
      </w:r>
    </w:p>
    <w:tbl>
      <w:tblPr>
        <w:tblW w:w="9816" w:type="dxa"/>
        <w:jc w:val="left"/>
        <w:tblInd w:w="0" w:type="dxa"/>
        <w:tblLayout w:type="fixed"/>
        <w:tblCellMar>
          <w:top w:w="28" w:type="dxa"/>
          <w:left w:w="28" w:type="dxa"/>
          <w:bottom w:w="28" w:type="dxa"/>
          <w:right w:w="28" w:type="dxa"/>
        </w:tblCellMar>
      </w:tblPr>
      <w:tblGrid>
        <w:gridCol w:w="885"/>
        <w:gridCol w:w="777"/>
        <w:gridCol w:w="783"/>
        <w:gridCol w:w="109"/>
        <w:gridCol w:w="924"/>
        <w:gridCol w:w="924"/>
        <w:gridCol w:w="926"/>
        <w:gridCol w:w="109"/>
        <w:gridCol w:w="109"/>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Facilities and grounds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Facilities and grounds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Facilities and grounds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leased assets</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Facilities and grounds expense is included within </w:t>
            </w:r>
            <w:r>
              <w:rPr>
                <w:rFonts w:ascii="Times New Roman;serif" w:hAnsi="Times New Roman;serif"/>
                <w:b w:val="false"/>
                <w:i/>
                <w:color w:val="000000"/>
                <w:sz w:val="18"/>
              </w:rPr>
              <w:t>Cost of service</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i/>
                <w:color w:val="000000"/>
                <w:sz w:val="18"/>
              </w:rPr>
              <w:t>General, administrative, and other</w:t>
            </w:r>
            <w:r>
              <w:rPr>
                <w:color w:val="000000"/>
              </w:rPr>
              <w:t xml:space="preserve"> </w:t>
            </w:r>
            <w:r>
              <w:rPr>
                <w:rFonts w:ascii="Times New Roman;serif" w:hAnsi="Times New Roman;serif"/>
                <w:b w:val="false"/>
                <w:color w:val="000000"/>
                <w:sz w:val="18"/>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Depreciation and amortization expense is included within </w:t>
            </w:r>
            <w:r>
              <w:rPr>
                <w:rFonts w:ascii="Times New Roman;serif" w:hAnsi="Times New Roman;serif"/>
                <w:b w:val="false"/>
                <w:i/>
                <w:color w:val="000000"/>
                <w:sz w:val="18"/>
              </w:rPr>
              <w:t>Field depreciation expense</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i/>
                <w:color w:val="000000"/>
                <w:sz w:val="18"/>
              </w:rPr>
              <w:t>General, administrative, and other</w:t>
            </w:r>
            <w:r>
              <w:rPr>
                <w:color w:val="000000"/>
              </w:rPr>
              <w:t xml:space="preserve"> </w:t>
            </w:r>
            <w:r>
              <w:rPr>
                <w:rFonts w:ascii="Times New Roman;serif" w:hAnsi="Times New Roman;serif"/>
                <w:b w:val="false"/>
                <w:color w:val="000000"/>
                <w:sz w:val="18"/>
              </w:rPr>
              <w:t>on our Consolidated Statements of Operations.</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our leases is as follows (in thousands):</w:t>
      </w:r>
    </w:p>
    <w:tbl>
      <w:tblPr>
        <w:tblW w:w="8760" w:type="dxa"/>
        <w:jc w:val="left"/>
        <w:tblInd w:w="0" w:type="dxa"/>
        <w:tblLayout w:type="fixed"/>
        <w:tblCellMar>
          <w:top w:w="28" w:type="dxa"/>
          <w:left w:w="28" w:type="dxa"/>
          <w:bottom w:w="28" w:type="dxa"/>
          <w:right w:w="28" w:type="dxa"/>
        </w:tblCellMar>
      </w:tblPr>
      <w:tblGrid>
        <w:gridCol w:w="1861"/>
        <w:gridCol w:w="1639"/>
        <w:gridCol w:w="1644"/>
        <w:gridCol w:w="109"/>
        <w:gridCol w:w="211"/>
        <w:gridCol w:w="616"/>
        <w:gridCol w:w="109"/>
        <w:gridCol w:w="109"/>
        <w:gridCol w:w="109"/>
        <w:gridCol w:w="109"/>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 included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leases are as follows (in thousands):</w:t>
      </w:r>
    </w:p>
    <w:tbl>
      <w:tblPr>
        <w:tblW w:w="8548" w:type="dxa"/>
        <w:jc w:val="left"/>
        <w:tblInd w:w="0" w:type="dxa"/>
        <w:tblLayout w:type="fixed"/>
        <w:tblCellMar>
          <w:top w:w="28" w:type="dxa"/>
          <w:left w:w="28" w:type="dxa"/>
          <w:bottom w:w="28" w:type="dxa"/>
          <w:right w:w="28" w:type="dxa"/>
        </w:tblCellMar>
      </w:tblPr>
      <w:tblGrid>
        <w:gridCol w:w="2242"/>
        <w:gridCol w:w="1971"/>
        <w:gridCol w:w="1982"/>
        <w:gridCol w:w="109"/>
        <w:gridCol w:w="211"/>
        <w:gridCol w:w="616"/>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10205" w:type="dxa"/>
        <w:jc w:val="left"/>
        <w:tblInd w:w="0" w:type="dxa"/>
        <w:tblLayout w:type="fixed"/>
        <w:tblCellMar>
          <w:top w:w="28" w:type="dxa"/>
          <w:left w:w="28" w:type="dxa"/>
          <w:bottom w:w="28" w:type="dxa"/>
          <w:right w:w="28" w:type="dxa"/>
        </w:tblCellMar>
      </w:tblPr>
      <w:tblGrid>
        <w:gridCol w:w="968"/>
        <w:gridCol w:w="818"/>
        <w:gridCol w:w="825"/>
        <w:gridCol w:w="109"/>
        <w:gridCol w:w="109"/>
        <w:gridCol w:w="109"/>
        <w:gridCol w:w="1256"/>
        <w:gridCol w:w="1256"/>
        <w:gridCol w:w="1259"/>
        <w:gridCol w:w="109"/>
        <w:gridCol w:w="109"/>
        <w:gridCol w:w="109"/>
        <w:gridCol w:w="283"/>
        <w:gridCol w:w="967"/>
        <w:gridCol w:w="145"/>
        <w:gridCol w:w="109"/>
        <w:gridCol w:w="109"/>
        <w:gridCol w:w="109"/>
        <w:gridCol w:w="280"/>
        <w:gridCol w:w="958"/>
        <w:gridCol w:w="209"/>
      </w:tblGrid>
      <w:tr>
        <w:trPr/>
        <w:tc>
          <w:tcPr>
            <w:tcW w:w="96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average lease terms and discount rates at December 31, 2025 are as follows:</w:t>
      </w:r>
    </w:p>
    <w:tbl>
      <w:tblPr>
        <w:tblW w:w="8159" w:type="dxa"/>
        <w:jc w:val="left"/>
        <w:tblInd w:w="0" w:type="dxa"/>
        <w:tblLayout w:type="fixed"/>
        <w:tblCellMar>
          <w:top w:w="28" w:type="dxa"/>
          <w:left w:w="28" w:type="dxa"/>
          <w:bottom w:w="28" w:type="dxa"/>
          <w:right w:w="28" w:type="dxa"/>
        </w:tblCellMar>
      </w:tblPr>
      <w:tblGrid>
        <w:gridCol w:w="527"/>
        <w:gridCol w:w="462"/>
        <w:gridCol w:w="466"/>
        <w:gridCol w:w="109"/>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remaining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future lease payments for non-cancelable operating and finance leases at December 31, 2025 are as follows (in thousands):</w:t>
      </w:r>
    </w:p>
    <w:tbl>
      <w:tblPr>
        <w:tblW w:w="6522" w:type="dxa"/>
        <w:jc w:val="left"/>
        <w:tblInd w:w="0" w:type="dxa"/>
        <w:tblLayout w:type="fixed"/>
        <w:tblCellMar>
          <w:top w:w="28" w:type="dxa"/>
          <w:left w:w="28" w:type="dxa"/>
          <w:bottom w:w="28" w:type="dxa"/>
          <w:right w:w="28" w:type="dxa"/>
        </w:tblCellMar>
      </w:tblPr>
      <w:tblGrid>
        <w:gridCol w:w="1432"/>
        <w:gridCol w:w="1261"/>
        <w:gridCol w:w="1266"/>
        <w:gridCol w:w="109"/>
        <w:gridCol w:w="211"/>
        <w:gridCol w:w="721"/>
        <w:gridCol w:w="109"/>
        <w:gridCol w:w="109"/>
        <w:gridCol w:w="109"/>
        <w:gridCol w:w="109"/>
        <w:gridCol w:w="211"/>
        <w:gridCol w:w="721"/>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payments due:</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 including HFS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At</w:t>
      </w:r>
      <w:r>
        <w:rPr>
          <w:color w:val="000000"/>
        </w:rPr>
        <w:t xml:space="preserve"> </w:t>
      </w:r>
      <w:r>
        <w:rPr>
          <w:rFonts w:ascii="Times New Roman;serif" w:hAnsi="Times New Roman;serif"/>
          <w:b w:val="false"/>
          <w:color w:val="000000"/>
          <w:sz w:val="20"/>
        </w:rPr>
        <w:t>December 31, 2025,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Non-Compete, Consulting, and Employment Agreements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various non-compete agreements with former owners and employees. These agreements are generally for one to ten years and provide for periodic future payments over the term of the agreements.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various consulting agreements with former owners of businesses we have acquired. Payments for such agreements are generally not made in advance. These agreements are generally for one to ten years and provide for bi-weekly or monthly payments.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employment agreements with our executive officers. These agreements are generally for two to five years and provide for participation in various incentive compensation arrangements. These agreements generally renew automatically on an annual basis after their initial term has expired.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the maximum estimated future cash commitments under these agreements with remaining commitment terms, and with original terms of more than one year, are as follows (in thousands):</w:t>
      </w:r>
    </w:p>
    <w:tbl>
      <w:tblPr>
        <w:tblW w:w="7933" w:type="dxa"/>
        <w:jc w:val="left"/>
        <w:tblInd w:w="0" w:type="dxa"/>
        <w:tblLayout w:type="fixed"/>
        <w:tblCellMar>
          <w:top w:w="28" w:type="dxa"/>
          <w:left w:w="28" w:type="dxa"/>
          <w:bottom w:w="28" w:type="dxa"/>
          <w:right w:w="28" w:type="dxa"/>
        </w:tblCellMar>
      </w:tblPr>
      <w:tblGrid>
        <w:gridCol w:w="879"/>
        <w:gridCol w:w="774"/>
        <w:gridCol w:w="777"/>
        <w:gridCol w:w="267"/>
        <w:gridCol w:w="780"/>
        <w:gridCol w:w="139"/>
        <w:gridCol w:w="109"/>
        <w:gridCol w:w="109"/>
        <w:gridCol w:w="109"/>
        <w:gridCol w:w="249"/>
        <w:gridCol w:w="731"/>
        <w:gridCol w:w="130"/>
        <w:gridCol w:w="109"/>
        <w:gridCol w:w="109"/>
        <w:gridCol w:w="109"/>
        <w:gridCol w:w="280"/>
        <w:gridCol w:w="819"/>
        <w:gridCol w:w="146"/>
        <w:gridCol w:w="109"/>
        <w:gridCol w:w="109"/>
        <w:gridCol w:w="109"/>
        <w:gridCol w:w="211"/>
        <w:gridCol w:w="61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Consulting</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Employment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In connection with Mr. Payne’s transition from Executive Chairman of the Board of Directors to serving as a special advisor to the Board of Directors, his employment agreement with the Company was terminated and he entered into a Transition Agreement, dated effective February 22, 2024.</w:t>
            </w:r>
          </w:p>
        </w:tc>
      </w:tr>
    </w:tbl>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Defined Contribution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sponsor a defined contribution plan, a 401K plan, for the benefit of our employees. Matching contributions and plan administrative expenses totaled $3.1 million, $2.9 million, and $2.8 million for the year ended December 31, 2025, 2024 and 2023, respectively. We do not offer any post-retirement or post-employment benefits.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Denning v. Carriage Services, Inc., et al.,</w:t>
      </w:r>
      <w:r>
        <w:rPr>
          <w:color w:val="000000"/>
        </w:rPr>
        <w:t xml:space="preserve"> </w:t>
      </w:r>
      <w:r>
        <w:rPr>
          <w:rFonts w:ascii="Times New Roman;serif" w:hAnsi="Times New Roman;serif"/>
          <w:b w:val="false"/>
          <w:color w:val="000000"/>
          <w:sz w:val="20"/>
        </w:rPr>
        <w:t>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December 31, 2025,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Frost v. Rolling Hills Memorial Park</w:t>
      </w:r>
      <w:r>
        <w:rPr>
          <w:rFonts w:ascii="Times New Roman;serif" w:hAnsi="Times New Roman;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December 31, 2025,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U.S. income from continuing operations before income tax expense was $70.3 million, $50.1 million, and $46.4 million for the year ended December 31, 2025, 2024, and 2023, respectively. The provision for income taxes consisted of the following (in thousands):</w:t>
      </w:r>
      <w:r>
        <w:rPr>
          <w:color w:val="000000"/>
        </w:rPr>
        <w:t> </w:t>
      </w:r>
    </w:p>
    <w:tbl>
      <w:tblPr>
        <w:tblW w:w="6641" w:type="dxa"/>
        <w:jc w:val="left"/>
        <w:tblInd w:w="0" w:type="dxa"/>
        <w:tblLayout w:type="fixed"/>
        <w:tblCellMar>
          <w:top w:w="28" w:type="dxa"/>
          <w:left w:w="28" w:type="dxa"/>
          <w:bottom w:w="28" w:type="dxa"/>
          <w:right w:w="28" w:type="dxa"/>
        </w:tblCellMar>
      </w:tblPr>
      <w:tblGrid>
        <w:gridCol w:w="1018"/>
        <w:gridCol w:w="894"/>
        <w:gridCol w:w="907"/>
        <w:gridCol w:w="211"/>
        <w:gridCol w:w="721"/>
        <w:gridCol w:w="109"/>
        <w:gridCol w:w="109"/>
        <w:gridCol w:w="109"/>
        <w:gridCol w:w="109"/>
        <w:gridCol w:w="211"/>
        <w:gridCol w:w="721"/>
        <w:gridCol w:w="109"/>
        <w:gridCol w:w="109"/>
        <w:gridCol w:w="109"/>
        <w:gridCol w:w="109"/>
        <w:gridCol w:w="211"/>
        <w:gridCol w:w="721"/>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(benefit)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(benefit)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A reconciliation of income taxes calculated at the U.S. federal statutory rate to those reflected in the Consolidated Statements of Operations is as follows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149"/>
        <w:gridCol w:w="740"/>
        <w:gridCol w:w="742"/>
        <w:gridCol w:w="211"/>
        <w:gridCol w:w="721"/>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376"/>
        <w:gridCol w:w="155"/>
      </w:tblGrid>
      <w:tr>
        <w:trPr/>
        <w:tc>
          <w:tcPr>
            <w:tcW w:w="11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state income taxes,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non-taxable or non-deductible expenses,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162(m) Officers' Compensation Limitation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performance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and impairment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and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jurisdictions. In 2025, state and local income taxes in California comprise the majority of the effect of state income taxes, net of federal benefit category. In 2024, and 2023, state and local income taxes in California and Virginia comprise the majority of the effect of state income taxes, net of federal benefit category. Income taxes paid by jurisdiction is a follows (in thousands):</w:t>
      </w:r>
    </w:p>
    <w:tbl>
      <w:tblPr>
        <w:tblW w:w="5892" w:type="dxa"/>
        <w:jc w:val="left"/>
        <w:tblInd w:w="0" w:type="dxa"/>
        <w:tblLayout w:type="fixed"/>
        <w:tblCellMar>
          <w:top w:w="28" w:type="dxa"/>
          <w:left w:w="28" w:type="dxa"/>
          <w:bottom w:w="28" w:type="dxa"/>
          <w:right w:w="28" w:type="dxa"/>
        </w:tblCellMar>
      </w:tblPr>
      <w:tblGrid>
        <w:gridCol w:w="750"/>
        <w:gridCol w:w="659"/>
        <w:gridCol w:w="661"/>
        <w:gridCol w:w="211"/>
        <w:gridCol w:w="721"/>
        <w:gridCol w:w="109"/>
        <w:gridCol w:w="109"/>
        <w:gridCol w:w="109"/>
        <w:gridCol w:w="109"/>
        <w:gridCol w:w="211"/>
        <w:gridCol w:w="721"/>
        <w:gridCol w:w="109"/>
        <w:gridCol w:w="109"/>
        <w:gridCol w:w="109"/>
        <w:gridCol w:w="109"/>
        <w:gridCol w:w="211"/>
        <w:gridCol w:w="72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California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Virginia</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All other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ptos Narrow;sans-serif" w:hAnsi="Aptos Narrow;sans-serif"/>
                <w:b w:val="false"/>
                <w:color w:val="000000"/>
                <w:sz w:val="22"/>
              </w:rPr>
            </w:pPr>
            <w:r>
              <w:rPr>
                <w:rFonts w:ascii="Aptos Narrow;sans-serif" w:hAnsi="Aptos Narrow;sans-serif"/>
                <w:b w:val="false"/>
                <w:color w:val="000000"/>
                <w:sz w:val="22"/>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(1) The blank cells indicate that the amount of income tax paid during the year is either immaterial or does not meet the 5% disaggregation threshold</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from total operations that give rise to significant deferred tax assets and liabilities are as follows (in thousands):</w:t>
      </w:r>
    </w:p>
    <w:tbl>
      <w:tblPr>
        <w:tblW w:w="6193" w:type="dxa"/>
        <w:jc w:val="left"/>
        <w:tblInd w:w="0" w:type="dxa"/>
        <w:tblLayout w:type="fixed"/>
        <w:tblCellMar>
          <w:top w:w="28" w:type="dxa"/>
          <w:left w:w="28" w:type="dxa"/>
          <w:bottom w:w="28" w:type="dxa"/>
          <w:right w:w="28" w:type="dxa"/>
        </w:tblCellMar>
      </w:tblPr>
      <w:tblGrid>
        <w:gridCol w:w="1262"/>
        <w:gridCol w:w="1107"/>
        <w:gridCol w:w="1111"/>
        <w:gridCol w:w="211"/>
        <w:gridCol w:w="796"/>
        <w:gridCol w:w="109"/>
        <w:gridCol w:w="109"/>
        <w:gridCol w:w="109"/>
        <w:gridCol w:w="109"/>
        <w:gridCol w:w="211"/>
        <w:gridCol w:w="796"/>
        <w:gridCol w:w="109"/>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limitation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non-compete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deferred tax assets and liabilities, along with related valuation allowances, are classified as non-current on our Consolidated Balance Sheets at December 31, 2025 and 2024. We record a valuation allowance to reflect the estimated amount of deferred tax assets for which realization is uncertain. Management reviews the valuation allowance at the end of each quarter and makes adjustments if it is determined that it is more-likely-than not that the tax benefits will be realized. We recognized an immaterial net decrease in our valuation allowance during the years ended December 31, 2025 and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state reporting purposes, we have $8.7 million of net operating loss carryforwards that will expire between 2026 and 2043, if not utilized. Based on management’s assessment of the various state net operating losses, it was determined that it is more-likely-than not that we will be able to realize tax benefits on some portion of the amount of the state losses. The valuation allowance at December 31, 2025 was attributable to the deferred tax asset related to a portion of the state operating losses.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Sheets.</w:t>
      </w:r>
      <w:r>
        <w:rPr>
          <w:color w:val="211D1E"/>
        </w:rPr>
        <w:t xml:space="preserve"> </w:t>
      </w:r>
      <w:r>
        <w:rPr>
          <w:rFonts w:ascii="Times New Roman;serif" w:hAnsi="Times New Roman;serif"/>
          <w:b w:val="false"/>
          <w:color w:val="211D1E"/>
          <w:sz w:val="20"/>
        </w:rPr>
        <w:t>The deferred tax assets recognized for those net operating losses (</w:t>
      </w:r>
      <w:r>
        <w:rPr>
          <w:color w:val="000000"/>
        </w:rPr>
        <w:t>“</w:t>
      </w:r>
      <w:r>
        <w:rPr>
          <w:rFonts w:ascii="Times New Roman;serif" w:hAnsi="Times New Roman;serif"/>
          <w:b w:val="false"/>
          <w:color w:val="211D1E"/>
          <w:sz w:val="20"/>
        </w:rPr>
        <w:t>NOLs</w:t>
      </w:r>
      <w:r>
        <w:rPr>
          <w:color w:val="000000"/>
        </w:rPr>
        <w:t>”</w:t>
      </w:r>
      <w:r>
        <w:rPr>
          <w:rFonts w:ascii="Times New Roman;serif" w:hAnsi="Times New Roman;serif"/>
          <w:b w:val="false"/>
          <w:color w:val="000000"/>
          <w:sz w:val="20"/>
        </w:rPr>
        <w:t>)</w:t>
      </w:r>
      <w:r>
        <w:rPr>
          <w:color w:val="211D1E"/>
        </w:rPr>
        <w:t xml:space="preserve"> </w:t>
      </w:r>
      <w:r>
        <w:rPr>
          <w:rFonts w:ascii="Times New Roman;serif" w:hAnsi="Times New Roman;serif"/>
          <w:b w:val="false"/>
          <w:color w:val="211D1E"/>
          <w:sz w:val="20"/>
        </w:rPr>
        <w:t xml:space="preserve">are presented net of these unrecognized tax benefits.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Company’s unrecognized tax benefit for uncertain tax positions primarily relates to the uncertainty of receiving audit protection for revenue recognition of cemetery property for the benefit derived from carrying back losses generated in 2018 to tax years with a higher effective tax rate than the current 21.0% rate. Our unrecognized tax benefit for the years ended December 31, 2025 and 2024 was $3.6 million and $3.5 million,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 is as follows (in thousands):</w:t>
      </w:r>
    </w:p>
    <w:tbl>
      <w:tblPr>
        <w:tblW w:w="7560" w:type="dxa"/>
        <w:jc w:val="left"/>
        <w:tblInd w:w="0" w:type="dxa"/>
        <w:tblLayout w:type="fixed"/>
        <w:tblCellMar>
          <w:top w:w="28" w:type="dxa"/>
          <w:left w:w="28" w:type="dxa"/>
          <w:bottom w:w="28" w:type="dxa"/>
          <w:right w:w="28" w:type="dxa"/>
        </w:tblCellMar>
      </w:tblPr>
      <w:tblGrid>
        <w:gridCol w:w="1429"/>
        <w:gridCol w:w="1254"/>
        <w:gridCol w:w="1261"/>
        <w:gridCol w:w="211"/>
        <w:gridCol w:w="616"/>
        <w:gridCol w:w="109"/>
        <w:gridCol w:w="109"/>
        <w:gridCol w:w="109"/>
        <w:gridCol w:w="109"/>
        <w:gridCol w:w="211"/>
        <w:gridCol w:w="616"/>
        <w:gridCol w:w="109"/>
        <w:gridCol w:w="109"/>
        <w:gridCol w:w="109"/>
        <w:gridCol w:w="109"/>
        <w:gridCol w:w="211"/>
        <w:gridCol w:w="616"/>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 tax positions in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 tax positions in current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total unrecognized tax benefits that, if recognized, would affect our effective tax rates were $3.6 million, $3.5 million, and $3.4 million as of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accrued interest of $0.2 million during 2025 and in total, as of December 31, 2025, recognized a liability related to the unrecognized tax benefit noted above for interest of $0.5 million. During 2024, we accrued interest of $0.1 million and in total, as of December 31, 2024, recognized a liability for interest of $0.4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tax years 2013 to 2016, 2018, and 2022 to current are subject to examination by taxing authorities. In 2017, we filed amended returns for the tax years ending December 31, 2013, 2014, 2015, resulting in $1.9 million in refunds. These amended returns were selected for a limited scope audit. Additionally, losses incurred in the tax years ending December 31, 2018, and 2019 were carried back to the tax years 2015 and 2016, generating refunds exceeding $5.0 million, which require Joint Committee approval. In late 2024, the refunds for the tax years 2013, 2014, and 2015 were received; however, the Company continues to be under examination.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17.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Authorization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issue 80,000,000 shares of common stock, $0.01 per share par value. We had 27,378,870 and 26,881,355 shares issued and 15,751,052 and 15,253,537 shares outstanding, net of 11,627,818 shares held in treasury at par, at December 31, 2025 and 2024,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Stock Based Compensation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had two stock benefits plans in effect under which stock, restricted stock, stock options, and performance awards have been granted or remain outstanding: the Second Amended and Restated 2006 Long-Term Incentive Plan (as amended, the “Amended and Restated 2006 Plan”) and the 2017 Omnibus Incentive Plan (as amended, the “2017 Plan”). The Amended and Restated 2006 Plan was terminated upon the approval of the 2017 Plan at the annual stockholders meeting on May 17, 2017. The 2017 Plan expires on May 17, 2027. All stock-based plans are administered by the Compensation Committee appointed by our Board of Directors (the “Board”).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2,740,182 shares available to issue under our 2017 Plan. The termination of the Amended and Restated 2006 Plan does not affect the awards previously issued and outstanding.</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activity is as follows (in thousands, except shares): </w:t>
      </w:r>
    </w:p>
    <w:tbl>
      <w:tblPr>
        <w:tblW w:w="8853" w:type="dxa"/>
        <w:jc w:val="left"/>
        <w:tblInd w:w="0" w:type="dxa"/>
        <w:tblLayout w:type="fixed"/>
        <w:tblCellMar>
          <w:top w:w="28" w:type="dxa"/>
          <w:left w:w="28" w:type="dxa"/>
          <w:bottom w:w="28" w:type="dxa"/>
          <w:right w:w="28" w:type="dxa"/>
        </w:tblCellMar>
      </w:tblPr>
      <w:tblGrid>
        <w:gridCol w:w="810"/>
        <w:gridCol w:w="711"/>
        <w:gridCol w:w="714"/>
        <w:gridCol w:w="413"/>
        <w:gridCol w:w="413"/>
        <w:gridCol w:w="211"/>
        <w:gridCol w:w="211"/>
        <w:gridCol w:w="616"/>
        <w:gridCol w:w="109"/>
        <w:gridCol w:w="109"/>
        <w:gridCol w:w="109"/>
        <w:gridCol w:w="109"/>
        <w:gridCol w:w="413"/>
        <w:gridCol w:w="413"/>
        <w:gridCol w:w="211"/>
        <w:gridCol w:w="211"/>
        <w:gridCol w:w="616"/>
        <w:gridCol w:w="109"/>
        <w:gridCol w:w="109"/>
        <w:gridCol w:w="109"/>
        <w:gridCol w:w="109"/>
        <w:gridCol w:w="413"/>
        <w:gridCol w:w="413"/>
        <w:gridCol w:w="211"/>
        <w:gridCol w:w="211"/>
        <w:gridCol w:w="61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Returned for payroll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Restricted stock granted during the year ended December 31, 2025, 2024 and 2023 will vest over a three-year period, if the employee has remained continuously employed by us during the vesting period, at a weighted average stock price of $41.54, $24.48 and $32.63, respectively. </w:t>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A summary of the number of unvested restricted stock awards and their weighted average grant date fair values during the year ended December 31, 2025 is presented in the table below:</w:t>
      </w:r>
      <w:r>
        <w:rPr>
          <w:color w:val="000000"/>
        </w:rPr>
        <w:t> </w:t>
      </w:r>
    </w:p>
    <w:tbl>
      <w:tblPr>
        <w:tblW w:w="5114" w:type="dxa"/>
        <w:jc w:val="left"/>
        <w:tblInd w:w="0" w:type="dxa"/>
        <w:tblLayout w:type="fixed"/>
        <w:tblCellMar>
          <w:top w:w="28" w:type="dxa"/>
          <w:left w:w="28" w:type="dxa"/>
          <w:bottom w:w="28" w:type="dxa"/>
          <w:right w:w="28" w:type="dxa"/>
        </w:tblCellMar>
      </w:tblPr>
      <w:tblGrid>
        <w:gridCol w:w="792"/>
        <w:gridCol w:w="697"/>
        <w:gridCol w:w="700"/>
        <w:gridCol w:w="413"/>
        <w:gridCol w:w="413"/>
        <w:gridCol w:w="211"/>
        <w:gridCol w:w="109"/>
        <w:gridCol w:w="109"/>
        <w:gridCol w:w="109"/>
        <w:gridCol w:w="335"/>
        <w:gridCol w:w="980"/>
        <w:gridCol w:w="246"/>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Restricted stock awards</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w:t>
              <w:br/>
              <w:t>Fair Value</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recorded stock-based compensation expense, which is included in </w:t>
      </w:r>
      <w:r>
        <w:rPr>
          <w:rFonts w:ascii="Times New Roman;serif" w:hAnsi="Times New Roman;serif"/>
          <w:b w:val="false"/>
          <w:i/>
          <w:color w:val="000000"/>
          <w:sz w:val="20"/>
        </w:rPr>
        <w:t xml:space="preserve">Regional and unallocated funeral and cemetery costs </w:t>
      </w:r>
      <w:r>
        <w:rPr>
          <w:rFonts w:ascii="Times New Roman;serif" w:hAnsi="Times New Roman;serif"/>
          <w:b w:val="false"/>
          <w:color w:val="000000"/>
          <w:sz w:val="20"/>
        </w:rPr>
        <w:t xml:space="preserve">and </w:t>
      </w: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 xml:space="preserve">expenses, for restricted stock awards of $3.3 million, $2.0 million and $1.4 million for the years ended December 31, 2025, 2024 and 2023,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$7.6 million of total unrecognized compensation costs related to unvested restricted stock awards, which are expected to be recognized over a weighted average period of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 grants and cancellations are as follows (in thousands, except shares): </w:t>
      </w:r>
    </w:p>
    <w:tbl>
      <w:tblPr>
        <w:tblW w:w="7547" w:type="dxa"/>
        <w:jc w:val="left"/>
        <w:tblInd w:w="0" w:type="dxa"/>
        <w:tblLayout w:type="fixed"/>
        <w:tblCellMar>
          <w:top w:w="28" w:type="dxa"/>
          <w:left w:w="28" w:type="dxa"/>
          <w:bottom w:w="28" w:type="dxa"/>
          <w:right w:w="28" w:type="dxa"/>
        </w:tblCellMar>
      </w:tblPr>
      <w:tblGrid>
        <w:gridCol w:w="342"/>
        <w:gridCol w:w="300"/>
        <w:gridCol w:w="304"/>
        <w:gridCol w:w="360"/>
        <w:gridCol w:w="361"/>
        <w:gridCol w:w="211"/>
        <w:gridCol w:w="245"/>
        <w:gridCol w:w="543"/>
        <w:gridCol w:w="127"/>
        <w:gridCol w:w="109"/>
        <w:gridCol w:w="109"/>
        <w:gridCol w:w="109"/>
        <w:gridCol w:w="413"/>
        <w:gridCol w:w="413"/>
        <w:gridCol w:w="211"/>
        <w:gridCol w:w="211"/>
        <w:gridCol w:w="616"/>
        <w:gridCol w:w="109"/>
        <w:gridCol w:w="109"/>
        <w:gridCol w:w="109"/>
        <w:gridCol w:w="109"/>
        <w:gridCol w:w="413"/>
        <w:gridCol w:w="413"/>
        <w:gridCol w:w="211"/>
        <w:gridCol w:w="211"/>
        <w:gridCol w:w="616"/>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6"/>
              </w:rPr>
            </w:pPr>
            <w:r>
              <w:rPr>
                <w:rFonts w:ascii="Times New Roman;serif" w:hAnsi="Times New Roman;serif"/>
                <w:b w:val="false"/>
                <w:color w:val="000000"/>
                <w:sz w:val="16"/>
              </w:rPr>
              <w:t>Stock options granted during the years ended December 31, 2024 and 2023 had a weighted average price of $24.48 and $32.69, respectively. The fair value of these options was calculated using the Black-Scholes option pricing model. The options granted in 2024 and 2023 vest over a three-year period and have a ten-year term.</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stock option activity is as follows (in thousands, except shares): </w:t>
      </w:r>
    </w:p>
    <w:tbl>
      <w:tblPr>
        <w:tblW w:w="8657" w:type="dxa"/>
        <w:jc w:val="left"/>
        <w:tblInd w:w="0" w:type="dxa"/>
        <w:tblLayout w:type="fixed"/>
        <w:tblCellMar>
          <w:top w:w="28" w:type="dxa"/>
          <w:left w:w="28" w:type="dxa"/>
          <w:bottom w:w="28" w:type="dxa"/>
          <w:right w:w="28" w:type="dxa"/>
        </w:tblCellMar>
      </w:tblPr>
      <w:tblGrid>
        <w:gridCol w:w="869"/>
        <w:gridCol w:w="764"/>
        <w:gridCol w:w="766"/>
        <w:gridCol w:w="413"/>
        <w:gridCol w:w="413"/>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46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Returned for option price</w:t>
            </w:r>
            <w:r>
              <w:rPr>
                <w:rFonts w:ascii="Times New Roman;serif" w:hAnsi="Times New Roman;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Returned for payroll taxes</w:t>
            </w:r>
            <w:r>
              <w:rPr>
                <w:rFonts w:ascii="Times New Roman;serif" w:hAnsi="Times New Roman;serif"/>
                <w:b w:val="false"/>
                <w:color w:val="000000"/>
                <w:sz w:val="13"/>
              </w:rPr>
              <w:t>(3)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6"/>
              </w:rPr>
            </w:pPr>
            <w:r>
              <w:rPr>
                <w:rFonts w:ascii="Times New Roman;serif" w:hAnsi="Times New Roman;serif"/>
                <w:b w:val="false"/>
                <w:color w:val="000000"/>
                <w:sz w:val="16"/>
              </w:rPr>
              <w:t>Stock options exercised during the years ended December 31, 2025, 2024, and 2023 had a weighted average exercise price of $27.46, $26.12 and $23.98,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are granted with an exercise price equal to the closing price of our common stock on the date of grant. All of the options granted and outstanding under this plan have either a seven or ten-year term. We utilized the Black-Scholes option pricing model for estimating the fair value of our stock options. These models allow for the use of a range of assumptions related to volatility, risk-free interest rate, expected holding period and dividend yield. The expected volatility utilized in these valuation models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options granted using the Black-Scholes option pricing model was estimated on the date of grant with the following assumptions:</w:t>
      </w:r>
    </w:p>
    <w:tbl>
      <w:tblPr>
        <w:tblW w:w="6734" w:type="dxa"/>
        <w:jc w:val="left"/>
        <w:tblInd w:w="0" w:type="dxa"/>
        <w:tblLayout w:type="fixed"/>
        <w:tblCellMar>
          <w:top w:w="28" w:type="dxa"/>
          <w:left w:w="28" w:type="dxa"/>
          <w:bottom w:w="28" w:type="dxa"/>
          <w:right w:w="28" w:type="dxa"/>
        </w:tblCellMar>
      </w:tblPr>
      <w:tblGrid>
        <w:gridCol w:w="989"/>
        <w:gridCol w:w="864"/>
        <w:gridCol w:w="876"/>
        <w:gridCol w:w="109"/>
        <w:gridCol w:w="109"/>
        <w:gridCol w:w="109"/>
        <w:gridCol w:w="109"/>
        <w:gridCol w:w="109"/>
        <w:gridCol w:w="307"/>
        <w:gridCol w:w="309"/>
        <w:gridCol w:w="599"/>
        <w:gridCol w:w="183"/>
        <w:gridCol w:w="183"/>
        <w:gridCol w:w="183"/>
        <w:gridCol w:w="307"/>
        <w:gridCol w:w="309"/>
        <w:gridCol w:w="59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holding period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A summary of the number of stock options and their weighted average exercise prices during the year ended December 31, 2025 is presented in the table below (shares in thousands):</w:t>
      </w:r>
      <w:r>
        <w:rPr>
          <w:color w:val="000000"/>
        </w:rPr>
        <w:t> </w:t>
      </w:r>
    </w:p>
    <w:tbl>
      <w:tblPr>
        <w:tblW w:w="4564" w:type="dxa"/>
        <w:jc w:val="left"/>
        <w:tblInd w:w="0" w:type="dxa"/>
        <w:tblLayout w:type="fixed"/>
        <w:tblCellMar>
          <w:top w:w="28" w:type="dxa"/>
          <w:left w:w="28" w:type="dxa"/>
          <w:bottom w:w="28" w:type="dxa"/>
          <w:right w:w="28" w:type="dxa"/>
        </w:tblCellMar>
      </w:tblPr>
      <w:tblGrid>
        <w:gridCol w:w="880"/>
        <w:gridCol w:w="772"/>
        <w:gridCol w:w="777"/>
        <w:gridCol w:w="308"/>
        <w:gridCol w:w="308"/>
        <w:gridCol w:w="211"/>
        <w:gridCol w:w="109"/>
        <w:gridCol w:w="109"/>
        <w:gridCol w:w="109"/>
        <w:gridCol w:w="211"/>
        <w:gridCol w:w="61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Wtd. Avg.</w:t>
              <w:br/>
              <w:t>Ex. Price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A summary of the number of stock options and their weighted average grant date fair values during the year ended December 31, 2025 is presented in the table below (shares in thousands):</w:t>
      </w:r>
      <w:r>
        <w:rPr>
          <w:color w:val="000000"/>
        </w:rPr>
        <w:t> </w:t>
      </w:r>
    </w:p>
    <w:tbl>
      <w:tblPr>
        <w:tblW w:w="4413" w:type="dxa"/>
        <w:jc w:val="left"/>
        <w:tblInd w:w="0" w:type="dxa"/>
        <w:tblLayout w:type="fixed"/>
        <w:tblCellMar>
          <w:top w:w="28" w:type="dxa"/>
          <w:left w:w="28" w:type="dxa"/>
          <w:bottom w:w="28" w:type="dxa"/>
          <w:right w:w="28" w:type="dxa"/>
        </w:tblCellMar>
      </w:tblPr>
      <w:tblGrid>
        <w:gridCol w:w="853"/>
        <w:gridCol w:w="748"/>
        <w:gridCol w:w="753"/>
        <w:gridCol w:w="269"/>
        <w:gridCol w:w="271"/>
        <w:gridCol w:w="211"/>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Wtd. Avg.</w:t>
              <w:br/>
              <w:t>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A summary of the intrinsic value of stock options exercised and the fair value of stock options vested for the three years ended December 31, 2025 is presented in the table below (in thousands):</w:t>
      </w:r>
      <w:r>
        <w:rPr>
          <w:color w:val="000000"/>
        </w:rPr>
        <w:t> </w:t>
      </w:r>
    </w:p>
    <w:tbl>
      <w:tblPr>
        <w:tblW w:w="6176" w:type="dxa"/>
        <w:jc w:val="left"/>
        <w:tblInd w:w="0" w:type="dxa"/>
        <w:tblLayout w:type="fixed"/>
        <w:tblCellMar>
          <w:top w:w="28" w:type="dxa"/>
          <w:left w:w="28" w:type="dxa"/>
          <w:bottom w:w="28" w:type="dxa"/>
          <w:right w:w="28" w:type="dxa"/>
        </w:tblCellMar>
      </w:tblPr>
      <w:tblGrid>
        <w:gridCol w:w="1076"/>
        <w:gridCol w:w="945"/>
        <w:gridCol w:w="948"/>
        <w:gridCol w:w="211"/>
        <w:gridCol w:w="616"/>
        <w:gridCol w:w="109"/>
        <w:gridCol w:w="109"/>
        <w:gridCol w:w="109"/>
        <w:gridCol w:w="109"/>
        <w:gridCol w:w="211"/>
        <w:gridCol w:w="466"/>
        <w:gridCol w:w="109"/>
        <w:gridCol w:w="109"/>
        <w:gridCol w:w="109"/>
        <w:gridCol w:w="109"/>
        <w:gridCol w:w="211"/>
        <w:gridCol w:w="46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Years Ended December 31, </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of stock options vested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further describes our outstanding stock options at December 31, 2025:</w:t>
      </w:r>
    </w:p>
    <w:tbl>
      <w:tblPr>
        <w:tblW w:w="10939" w:type="dxa"/>
        <w:jc w:val="left"/>
        <w:tblInd w:w="0" w:type="dxa"/>
        <w:tblLayout w:type="fixed"/>
        <w:tblCellMar>
          <w:top w:w="28" w:type="dxa"/>
          <w:left w:w="28" w:type="dxa"/>
          <w:bottom w:w="28" w:type="dxa"/>
          <w:right w:w="28" w:type="dxa"/>
        </w:tblCellMar>
      </w:tblPr>
      <w:tblGrid>
        <w:gridCol w:w="317"/>
        <w:gridCol w:w="239"/>
        <w:gridCol w:w="240"/>
        <w:gridCol w:w="466"/>
        <w:gridCol w:w="360"/>
        <w:gridCol w:w="361"/>
        <w:gridCol w:w="109"/>
        <w:gridCol w:w="109"/>
        <w:gridCol w:w="109"/>
        <w:gridCol w:w="510"/>
        <w:gridCol w:w="510"/>
        <w:gridCol w:w="511"/>
        <w:gridCol w:w="109"/>
        <w:gridCol w:w="109"/>
        <w:gridCol w:w="109"/>
        <w:gridCol w:w="345"/>
        <w:gridCol w:w="1007"/>
        <w:gridCol w:w="179"/>
        <w:gridCol w:w="109"/>
        <w:gridCol w:w="109"/>
        <w:gridCol w:w="109"/>
        <w:gridCol w:w="501"/>
        <w:gridCol w:w="325"/>
        <w:gridCol w:w="326"/>
        <w:gridCol w:w="109"/>
        <w:gridCol w:w="109"/>
        <w:gridCol w:w="109"/>
        <w:gridCol w:w="510"/>
        <w:gridCol w:w="510"/>
        <w:gridCol w:w="511"/>
        <w:gridCol w:w="109"/>
        <w:gridCol w:w="109"/>
        <w:gridCol w:w="109"/>
        <w:gridCol w:w="338"/>
        <w:gridCol w:w="989"/>
        <w:gridCol w:w="249"/>
      </w:tblGrid>
      <w:tr>
        <w:trPr/>
        <w:tc>
          <w:tcPr>
            <w:tcW w:w="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Exercisable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Actual Ranges of Exercise Prices</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Outstanding at 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Exercisable at 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Exercise Price</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$18.02 - $18.02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$20.06 - $26.54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$31.58 - $31.58</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$32.69 - $49.48</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385,246 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$18.02 - $49.48</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997,398 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556,399 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of the outstanding and exercisable stock options were both $10.0 million and $5.3 million, respectively, at December 31, 2025. We had $3.0 million of unrecognized compensation cost related to unvested stock options expected to be recognized over a weighted average period of 2.1 years at December 31, 2025.</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recorded stock-based compensation expense, which is included in </w:t>
      </w:r>
      <w:r>
        <w:rPr>
          <w:rFonts w:ascii="Times New Roman;serif" w:hAnsi="Times New Roman;serif"/>
          <w:b w:val="false"/>
          <w:i/>
          <w:color w:val="000000"/>
          <w:sz w:val="20"/>
        </w:rPr>
        <w:t xml:space="preserve">Regional and unallocated funeral and cemetery costs </w:t>
      </w:r>
      <w:r>
        <w:rPr>
          <w:rFonts w:ascii="Times New Roman;serif" w:hAnsi="Times New Roman;serif"/>
          <w:b w:val="false"/>
          <w:color w:val="000000"/>
          <w:sz w:val="20"/>
        </w:rPr>
        <w:t xml:space="preserve">and </w:t>
      </w: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 xml:space="preserve">expenses, for stock options $2.9 million, $2.5 million, and $2.9 million, for the years ended December 31, 2025, 2024, and 2023, respectively.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Performance Awards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granted performance awards to our executive leadership team payable in shares. These awards will vest, if at all, provided that certain predetermined performance metrics related to the Company's adjusted consolidated EBITDA (adjusted earnings before interest tax depreciation and amortization) are achieved during the period commencing on the grant date, March 7, 2025, through March 31, 2028, subject to certification by the Compensation Committee of the Board of Directors (“Board”) and the individual remaining continuously employed by us through such date.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award activity is as follows (in thousands, except shares): </w:t>
      </w:r>
    </w:p>
    <w:tbl>
      <w:tblPr>
        <w:tblW w:w="8622" w:type="dxa"/>
        <w:jc w:val="left"/>
        <w:tblInd w:w="0" w:type="dxa"/>
        <w:tblLayout w:type="fixed"/>
        <w:tblCellMar>
          <w:top w:w="28" w:type="dxa"/>
          <w:left w:w="28" w:type="dxa"/>
          <w:bottom w:w="28" w:type="dxa"/>
          <w:right w:w="28" w:type="dxa"/>
        </w:tblCellMar>
      </w:tblPr>
      <w:tblGrid>
        <w:gridCol w:w="806"/>
        <w:gridCol w:w="711"/>
        <w:gridCol w:w="718"/>
        <w:gridCol w:w="412"/>
        <w:gridCol w:w="414"/>
        <w:gridCol w:w="211"/>
        <w:gridCol w:w="211"/>
        <w:gridCol w:w="616"/>
        <w:gridCol w:w="109"/>
        <w:gridCol w:w="109"/>
        <w:gridCol w:w="109"/>
        <w:gridCol w:w="109"/>
        <w:gridCol w:w="360"/>
        <w:gridCol w:w="361"/>
        <w:gridCol w:w="211"/>
        <w:gridCol w:w="245"/>
        <w:gridCol w:w="543"/>
        <w:gridCol w:w="127"/>
        <w:gridCol w:w="109"/>
        <w:gridCol w:w="109"/>
        <w:gridCol w:w="109"/>
        <w:gridCol w:w="360"/>
        <w:gridCol w:w="361"/>
        <w:gridCol w:w="211"/>
        <w:gridCol w:w="211"/>
        <w:gridCol w:w="616"/>
        <w:gridCol w:w="154"/>
      </w:tblGrid>
      <w:tr>
        <w:trPr/>
        <w:tc>
          <w:tcPr>
            <w:tcW w:w="8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Returned for payroll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A summary of the number of performance awards and their weighted average grant date fair values during the year ended December 31, 2025 is presented in the table below:</w:t>
      </w:r>
      <w:r>
        <w:rPr>
          <w:color w:val="000000"/>
        </w:rPr>
        <w:t> </w:t>
      </w:r>
    </w:p>
    <w:tbl>
      <w:tblPr>
        <w:tblW w:w="4754" w:type="dxa"/>
        <w:jc w:val="left"/>
        <w:tblInd w:w="0" w:type="dxa"/>
        <w:tblLayout w:type="fixed"/>
        <w:tblCellMar>
          <w:top w:w="28" w:type="dxa"/>
          <w:left w:w="28" w:type="dxa"/>
          <w:bottom w:w="28" w:type="dxa"/>
          <w:right w:w="28" w:type="dxa"/>
        </w:tblCellMar>
      </w:tblPr>
      <w:tblGrid>
        <w:gridCol w:w="636"/>
        <w:gridCol w:w="559"/>
        <w:gridCol w:w="560"/>
        <w:gridCol w:w="449"/>
        <w:gridCol w:w="451"/>
        <w:gridCol w:w="211"/>
        <w:gridCol w:w="109"/>
        <w:gridCol w:w="109"/>
        <w:gridCol w:w="109"/>
        <w:gridCol w:w="335"/>
        <w:gridCol w:w="980"/>
        <w:gridCol w:w="246"/>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Performance Awards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w:t>
              <w:br/>
              <w:t>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$3.5 million of total unrecognized compensation costs related to performance awards, which are expected to be recognized over a weighted average period of 2.2 years.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recorded stock-based compensation expense, which is included in </w:t>
      </w:r>
      <w:r>
        <w:rPr>
          <w:rFonts w:ascii="Times New Roman;serif" w:hAnsi="Times New Roman;serif"/>
          <w:b w:val="false"/>
          <w:i/>
          <w:color w:val="000000"/>
          <w:sz w:val="20"/>
        </w:rPr>
        <w:t xml:space="preserve">Regional and unallocated funeral and cemetery costs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 xml:space="preserve">expenses, for performance awards of $1.0 million, $1.1 million, and $1.6 million during the years ended December 31, 2025, 2024, and 2023, respectively.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ESPP activity is as follows:</w:t>
      </w:r>
    </w:p>
    <w:tbl>
      <w:tblPr>
        <w:tblW w:w="6859"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recorded stock-based compensation expense, which is included in </w:t>
      </w:r>
      <w:r>
        <w:rPr>
          <w:rFonts w:ascii="Times New Roman;serif" w:hAnsi="Times New Roman;serif"/>
          <w:b w:val="false"/>
          <w:i/>
          <w:color w:val="000000"/>
          <w:sz w:val="20"/>
        </w:rPr>
        <w:t xml:space="preserve">Regional and unallocated funeral and cemetery costs </w:t>
      </w:r>
      <w:r>
        <w:rPr>
          <w:rFonts w:ascii="Times New Roman;serif" w:hAnsi="Times New Roman;serif"/>
          <w:b w:val="false"/>
          <w:color w:val="000000"/>
          <w:sz w:val="20"/>
        </w:rPr>
        <w:t xml:space="preserve">and </w:t>
      </w: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expenses, for our ESPP of $0.3 million, $0.4 million, and $0.6 million during the years ended December 31, 2025, 2024, and 2023,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the right to purchase shares under the ESPP are estimated at the date of purchase with the four quarterly purchase dates using the following assumptions:</w:t>
      </w:r>
    </w:p>
    <w:tbl>
      <w:tblPr>
        <w:tblW w:w="9942" w:type="dxa"/>
        <w:jc w:val="left"/>
        <w:tblInd w:w="0" w:type="dxa"/>
        <w:tblLayout w:type="fixed"/>
        <w:tblCellMar>
          <w:top w:w="28" w:type="dxa"/>
          <w:left w:w="28" w:type="dxa"/>
          <w:bottom w:w="28" w:type="dxa"/>
          <w:right w:w="28" w:type="dxa"/>
        </w:tblCellMar>
      </w:tblPr>
      <w:tblGrid>
        <w:gridCol w:w="667"/>
        <w:gridCol w:w="586"/>
        <w:gridCol w:w="593"/>
        <w:gridCol w:w="799"/>
        <w:gridCol w:w="802"/>
        <w:gridCol w:w="874"/>
        <w:gridCol w:w="112"/>
        <w:gridCol w:w="112"/>
        <w:gridCol w:w="112"/>
        <w:gridCol w:w="784"/>
        <w:gridCol w:w="787"/>
        <w:gridCol w:w="858"/>
        <w:gridCol w:w="112"/>
        <w:gridCol w:w="112"/>
        <w:gridCol w:w="112"/>
        <w:gridCol w:w="768"/>
        <w:gridCol w:w="771"/>
        <w:gridCol w:w="98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4.36%, 4.25%, 4.21%, 4.17%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5.46%, 5.24%, 5.02%,4.80%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4.53%, 4.77%, 4.75%, 4.72%</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0.25, 0.50, 0.75, 1.00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0.25, 0.50, 0.75, 1.00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0.25, 0.50, 0.75, 1.00</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8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Former Employee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activity is as follows (in thousands, except shares): </w:t>
      </w:r>
    </w:p>
    <w:tbl>
      <w:tblPr>
        <w:tblW w:w="7873" w:type="dxa"/>
        <w:jc w:val="left"/>
        <w:tblInd w:w="0" w:type="dxa"/>
        <w:tblLayout w:type="fixed"/>
        <w:tblCellMar>
          <w:top w:w="28" w:type="dxa"/>
          <w:left w:w="28" w:type="dxa"/>
          <w:bottom w:w="28" w:type="dxa"/>
          <w:right w:w="28" w:type="dxa"/>
        </w:tblCellMar>
      </w:tblPr>
      <w:tblGrid>
        <w:gridCol w:w="810"/>
        <w:gridCol w:w="711"/>
        <w:gridCol w:w="714"/>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360"/>
        <w:gridCol w:w="361"/>
        <w:gridCol w:w="211"/>
        <w:gridCol w:w="244"/>
        <w:gridCol w:w="538"/>
        <w:gridCol w:w="17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Returned for payroll taxes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6"/>
              </w:rPr>
            </w:pPr>
            <w:r>
              <w:rPr>
                <w:rFonts w:ascii="Times New Roman;serif" w:hAnsi="Times New Roman;serif"/>
                <w:b w:val="false"/>
                <w:color w:val="000000"/>
                <w:sz w:val="16"/>
              </w:rPr>
              <w:t>During the year ended December 31,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stock-based compensation expense, which is included in General, administrative, and other expenses, for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t>
      </w:r>
      <w:bookmarkStart w:id="2" w:name="ic7559a6cba2749f6981bc17db021b32d_5560"/>
      <w:bookmarkEnd w:id="2"/>
      <w:r>
        <w:rPr>
          <w:rFonts w:ascii="Times New Roman;serif" w:hAnsi="Times New Roman;serif"/>
          <w:b w:val="false"/>
          <w:color w:val="000000"/>
          <w:sz w:val="20"/>
        </w:rPr>
        <w:t>awards of $0.8 million, for the year ended December 31, 2023.</w:t>
      </w:r>
    </w:p>
    <w:p>
      <w:pPr>
        <w:pStyle w:val="TextBody"/>
        <w:bidi w:val="0"/>
        <w:spacing w:lineRule="auto" w:line="288" w:before="18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Good to Great Incentive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Common stock issued to certain employees under this incentive program is as follows (in thousands, except shares):</w:t>
      </w:r>
    </w:p>
    <w:tbl>
      <w:tblPr>
        <w:tblW w:w="6146" w:type="dxa"/>
        <w:jc w:val="left"/>
        <w:tblInd w:w="0" w:type="dxa"/>
        <w:tblLayout w:type="fixed"/>
        <w:tblCellMar>
          <w:top w:w="28" w:type="dxa"/>
          <w:left w:w="28" w:type="dxa"/>
          <w:bottom w:w="28" w:type="dxa"/>
          <w:right w:w="28" w:type="dxa"/>
        </w:tblCellMar>
      </w:tblPr>
      <w:tblGrid>
        <w:gridCol w:w="392"/>
        <w:gridCol w:w="344"/>
        <w:gridCol w:w="207"/>
        <w:gridCol w:w="245"/>
        <w:gridCol w:w="543"/>
        <w:gridCol w:w="127"/>
        <w:gridCol w:w="109"/>
        <w:gridCol w:w="109"/>
        <w:gridCol w:w="109"/>
        <w:gridCol w:w="360"/>
        <w:gridCol w:w="361"/>
        <w:gridCol w:w="211"/>
        <w:gridCol w:w="245"/>
        <w:gridCol w:w="543"/>
        <w:gridCol w:w="127"/>
        <w:gridCol w:w="109"/>
        <w:gridCol w:w="109"/>
        <w:gridCol w:w="109"/>
        <w:gridCol w:w="308"/>
        <w:gridCol w:w="308"/>
        <w:gridCol w:w="211"/>
        <w:gridCol w:w="244"/>
        <w:gridCol w:w="538"/>
        <w:gridCol w:w="178"/>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14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8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6"/>
              </w:rPr>
            </w:pPr>
            <w:r>
              <w:rPr>
                <w:rFonts w:ascii="Times New Roman;serif" w:hAnsi="Times New Roman;serif"/>
                <w:b w:val="false"/>
                <w:color w:val="000000"/>
                <w:sz w:val="16"/>
              </w:rPr>
              <w:t>Common stock granted during the year ended December 31, 2025, 2024, and 2023 had a grant date stock price of $41.54, $25.08, and $32.69,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No shares were repurchased during the years ended December 31, 2025, 2024,and 2023. At December 31, 2025, our share repurchase program had $48.9 million authorized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18.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2069"/>
        <w:gridCol w:w="1770"/>
        <w:gridCol w:w="1780"/>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5"/>
      </w:tblGrid>
      <w:tr>
        <w:trPr/>
        <w:tc>
          <w:tcPr>
            <w:tcW w:w="206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4"/>
            <w:tcBorders/>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6423" w:type="dxa"/>
        <w:jc w:val="left"/>
        <w:tblInd w:w="0" w:type="dxa"/>
        <w:tblLayout w:type="fixed"/>
        <w:tblCellMar>
          <w:top w:w="28" w:type="dxa"/>
          <w:left w:w="28" w:type="dxa"/>
          <w:bottom w:w="28" w:type="dxa"/>
          <w:right w:w="28" w:type="dxa"/>
        </w:tblCellMar>
      </w:tblPr>
      <w:tblGrid>
        <w:gridCol w:w="821"/>
        <w:gridCol w:w="720"/>
        <w:gridCol w:w="724"/>
        <w:gridCol w:w="109"/>
        <w:gridCol w:w="109"/>
        <w:gridCol w:w="207"/>
        <w:gridCol w:w="207"/>
        <w:gridCol w:w="207"/>
        <w:gridCol w:w="207"/>
        <w:gridCol w:w="270"/>
        <w:gridCol w:w="207"/>
        <w:gridCol w:w="207"/>
        <w:gridCol w:w="207"/>
        <w:gridCol w:w="207"/>
        <w:gridCol w:w="207"/>
        <w:gridCol w:w="308"/>
        <w:gridCol w:w="308"/>
        <w:gridCol w:w="156"/>
        <w:gridCol w:w="109"/>
        <w:gridCol w:w="308"/>
        <w:gridCol w:w="308"/>
        <w:gridCol w:w="15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35" w:type="dxa"/>
            <w:gridSpan w:val="5"/>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awards that contain non-forfeitable rights to dividends or dividend equivalents, whether paid or unpaid, are participating securities and included in the computation of both basic and diluted earnings per share. Our grants of stock awards to our employees are considered participating securities and we have prepared our earnings per share calculations to exclude earnings allocated to unvested restricted stock awards, using the two-class method, in the basic and diluted weighted average shares outstanding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19.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(the “CODM”), who is the Chief Executive Officer, utilizes segment operating income (loss) for resource allocation across segments, particularly during the annual budgeting and forecasting processes. The CODM examines variances on a monthly basis to make informed decisions regarding capital and personnel distribution among segments.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revenue, disaggregated by major source for each of our reportable segments, as well as, significant segment expenses, other segment expenses, operating income (loss), depreciation and amortization, interest expense, income (loss) before income taxes, income tax expense (benefit), total assets, long-lived assets, goodwill, capital expenditures and number of operating locations by segment as follows, (in thousands, except number of operating locations)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6"/>
        <w:gridCol w:w="711"/>
        <w:gridCol w:w="715"/>
        <w:gridCol w:w="276"/>
        <w:gridCol w:w="1083"/>
        <w:gridCol w:w="142"/>
        <w:gridCol w:w="142"/>
        <w:gridCol w:w="142"/>
        <w:gridCol w:w="142"/>
        <w:gridCol w:w="276"/>
        <w:gridCol w:w="1083"/>
        <w:gridCol w:w="142"/>
        <w:gridCol w:w="142"/>
        <w:gridCol w:w="142"/>
        <w:gridCol w:w="142"/>
        <w:gridCol w:w="276"/>
        <w:gridCol w:w="991"/>
        <w:gridCol w:w="142"/>
        <w:gridCol w:w="142"/>
        <w:gridCol w:w="142"/>
        <w:gridCol w:w="142"/>
        <w:gridCol w:w="276"/>
        <w:gridCol w:w="1280"/>
        <w:gridCol w:w="218"/>
      </w:tblGrid>
      <w:tr>
        <w:trPr/>
        <w:tc>
          <w:tcPr>
            <w:tcW w:w="131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417,440 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874,282 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operating locations at year end</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7463"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7"/>
        <w:gridCol w:w="786"/>
        <w:gridCol w:w="789"/>
        <w:gridCol w:w="276"/>
        <w:gridCol w:w="1083"/>
        <w:gridCol w:w="142"/>
        <w:gridCol w:w="142"/>
        <w:gridCol w:w="142"/>
        <w:gridCol w:w="142"/>
        <w:gridCol w:w="276"/>
        <w:gridCol w:w="1083"/>
        <w:gridCol w:w="142"/>
        <w:gridCol w:w="142"/>
        <w:gridCol w:w="142"/>
        <w:gridCol w:w="142"/>
        <w:gridCol w:w="276"/>
        <w:gridCol w:w="991"/>
        <w:gridCol w:w="142"/>
        <w:gridCol w:w="142"/>
        <w:gridCol w:w="142"/>
        <w:gridCol w:w="142"/>
        <w:gridCol w:w="276"/>
        <w:gridCol w:w="1279"/>
        <w:gridCol w:w="219"/>
      </w:tblGrid>
      <w:tr>
        <w:trPr/>
        <w:tc>
          <w:tcPr>
            <w:tcW w:w="116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404,198 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operating locations at year end</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7463"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5"/>
        <w:gridCol w:w="811"/>
        <w:gridCol w:w="814"/>
        <w:gridCol w:w="552"/>
        <w:gridCol w:w="552"/>
        <w:gridCol w:w="348"/>
        <w:gridCol w:w="145"/>
        <w:gridCol w:w="145"/>
        <w:gridCol w:w="145"/>
        <w:gridCol w:w="550"/>
        <w:gridCol w:w="553"/>
        <w:gridCol w:w="415"/>
        <w:gridCol w:w="145"/>
        <w:gridCol w:w="145"/>
        <w:gridCol w:w="145"/>
        <w:gridCol w:w="504"/>
        <w:gridCol w:w="507"/>
        <w:gridCol w:w="442"/>
        <w:gridCol w:w="145"/>
        <w:gridCol w:w="145"/>
        <w:gridCol w:w="145"/>
        <w:gridCol w:w="652"/>
        <w:gridCol w:w="652"/>
        <w:gridCol w:w="353"/>
      </w:tblGrid>
      <w:tr>
        <w:trPr/>
        <w:tc>
          <w:tcPr>
            <w:tcW w:w="119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264,776 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117,744 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382,520 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(42,250)</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(78,232)</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46,429 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(21,932)</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802,368 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448,018 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1,268,052 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863,386 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364,639 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18,039 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operating locations at year end</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7385"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disposals,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20. SUPPLEMENTARY DATA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certain balance sheet accounts (in thousands):</w:t>
      </w:r>
    </w:p>
    <w:tbl>
      <w:tblPr>
        <w:tblW w:w="8128" w:type="dxa"/>
        <w:jc w:val="left"/>
        <w:tblInd w:w="0" w:type="dxa"/>
        <w:tblLayout w:type="fixed"/>
        <w:tblCellMar>
          <w:top w:w="28" w:type="dxa"/>
          <w:left w:w="28" w:type="dxa"/>
          <w:bottom w:w="28" w:type="dxa"/>
          <w:right w:w="28" w:type="dxa"/>
        </w:tblCellMar>
      </w:tblPr>
      <w:tblGrid>
        <w:gridCol w:w="1519"/>
        <w:gridCol w:w="1335"/>
        <w:gridCol w:w="1345"/>
        <w:gridCol w:w="349"/>
        <w:gridCol w:w="1195"/>
        <w:gridCol w:w="180"/>
        <w:gridCol w:w="109"/>
        <w:gridCol w:w="109"/>
        <w:gridCol w:w="109"/>
        <w:gridCol w:w="349"/>
        <w:gridCol w:w="1195"/>
        <w:gridCol w:w="180"/>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receivable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receivable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current assets</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portion of debt and lease obligations</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wages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meetings and award trips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care trust payable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liabilities, including HFS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liabilities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carrying amounts of the assets and liabilities included in held for sale (in thousands):</w:t>
      </w:r>
    </w:p>
    <w:tbl>
      <w:tblPr>
        <w:tblW w:w="7544" w:type="dxa"/>
        <w:jc w:val="left"/>
        <w:tblInd w:w="0" w:type="dxa"/>
        <w:tblLayout w:type="fixed"/>
        <w:tblCellMar>
          <w:top w:w="28" w:type="dxa"/>
          <w:left w:w="28" w:type="dxa"/>
          <w:bottom w:w="28" w:type="dxa"/>
          <w:right w:w="28" w:type="dxa"/>
        </w:tblCellMar>
      </w:tblPr>
      <w:tblGrid>
        <w:gridCol w:w="1439"/>
        <w:gridCol w:w="1264"/>
        <w:gridCol w:w="1272"/>
        <w:gridCol w:w="413"/>
        <w:gridCol w:w="915"/>
        <w:gridCol w:w="216"/>
        <w:gridCol w:w="109"/>
        <w:gridCol w:w="109"/>
        <w:gridCol w:w="109"/>
        <w:gridCol w:w="313"/>
        <w:gridCol w:w="1070"/>
        <w:gridCol w:w="16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Cemetery property, net </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 held for sale</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comprised of the following (in thousands):</w:t>
      </w:r>
    </w:p>
    <w:tbl>
      <w:tblPr>
        <w:tblW w:w="7770" w:type="dxa"/>
        <w:jc w:val="left"/>
        <w:tblInd w:w="0" w:type="dxa"/>
        <w:tblLayout w:type="fixed"/>
        <w:tblCellMar>
          <w:top w:w="28" w:type="dxa"/>
          <w:left w:w="28" w:type="dxa"/>
          <w:bottom w:w="28" w:type="dxa"/>
          <w:right w:w="28" w:type="dxa"/>
        </w:tblCellMar>
      </w:tblPr>
      <w:tblGrid>
        <w:gridCol w:w="1522"/>
        <w:gridCol w:w="1332"/>
        <w:gridCol w:w="1345"/>
        <w:gridCol w:w="284"/>
        <w:gridCol w:w="1114"/>
        <w:gridCol w:w="147"/>
        <w:gridCol w:w="109"/>
        <w:gridCol w:w="109"/>
        <w:gridCol w:w="109"/>
        <w:gridCol w:w="284"/>
        <w:gridCol w:w="1114"/>
        <w:gridCol w:w="147"/>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vehicles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433,218 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423,892 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including HFS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287,132 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273,004 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Cemetery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is comprised of the following (in thousands):</w:t>
      </w:r>
    </w:p>
    <w:tbl>
      <w:tblPr>
        <w:tblW w:w="6780" w:type="dxa"/>
        <w:jc w:val="left"/>
        <w:tblInd w:w="0" w:type="dxa"/>
        <w:tblLayout w:type="fixed"/>
        <w:tblCellMar>
          <w:top w:w="28" w:type="dxa"/>
          <w:left w:w="28" w:type="dxa"/>
          <w:bottom w:w="28" w:type="dxa"/>
          <w:right w:w="28" w:type="dxa"/>
        </w:tblCellMar>
      </w:tblPr>
      <w:tblGrid>
        <w:gridCol w:w="1161"/>
        <w:gridCol w:w="1022"/>
        <w:gridCol w:w="1026"/>
        <w:gridCol w:w="284"/>
        <w:gridCol w:w="1114"/>
        <w:gridCol w:w="147"/>
        <w:gridCol w:w="109"/>
        <w:gridCol w:w="109"/>
        <w:gridCol w:w="109"/>
        <w:gridCol w:w="284"/>
        <w:gridCol w:w="1114"/>
        <w:gridCol w:w="147"/>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at cost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 including HFS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2025 (the end of the period covered by this Form 10-K).</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 13a-15(f). Management</w:t>
      </w:r>
      <w:r>
        <w:rPr>
          <w:color w:val="000000"/>
        </w:rPr>
        <w:t>’</w:t>
      </w:r>
      <w:r>
        <w:rPr>
          <w:rFonts w:ascii="Times New Roman;serif" w:hAnsi="Times New Roman;serif"/>
          <w:b w:val="false"/>
          <w:color w:val="000000"/>
          <w:sz w:val="20"/>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MANAGEMENT’S REPORT ON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 as such term is defined under Rule 13a-15(f) promulgated under the Securities Exchange Act of 1934, as amended.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 pertain to the maintenance of records that in reasonable detail accurately and fairly reflect the transactions and dispositions of our assets;</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(ii) 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(iii) provide reasonable assurance regarding prevention or timely detection of unauthorized acquisition, use or disposition of our assets that could have a material effect on our Consolidated Financial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Management conducted an assessment of the Company’s internal control over financial reporting as of December 31, 2025 using the framework specified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published by the Committee of Sponsoring Organizations of the Treadway Commission. Based on such assessment, management has concluded that the Company’s internal control over financial reporting was effective as of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internal control over financial reporting as of December 31, 2025 has been audited by Grant Thornton LLP, an independent registered public accounting firm, which also audited the financial statements of the Company for the year ended December 31, 2025, as stated in their report that is presented in this Annual Report.</w:t>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pPr>
      <w:r>
        <w:rPr>
          <w:rFonts w:ascii="Times New Roman;serif" w:hAnsi="Times New Roman;serif"/>
          <w:b w:val="false"/>
          <w:color w:val="000000"/>
          <w:sz w:val="20"/>
        </w:rPr>
        <w:t>During the three months ended December 31, 2025, there was no change in our system of internal control over financial reporting (as defined in Rules 13a-15(f) or 15d-15(f) under the Exchange Act) that has materially affected, or is reasonably likely to materially affect, our internal control over financial reporting.</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Rule 10b5-1 Stock Selling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and officers (as defined in Rule 16a-1(f) under the Exchange Act) may from time to time enter into plans or other arrangements for the purchase or sale of our shares that are intended to comply with Rule 10b5-1 (as defined in Item 408 of Regulation S-K under the Exchange Act) and satisfy the affirmative defense of Rule 10b5-1(c) or may represent a non-Rule 10b5-1 trading arrangement under the Exchange 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three months ended December 31, 2025, no Rule 10b5-1 trading arrangements were adopted or terminated by any of our directors or officers. During three months ended December 31, 2025, no non-Rule 10b5-1 trading arrangements were adopted or terminated by any of our directors or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10 is incorporated in this Form 10-K by reference to our definitive proxy statement or an amendment to this Form 10-K to be filed with the SEC not later than 120 days after the end of the fiscal year ended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adopted a Code of Business Conduct and Ethics (as amended, the “Code”), which is applicable to each of our Directors, Officers, and employees, including our principal executive officer and other senior financial officers, who include our principal financial officer, principal accounting officer or controller, and persons performing similar functions. The Code is available on our internet website at </w:t>
      </w:r>
      <w:r>
        <w:rPr>
          <w:rFonts w:ascii="Times New Roman;serif" w:hAnsi="Times New Roman;serif"/>
          <w:b w:val="false"/>
          <w:i/>
          <w:color w:val="000000"/>
          <w:sz w:val="20"/>
        </w:rPr>
        <w:t>www.carriageservices.com</w:t>
      </w:r>
      <w:r>
        <w:rPr>
          <w:rFonts w:ascii="Times New Roman;serif" w:hAnsi="Times New Roman;serif"/>
          <w:b w:val="false"/>
          <w:color w:val="000000"/>
          <w:sz w:val="20"/>
        </w:rPr>
        <w:t>. To the extent required by SEC rules, we intend to disclose any amendments to this code and any waiver of a provision of the Code for the benefit of our principal executive officer, principal financial officer, principal accounting officer or corporate controller, or persons performing similar functions, on our website within four business days following any such amendment of waiver, or within any other period that may be required under SEC rules from time to time.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Insider Trading and Anti-Hedging Policy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&amp; Anti-Hedging Policy governing the purchase, sale and other disposition of our securities that applies to all of our employees, including directors, officers and other covered persons that is designed to promote compliance with insider trading laws, rules and regulations, and applicable New York Stock Exchange listing standards, as well as procedures designed to further the foregoing purposes. A copy of our Insider Trading &amp; Anti-Hedging Policy is filed with this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11 is incorporated in this Form 10-K by reference to our definitive proxy statement or an amendment to this Form 10-K to be filed with the SEC not later than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12 is incorporated in this Form 10-K by reference to our definitive proxy statement or an amendment to this Form 10-K to be filed with the SEC not later than 120 days after the end of the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required by Item 201(d) of Regulation S-K, summarizes information regarding the number of shares of our common stock that are available for issuance under all of our existing equity compensation plans as of December 31, 2025.</w:t>
      </w:r>
      <w:r>
        <w:rPr>
          <w:color w:val="000000"/>
        </w:rPr>
        <w:t> </w:t>
      </w:r>
    </w:p>
    <w:tbl>
      <w:tblPr>
        <w:tblW w:w="10205" w:type="dxa"/>
        <w:jc w:val="left"/>
        <w:tblInd w:w="0" w:type="dxa"/>
        <w:tblLayout w:type="fixed"/>
        <w:tblCellMar>
          <w:top w:w="28" w:type="dxa"/>
          <w:left w:w="28" w:type="dxa"/>
          <w:bottom w:w="28" w:type="dxa"/>
          <w:right w:w="28" w:type="dxa"/>
        </w:tblCellMar>
      </w:tblPr>
      <w:tblGrid>
        <w:gridCol w:w="1568"/>
        <w:gridCol w:w="1375"/>
        <w:gridCol w:w="1383"/>
        <w:gridCol w:w="595"/>
        <w:gridCol w:w="595"/>
        <w:gridCol w:w="596"/>
        <w:gridCol w:w="109"/>
        <w:gridCol w:w="109"/>
        <w:gridCol w:w="109"/>
        <w:gridCol w:w="355"/>
        <w:gridCol w:w="1037"/>
        <w:gridCol w:w="184"/>
        <w:gridCol w:w="109"/>
        <w:gridCol w:w="109"/>
        <w:gridCol w:w="109"/>
        <w:gridCol w:w="545"/>
        <w:gridCol w:w="545"/>
        <w:gridCol w:w="773"/>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Plan Category</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w:t>
              <w:br/>
              <w:t>be issued upon exercise</w:t>
              <w:br/>
              <w:t>of 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of</w:t>
              <w:br/>
              <w:t>outstanding options,</w:t>
              <w:br/>
              <w:t>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remaining available for</w:t>
              <w:br/>
              <w:t>future issuance under</w:t>
              <w:br/>
              <w:t>equity compensation</w:t>
              <w:br/>
              <w:t>plans (excluding</w:t>
              <w:br/>
              <w:t>securities reflected in</w:t>
              <w:br/>
              <w:t>column (a))</w:t>
              <w:br/>
              <w:t>(c)</w:t>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997,398 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2,740,182 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997,398 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2,740,182 </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13 is incorporated in this Form 10-K by reference to our definitive proxy statement or an amendment to this Form 10-K to be filed with the SEC not later than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14 is incorporated in this Form 10-K by reference to our definitive proxy statement or an amendment to this Form 10-K to be filed with the SEC not later than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(a)(1)-(2) Financial Statements and Schedule:</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financial statements are listed in the accompanying Index to Financial Statements and Related Schedule on </w:t>
      </w:r>
      <w:hyperlink w:anchor="i4443665aa8f84fa09ac7bee378fd43ca_64">
        <w:r>
          <w:rPr>
            <w:rStyle w:val="InternetLink"/>
            <w:rFonts w:ascii="Times New Roman;serif" w:hAnsi="Times New Roman;serif"/>
            <w:b w:val="false"/>
            <w:color w:val="0000FF"/>
            <w:sz w:val="20"/>
            <w:u w:val="single"/>
          </w:rPr>
          <w:t>page 35</w:t>
        </w:r>
      </w:hyperlink>
      <w:r>
        <w:rPr>
          <w:color w:val="000000"/>
        </w:rPr>
        <w:t xml:space="preserve"> </w:t>
      </w:r>
      <w:r>
        <w:rPr>
          <w:rFonts w:ascii="Times New Roman;serif" w:hAnsi="Times New Roman;serif"/>
          <w:b w:val="false"/>
          <w:color w:val="000000"/>
          <w:sz w:val="20"/>
        </w:rPr>
        <w:t>of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5"/>
        <w:gridCol w:w="2605"/>
        <w:gridCol w:w="372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dated as of May 13, 2021, among the Company, the Guarantors (as defined therein) and Wilmington Trust, National Association, as Trustee. Incorporated by reference to Exhibit 4.1 to the Company's Current Report on Form 8-K filed May 13, 2021.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Form of 4.25% Senior Notes due 2029 (included with the Indenture filed as Exhibit 4.1). Incorporated by reference to Exhibit 4.2 to the Company's Current Report on Form 8-K filed on May 13, 2021.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Second Amended and Restated 2006 Long-Term Incentive Plan. Incorporated by reference to Exhibit 10.1 to the Company's Quarterly Report on Form 10-Q for its quarter ended June 30, 2012, filed on August 7, 2012.</w:t>
              </w:r>
            </w:hyperlink>
            <w:r>
              <w:rPr>
                <w:color w:val="000000"/>
              </w:rPr>
              <w:t xml:space="preserve"> †</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797"/>
        <w:gridCol w:w="2685"/>
        <w:gridCol w:w="3810"/>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First Amendment to Carriage Services, Inc. Second Amended and Restated 2006 Long-Term Incentive Plan. Incorporated by reference to Exhibit 10.28 to the Company's Annual Report on Form 10-K for its fiscal year ended December 31, 2013, filed March 5, 2014.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Amended and Restated Carriage Services, Inc. 2007 Employee Stock Purchase Plan. Incorporated by reference to Exhibit 10.1 to the Company's Quarterly Report on Form 10-Q for its quarter ended September 30, 2013, filed on November 6, 2013.</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First Amendment to the Amended and Restated Carriage Services, Inc. 2007 Employee Stock Purchase Plan. Incorporated by reference to Appendix B to the Company’s Definitive Proxy Statement on Schedule 14A filed on April 4, 2018.</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Second and Third Amendments to the Amended and Restated Carriage Services, Inc. 2007 Employee Stock Purchase Plan. Incorporated by reference to Appendix A and B, respectively, to the Company's Definitive Proxy Statement on Schedule 14A filed with the SEC on April 5, 2021 and Amendment No. 1 to our Definitive Proxy Statement on Schedule 14A filed with the SEC on April 6, 2021.</w:t>
              </w:r>
            </w:hyperlink>
            <w:r>
              <w:rPr>
                <w:color w:val="000000"/>
              </w:rPr>
              <w:t xml:space="preserve"> †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Carriage Services, Inc. 2017 Omnibus Incentive Plan. Incorporated by reference to Appendix A of the Proxy Statement on Schedule 14A filed on April 5, 2017.</w:t>
              </w:r>
            </w:hyperlink>
            <w:r>
              <w:rPr>
                <w:color w:val="000000"/>
              </w:rPr>
              <w:t xml:space="preserve"> †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"https://www.sec.gov/Archives/edgar/data/0001016281/000119312521106515/d55684ddef14a.htm" \l "toc55684_50"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First Amendment to the Carriage Services, Inc. 2017 Omnibus Incentive Plan.</w:t>
            </w:r>
            <w:r>
              <w:rPr>
                <w:rStyle w:val="InternetLink"/>
                <w:sz w:val="20"/>
                <w:u w:val="single"/>
                <w:b w:val="false"/>
                <w:rFonts w:ascii="Times New Roman;serif" w:hAnsi="Times New Roman;serif"/>
                <w:color w:val="0000FF"/>
              </w:rPr>
              <w:fldChar w:fldCharType="end"/>
            </w:r>
            <w:r>
              <w:fldChar w:fldCharType="begin"/>
            </w:r>
            <w:r>
              <w:rPr>
                <w:rStyle w:val="InternetLink"/>
                <w:u w:val="single"/>
                <w:color w:val="0000FF"/>
              </w:rPr>
              <w:instrText xml:space="preserve"> HYPERLINK "https://www.sec.gov/Archives/edgar/data/0001016281/000119312521106515/d55684ddef14a.htm" \l "toc55684_50"</w:instrText>
            </w:r>
            <w:r>
              <w:rPr>
                <w:rStyle w:val="InternetLink"/>
                <w:u w:val="single"/>
                <w:color w:val="0000FF"/>
              </w:rPr>
              <w:fldChar w:fldCharType="separate"/>
            </w:r>
            <w:r>
              <w:rPr>
                <w:rStyle w:val="InternetLink"/>
                <w:color w:val="0000FF"/>
                <w:u w:val="single"/>
              </w:rPr>
              <w:t xml:space="preserve"> </w:t>
            </w:r>
            <w:r>
              <w:rPr>
                <w:rStyle w:val="InternetLink"/>
                <w:u w:val="single"/>
                <w:color w:val="0000FF"/>
              </w:rPr>
              <w:fldChar w:fldCharType="end"/>
            </w:r>
            <w:r>
              <w:fldChar w:fldCharType="begin"/>
            </w:r>
            <w:r>
              <w:rPr>
                <w:rStyle w:val="InternetLink"/>
                <w:sz w:val="20"/>
                <w:u w:val="single"/>
                <w:b w:val="false"/>
                <w:rFonts w:ascii="Times New Roman;serif" w:hAnsi="Times New Roman;serif"/>
                <w:color w:val="0000FF"/>
              </w:rPr>
              <w:instrText xml:space="preserve"> HYPERLINK "https://www.sec.gov/Archives/edgar/data/0001016281/000119312521106515/d55684ddef14a.htm" \l "toc55684_50"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Incorporated by reference to Appendix C to the Company’s Definitive Proxy Statement on Schedule 14A filed on April 5, 2021 and Amendment No. 1 to our Definitive Proxy Statement on Schedule 14A filed with the SEC on April 6, 2021.</w:t>
            </w:r>
            <w:r>
              <w:rPr>
                <w:rStyle w:val="InternetLink"/>
                <w:sz w:val="20"/>
                <w:u w:val="single"/>
                <w:b w:val="false"/>
                <w:rFonts w:ascii="Times New Roman;serif" w:hAnsi="Times New Roman;serif"/>
                <w:color w:val="0000FF"/>
              </w:rPr>
              <w:fldChar w:fldCharType="end"/>
            </w:r>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 xml:space="preserve">Summary of Securities Registered under Section 12. Incorporated by reference to Exhibit 4.10 to the Company's Annual Report on Form 10-K for its fiscal year ended December 31, 2021, filed on March 2, 2022.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Director Compensation Policy dated effective April 2, 2024. Incorporated by reference to Exhibit 10.5 to the Company's Quarterly Report on Form 10-Q for its quarter ended June 30, 2024, filed on August 2, 2024.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Incentive Stock Option Agreement under Carriage Services, Inc. Second Amended and Restated 2006 Long-Term Incentive Plan. Incorporated by reference to Exhibit 10.1 to the Company's Quarterly Report on Form 10-Q for its quarter ended June 30, 2013, filed on August 8, 2013.</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 xml:space="preserve">Form of Employee Stock Option Agreement under Carriage Services, Inc. 2017 Omnibus Incentive Plan. Incorporated by reference to Exhibit 10.33 to the Company's Annual Report on Form 10-K for its fiscal year ended December 31, 2017, filed on February 21, 2018.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Employee Incentive Stock Option Agreement under Carriage Services, Inc. 2017 Omnibus Incentive Plan. Incorporated by reference to Exhibit 10.31 to the Company's Annual Report on Form 10-K for its fiscal year ended December 31, 2017, filed on February 21, 2018.</w:t>
              </w:r>
            </w:hyperlink>
            <w:r>
              <w:rPr>
                <w:color w:val="0000FF"/>
              </w:rPr>
              <w:t xml:space="preserve"> </w:t>
            </w:r>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 xml:space="preserve">Form of Employee Restricted Stock Agreement under Carriage Services, Inc. 2017 Omnibus Incentive Plan. Incorporated by reference to Exhibit 10.30 to the Company's Annual Report on Form 10-K for its fiscal year ended December 31, 2017, filed on February 21, 2018.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Performance Award Agreement under Carriage Services, Inc. 2017 Omnibus Incentive Plan. Incorporated by reference to Exhibit 10.2 to the Company's Current Report on Form 8-K filed on May 22, 2020.</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 xml:space="preserve">Form of First Amendment to Performance Award Agreement under Carriage Services, Inc. 2017 Omnibus Incentive Plan dated as of June 1, 2021. Incorporated by reference to Exhibit 10.21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80"/>
                  <w:sz w:val="20"/>
                  <w:u w:val="single"/>
                </w:rPr>
                <w:t>Form of Performance Award Agreement under Carriage Services, Inc. 2017 Omnibus Incentive Plan. Incorporated by reference to Exhibit 10.</w:t>
              </w:r>
            </w:hyperlink>
            <w:hyperlink r:id="rId24">
              <w:r>
                <w:rPr>
                  <w:rStyle w:val="InternetLink"/>
                  <w:rFonts w:ascii="Times New Roman;serif" w:hAnsi="Times New Roman;serif"/>
                  <w:b w:val="false"/>
                  <w:color w:val="000080"/>
                  <w:sz w:val="20"/>
                  <w:u w:val="single"/>
                </w:rPr>
                <w:t>5</w:t>
              </w:r>
            </w:hyperlink>
            <w:hyperlink r:id="rId25">
              <w:r>
                <w:rPr>
                  <w:rStyle w:val="InternetLink"/>
                  <w:rFonts w:ascii="Times New Roman;serif" w:hAnsi="Times New Roman;serif"/>
                  <w:b w:val="false"/>
                  <w:color w:val="000080"/>
                  <w:sz w:val="20"/>
                  <w:u w:val="single"/>
                </w:rPr>
                <w:t xml:space="preserve"> to the Company's Current Report on Form </w:t>
              </w:r>
            </w:hyperlink>
            <w:hyperlink r:id="rId26">
              <w:r>
                <w:rPr>
                  <w:rStyle w:val="InternetLink"/>
                  <w:rFonts w:ascii="Times New Roman;serif" w:hAnsi="Times New Roman;serif"/>
                  <w:b w:val="false"/>
                  <w:color w:val="000080"/>
                  <w:sz w:val="20"/>
                  <w:u w:val="single"/>
                </w:rPr>
                <w:t>10</w:t>
              </w:r>
            </w:hyperlink>
            <w:hyperlink r:id="rId27">
              <w:r>
                <w:rPr>
                  <w:rStyle w:val="InternetLink"/>
                  <w:rFonts w:ascii="Times New Roman;serif" w:hAnsi="Times New Roman;serif"/>
                  <w:b w:val="false"/>
                  <w:color w:val="000080"/>
                  <w:sz w:val="20"/>
                  <w:u w:val="single"/>
                </w:rPr>
                <w:t>-</w:t>
              </w:r>
            </w:hyperlink>
            <w:hyperlink r:id="rId28">
              <w:r>
                <w:rPr>
                  <w:rStyle w:val="InternetLink"/>
                  <w:rFonts w:ascii="Times New Roman;serif" w:hAnsi="Times New Roman;serif"/>
                  <w:b w:val="false"/>
                  <w:color w:val="000080"/>
                  <w:sz w:val="20"/>
                  <w:u w:val="single"/>
                </w:rPr>
                <w:t>Q</w:t>
              </w:r>
            </w:hyperlink>
            <w:hyperlink r:id="rId29">
              <w:r>
                <w:rPr>
                  <w:rStyle w:val="InternetLink"/>
                  <w:rFonts w:ascii="Times New Roman;serif" w:hAnsi="Times New Roman;serif"/>
                  <w:b w:val="false"/>
                  <w:color w:val="000080"/>
                  <w:sz w:val="20"/>
                  <w:u w:val="single"/>
                </w:rPr>
                <w:t xml:space="preserve"> filed on May </w:t>
              </w:r>
            </w:hyperlink>
            <w:hyperlink r:id="rId30">
              <w:r>
                <w:rPr>
                  <w:rStyle w:val="InternetLink"/>
                  <w:rFonts w:ascii="Times New Roman;serif" w:hAnsi="Times New Roman;serif"/>
                  <w:b w:val="false"/>
                  <w:color w:val="000080"/>
                  <w:sz w:val="20"/>
                  <w:u w:val="single"/>
                </w:rPr>
                <w:t>2, 202</w:t>
              </w:r>
            </w:hyperlink>
            <w:hyperlink r:id="rId31">
              <w:r>
                <w:rPr>
                  <w:rStyle w:val="InternetLink"/>
                  <w:rFonts w:ascii="Times New Roman;serif" w:hAnsi="Times New Roman;serif"/>
                  <w:b w:val="false"/>
                  <w:color w:val="000080"/>
                  <w:sz w:val="20"/>
                  <w:u w:val="single"/>
                </w:rPr>
                <w:t>5</w:t>
              </w:r>
            </w:hyperlink>
            <w:hyperlink r:id="rId32">
              <w:r>
                <w:rPr>
                  <w:rStyle w:val="InternetLink"/>
                  <w:rFonts w:ascii="Times New Roman;serif" w:hAnsi="Times New Roman;serif"/>
                  <w:b w:val="false"/>
                  <w:color w:val="000080"/>
                  <w:sz w:val="20"/>
                  <w:u w:val="single"/>
                </w:rPr>
                <w:t>.</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 xml:space="preserve">Employment Agreement dated June 25, 2020, by and between the Company and Carlos Quezada. Incorporated by reference to Exhibit 10.16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 xml:space="preserve">First Amendment to Employment Agreement dated June 1, 2021, by and between the Company and Carlos Quezada. Incorporated by reference to Exhibit 10.19 to the Company's Annual Report on Form for its fiscal year ended December 31, 2021, 10-K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Second Amendment to Employment Agreement dated September 30, 2022, by and between the Company and Carlos Quezada. Incorporated by reference to Exhibit 10.3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Third Amendment to Employment Agreement dated June 21, 2023, by and between the Company and Carlos R. Quezada. Incorporated by reference to Exhibit 10.2 to the Company's Quarterly Report on Form 10-Q for its quarter ended June 30, 2023, filed on August 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79"/>
        <w:gridCol w:w="2689"/>
        <w:gridCol w:w="382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Fourth Amendment to Employment Agreement dated February 21, 2024, by and between the Company and Carlos R. Quezada. Incorporated by reference to Exhibit 10.4 to the Company's Quarterly Report on Form 10-Q for its quarter ended March 31, 2024, filed on May 3, 2024.</w:t>
              </w:r>
            </w:hyperlink>
            <w:r>
              <w:rPr>
                <w:color w:val="000000"/>
              </w:rPr>
              <w:t xml:space="preserve"> †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 xml:space="preserve">Employment Agreement dated November 5, 2019, by and between the Company and Steven D. Metzger. Incorporated by reference to Exhibit 10.15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 xml:space="preserve">First Amendment to Employment Agreement dated June 1, 2021, by and between the Company and Steven D. Metzger. Incorporated by reference to Exhibit 10.18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Second Amendment to Employment Agreement dated September 30, 2022, by and between the Company and Steven D. Metzger. Incorporated by reference to Exhibit 10.2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Third Amendment to Employment Agreement dated June 21, 2023, by and between the Company and Steven D. Metzger. Incorporated by reference to Exhibit 10.3 to the Company's Quarterly Report on Form 10-Q for its quarter ended June 30, 2023, filed on August 7,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Fourth Amendment to Employment Agreement dated February 21, 2024, by and between the Company and Steven D. Metzger. Incorporated by reference to Exhibit 10.5 to the Company's Quarterly Report on Form 10-Q for its quarter ended March 31, 2024, filed on May 3, 2024.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Employment Agreement dated April 1, 2022, by and between the Company and Rob Franch. Incorporated by reference to Exhibit 10.1 to the Company’s Quarterly Report on Form 10-Q for its quarter ended March 31, 2025, filed on May 2, 2025.</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First Amendment to Employment Agreement dated April 29, 2024, by and between the Company and Rob Franch. Incorporated by reference to Exhibit 10.2 to the Company’s Quarterly Report on Form 10-Q for its quarter ended March 31, 2025, filed on May 2, 2025.</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Employment Agreement dated February 23, 2022, by and between the Company and Shane Pudenz. Incorporated by reference to Exhibit 10.3 to the Company’s Quarterly Report on Form 10-Q for its quarter ended March 31, 2025, filed on May 2, 2025.</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First Amendment to Employment Agreement dated April 30, 2024, by and between the Company and Shane Pudenz. Incorporated by reference to Exhibit 10.4 to the Company’s Quarterly Report on Form 10-Q for its quarter ended March 31, 2025, filed on May 2, 2025.</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Employment Agreement dated March 25, 2024, by and between the Company and Kathryn Shanley. Incorporated by reference to Exhibit 10.1 to the Company’s Current Report on Form 8-K filed on March 25, 2024.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Employment Agreement dated January 2, 2025, by and between the Company and John Enwright. Incorporated by reference to Exhibit 10.1 to the Company’s Current Report on Form 8-K filed on December 4, 2024.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Indemnity Agreement with Melvin C. Payne dated December 18, 2000. Incorporated by reference to Exhibit 10.20 to the Company’s Annual Report on Form 10-K for its fiscal year ended December 31, 2000, filed on April 2, 2001.</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Transition Agreement, dated February 21, 2024, by and between the Company and Melvin C. Payne. Incorporated by reference to Exhibit 99.2 to the Company’s Current Report on Form 8-K filed on February 22, 2024.</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u w:val="single"/>
                </w:rPr>
                <w:t>Form of Notes Repurchase Agreement. Incorporated by reference to Exhibit 10.1 to the Company's Current Report on Form 8-K filed on September 4,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First Amended and Restated Credit Agreement dated as of May 13, 2021, among Carriage Services, Inc., the guarantors party thereto, the financial institutions party thereto, as lenders, and Bank of America, N.A., as administrative agent. Incorporated by reference to Exhibit 10.1 to the Company's Current Report on Form 8-K filed on May 13,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First Amendment and Commitment Increase to First Amended and Restated Credit Agreement dated as of November 22, 2021, among Carriage Services, Inc., the financial institutions party thereto, as lenders, and Bank of America, N.A., as administrative agent, swing line lender and L/C issuer. Incorporated by reference to Exhibit 10.1 to the Company's Current Report on Form 8-K filed on November 23,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erif" w:hAnsi="Times New Roman;serif"/>
                  <w:b w:val="false"/>
                  <w:color w:val="0000FF"/>
                  <w:sz w:val="20"/>
                  <w:u w:val="single"/>
                </w:rPr>
                <w:t>Second Amendment and Commitment Increase to First Amended and Restated Credit Agreement dated as of May 27, 2022, among Carriage Services, Inc., the financial institutions party thereto, as lenders, and Bank of America, N.A., as administrative agent, swing line lender, and L/C issuer.</w:t>
              </w:r>
            </w:hyperlink>
            <w:hyperlink r:id="rId55">
              <w:r>
                <w:rPr>
                  <w:rStyle w:val="InternetLink"/>
                  <w:color w:val="0000FF"/>
                  <w:u w:val="single"/>
                </w:rPr>
                <w:t xml:space="preserve"> </w:t>
              </w:r>
            </w:hyperlink>
            <w:hyperlink r:id="rId56">
              <w:r>
                <w:rPr>
                  <w:rStyle w:val="InternetLink"/>
                  <w:rFonts w:ascii="Times New Roman;serif" w:hAnsi="Times New Roman;serif"/>
                  <w:b w:val="false"/>
                  <w:color w:val="0000FF"/>
                  <w:sz w:val="20"/>
                  <w:u w:val="single"/>
                </w:rPr>
                <w:t>Incorporated by reference to Exhibit 10.1 to the Company’s Current Report on Form 8-K filed on June 1, 2022.</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802"/>
        <w:gridCol w:w="2689"/>
        <w:gridCol w:w="380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 xml:space="preserve">Third Amendment and Commitment Increase to First Amended and Restated Credit Agreement dated as of December 9, 2022, among Carriage Services, Inc., the financial institutions party thereto, as lenders, and Bank of America, N.A., as administrative agent, swing line lender and L/C issuer. Incorporated by reference to Exhibit 10.1 to the Company’s Current Report on Form 8-K filed on December 12, 2022.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Fourth Amendment to First Amended and Restated Credit Agreement dated as of July 31, 2024, among Carriage Services, Inc., the guarantors party thereto, the financial institutions party thereto, as lenders, and Bank of America, N.A., as administrative agent, swing line lender and L/C issuer. Incorporated by reference to Exhibit 10.1 to the Company's Current Report on Form 8-K filed on July 31,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Carriage Services, Inc. Insider Trading &amp; Anti-Hedging Policy, dated February 19, 2025. Incorporated by reference to Exhibit 19.1 to the Company’s Annual Report on Form 10-K for its fiscal year ended December 31, 2024, filed on February 28,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211.htm">
              <w:r>
                <w:rPr>
                  <w:rStyle w:val="InternetLink"/>
                  <w:rFonts w:ascii="Times New Roman;serif" w:hAnsi="Times New Roman;serif"/>
                  <w:b w:val="false"/>
                  <w:color w:val="0000FF"/>
                  <w:sz w:val="20"/>
                  <w:u w:val="single"/>
                </w:rPr>
                <w:t>Subsidiaries of the Company.</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231.htm">
              <w:r>
                <w:rPr>
                  <w:rStyle w:val="InternetLink"/>
                  <w:rFonts w:ascii="Times New Roman;serif" w:hAnsi="Times New Roman;serif"/>
                  <w:b w:val="false"/>
                  <w:color w:val="0000FF"/>
                  <w:sz w:val="20"/>
                  <w:u w:val="single"/>
                </w:rPr>
                <w:t>Consent of Grant Thornton LLP.</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htm">
              <w:r>
                <w:rPr>
                  <w:rStyle w:val="InternetLink"/>
                  <w:rFonts w:ascii="Times New Roman;serif" w:hAnsi="Times New Roman;serif"/>
                  <w:b w:val="false"/>
                  <w:color w:val="0000FF"/>
                  <w:sz w:val="20"/>
                  <w:u w:val="single"/>
                </w:rPr>
                <w:t>Certification of Periodic Financial Reports by Carlos R. Quezada in satisfaction of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htm">
              <w:r>
                <w:rPr>
                  <w:rStyle w:val="InternetLink"/>
                  <w:rFonts w:ascii="Times New Roman;serif" w:hAnsi="Times New Roman;serif"/>
                  <w:b w:val="false"/>
                  <w:color w:val="0000FF"/>
                  <w:sz w:val="20"/>
                  <w:u w:val="single"/>
                </w:rPr>
                <w:t>Certification of Periodic Financial Reports by John Enwright in satisfaction of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htm">
              <w:r>
                <w:rPr>
                  <w:rStyle w:val="InternetLink"/>
                  <w:rFonts w:ascii="Times New Roman;serif" w:hAnsi="Times New Roman;serif"/>
                  <w:b w:val="false"/>
                  <w:color w:val="0000FF"/>
                  <w:sz w:val="20"/>
                  <w:u w:val="single"/>
                </w:rPr>
                <w:t>Certification of Periodic Financial Reports by Carlos R. Quezada and John Enwright in satisfaction of Section 906 of the Sarbanes-Oxley Act of 2002 and 18 U.S.C. Section 1350.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Carriage Services, Inc. Compensation Recovery Policy, dated January 10, 2024. Incorporated by reference to Exhibit 97.1 to the Company's Annual Report on Form 10-K for its fiscal year ended December 31, 2023, filed on March 1,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Interactive Data Files.</w:t>
            </w:r>
          </w:p>
        </w:tc>
      </w:tr>
    </w:tbl>
    <w:p>
      <w:pPr>
        <w:pStyle w:val="TextBody"/>
        <w:bidi w:val="0"/>
        <w:spacing w:lineRule="auto" w:line="288" w:before="4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438" w:type="dxa"/>
        <w:jc w:val="right"/>
        <w:tblInd w:w="0" w:type="dxa"/>
        <w:tblLayout w:type="fixed"/>
        <w:tblCellMar>
          <w:top w:w="28" w:type="dxa"/>
          <w:left w:w="28" w:type="dxa"/>
          <w:bottom w:w="28" w:type="dxa"/>
          <w:right w:w="28" w:type="dxa"/>
        </w:tblCellMar>
      </w:tblPr>
      <w:tblGrid>
        <w:gridCol w:w="319"/>
        <w:gridCol w:w="279"/>
        <w:gridCol w:w="279"/>
        <w:gridCol w:w="279"/>
        <w:gridCol w:w="279"/>
        <w:gridCol w:w="279"/>
        <w:gridCol w:w="1363"/>
        <w:gridCol w:w="1363"/>
        <w:gridCol w:w="1998"/>
      </w:tblGrid>
      <w:tr>
        <w:trPr/>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64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CARRIAGE SERVICES, INC.</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br/>
              <w:t>Chief Executive Officer and Vice Chairman of the Board</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9548" w:type="dxa"/>
        <w:jc w:val="left"/>
        <w:tblInd w:w="0" w:type="dxa"/>
        <w:tblLayout w:type="fixed"/>
        <w:tblCellMar>
          <w:top w:w="28" w:type="dxa"/>
          <w:left w:w="28" w:type="dxa"/>
          <w:bottom w:w="28" w:type="dxa"/>
          <w:right w:w="28" w:type="dxa"/>
        </w:tblCellMar>
      </w:tblPr>
      <w:tblGrid>
        <w:gridCol w:w="825"/>
        <w:gridCol w:w="724"/>
        <w:gridCol w:w="730"/>
        <w:gridCol w:w="109"/>
        <w:gridCol w:w="109"/>
        <w:gridCol w:w="109"/>
        <w:gridCol w:w="1653"/>
        <w:gridCol w:w="1653"/>
        <w:gridCol w:w="1674"/>
        <w:gridCol w:w="109"/>
        <w:gridCol w:w="109"/>
        <w:gridCol w:w="109"/>
        <w:gridCol w:w="475"/>
        <w:gridCol w:w="475"/>
        <w:gridCol w:w="685"/>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Carlos R. Quezada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John Enwright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Kathryn Shanley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Kathryn Shanley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Donald D. Patteson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Donald D. Patteson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Chad Fargason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Chad Fargason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Meehan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Douglas Meehan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Julie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Somer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Somer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Dr. Edmondo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Dr. Edmondo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SUBSIDIARIES AS OF DECEMBER 31, 2025</w:t>
      </w:r>
    </w:p>
    <w:tbl>
      <w:tblPr>
        <w:tblW w:w="7736" w:type="dxa"/>
        <w:jc w:val="center"/>
        <w:tblInd w:w="0" w:type="dxa"/>
        <w:tblLayout w:type="fixed"/>
        <w:tblCellMar>
          <w:top w:w="28" w:type="dxa"/>
          <w:left w:w="28" w:type="dxa"/>
          <w:bottom w:w="28" w:type="dxa"/>
          <w:right w:w="28" w:type="dxa"/>
        </w:tblCellMar>
      </w:tblPr>
      <w:tblGrid>
        <w:gridCol w:w="1442"/>
        <w:gridCol w:w="1265"/>
        <w:gridCol w:w="1282"/>
        <w:gridCol w:w="109"/>
        <w:gridCol w:w="109"/>
        <w:gridCol w:w="109"/>
        <w:gridCol w:w="1002"/>
        <w:gridCol w:w="1002"/>
        <w:gridCol w:w="1416"/>
      </w:tblGrid>
      <w:tr>
        <w:trPr/>
        <w:tc>
          <w:tcPr>
            <w:tcW w:w="144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INCORPORATION</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Funeral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CFS Funeral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Holding Company,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Funeral Services of Michigan,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Michigan</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Funeral Services of Kentucky,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Kentucky</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Funeral Services of California,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Cemetery Services of Idaho,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Idaho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Wilson &amp; Kratzer Mortuaries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Rolling Hills Memorial Park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Connecticut,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Connecticut</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CSI Funeral Services of Massachusetts,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CHC Insurance Agency of Ohio,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Ohio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New Mexico,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Mexico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Forastiere Family Funeral Service,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Cemetery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Oklahoma,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Oklahoma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Nevada,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Hubbard Funeral Home,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Maryland</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Team California (Cemetery),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Team California (Funeral),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Team Florida (Cemetery),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Team Florida (Funeral),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Ohio,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Team Kansas,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Municipal Cemetery Services of Nevada,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Cemetery Services of California,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Insurance Agency of Massachusetts,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Management,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Cochrane’s Chapel of the Roses,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Horizon Cremation Society,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Life Events,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Pennsylvania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Funeral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Florida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Cloverdale Park,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Idaho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Cataudella Funeral Home,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Investment Advisors,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PNCA,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Operations,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Tennessee,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Carriage Services of Louisiana,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Louisiana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Calvary Memorial Park,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Virginia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Memorial Funeral Home,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Virginia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160"/>
        <w:jc w:val="center"/>
        <w:rPr/>
      </w:pPr>
      <w:r>
        <w:rPr/>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before="0" w:after="160"/>
        <w:jc w:val="center"/>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We have issued our reports dated February 26, 2026, with respect to the consolidated financial statements and internal control over financial reporting included in the Annual Report of Carriage Services, Inc. on Form 10-K for the year ended December 31, 2025. We consent to the incorporation by reference of said reports in the Registration Statements of Carriage Services, Inc. on Form S-3 (File No. 333-272350) and on Forms S-8 (File No. 333-162408, File No. 333-181724, File No. 333-218115, File No. 333-225142 and File No. 333-262913).</w:t>
      </w:r>
    </w:p>
    <w:p>
      <w:pPr>
        <w:pStyle w:val="TextBody"/>
        <w:bidi w:val="0"/>
        <w:spacing w:before="0" w:after="160"/>
        <w:jc w:val="both"/>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/s/GRANT THORNTON LLP</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Houston, Texas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February 26,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Carlos R. Quezada,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301"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John Enwright,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555"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458"/>
        <w:gridCol w:w="1458"/>
        <w:gridCol w:w="2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10-K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555"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454"/>
        <w:gridCol w:w="1454"/>
        <w:gridCol w:w="20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6281/0000890566-97-000478.txt" TargetMode="External"/><Relationship Id="rId4" Type="http://schemas.openxmlformats.org/officeDocument/2006/relationships/hyperlink" Target="https://www.sec.gov/Archives/edgar/data/1016281/0000890566-97-002454.txt" TargetMode="External"/><Relationship Id="rId5" Type="http://schemas.openxmlformats.org/officeDocument/2006/relationships/hyperlink" Target="https://www.sec.gov/Archives/edgar/data/1016281/000091205702031617/a2085940zex-1.htm" TargetMode="External"/><Relationship Id="rId6" Type="http://schemas.openxmlformats.org/officeDocument/2006/relationships/hyperlink" Target="https://www.sec.gov/Archives/edgar/data/1016281/000119312523172574/d523780dex31.htm" TargetMode="External"/><Relationship Id="rId7" Type="http://schemas.openxmlformats.org/officeDocument/2006/relationships/hyperlink" Target="https://www.sec.gov/ix?doc=/Archives/edgar/data/0001016281/000119312521160561/d535610d8k.htm" TargetMode="External"/><Relationship Id="rId8" Type="http://schemas.openxmlformats.org/officeDocument/2006/relationships/hyperlink" Target="https://www.sec.gov/ix?doc=/Archives/edgar/data/0001016281/000119312521160561/d535610d8k.htm" TargetMode="External"/><Relationship Id="rId9" Type="http://schemas.openxmlformats.org/officeDocument/2006/relationships/hyperlink" Target="https://www.sec.gov/Archives/edgar/data/1016281/000119312512341003/d377326dex101.htm" TargetMode="External"/><Relationship Id="rId10" Type="http://schemas.openxmlformats.org/officeDocument/2006/relationships/hyperlink" Target="https://www.sec.gov/Archives/edgar/data/1016281/000101628114000055/a1028firstamendmenttosecon.htm" TargetMode="External"/><Relationship Id="rId11" Type="http://schemas.openxmlformats.org/officeDocument/2006/relationships/hyperlink" Target="https://www.sec.gov/Archives/edgar/data/1016281/000101628113000112/a101amendedandrestatedcarr.htm" TargetMode="External"/><Relationship Id="rId12" Type="http://schemas.openxmlformats.org/officeDocument/2006/relationships/hyperlink" Target="https://www.sec.gov/Archives/edgar/data/1016281/000101628118000045/csv12312017proxy.htm" TargetMode="External"/><Relationship Id="rId13" Type="http://schemas.openxmlformats.org/officeDocument/2006/relationships/hyperlink" Target="https://www.sec.gov/Archives/edgar/data/0001016281/000119312521106515/d55684ddef14a.htm" TargetMode="External"/><Relationship Id="rId14" Type="http://schemas.openxmlformats.org/officeDocument/2006/relationships/hyperlink" Target="https://www.sec.gov/Archives/edgar/data/1016281/000101628117000047/csv12312016proxy.htm" TargetMode="External"/><Relationship Id="rId15" Type="http://schemas.openxmlformats.org/officeDocument/2006/relationships/hyperlink" Target="https://www.sec.gov/Archives/edgar/data/1016281/000101628122000046/summaryofsecuritiesdescrip.htm" TargetMode="External"/><Relationship Id="rId16" Type="http://schemas.openxmlformats.org/officeDocument/2006/relationships/hyperlink" Target="https://www.sec.gov/Archives/edgar/data/1016281/000101628124000132/directorcompensationpoli.htm" TargetMode="External"/><Relationship Id="rId17" Type="http://schemas.openxmlformats.org/officeDocument/2006/relationships/hyperlink" Target="https://www.sec.gov/Archives/edgar/data/1016281/000101628113000089/a101incentivestockoptionag.htm" TargetMode="External"/><Relationship Id="rId18" Type="http://schemas.openxmlformats.org/officeDocument/2006/relationships/hyperlink" Target="https://www.sec.gov/Archives/edgar/data/1016281/000101628118000024/csv-ex1033x20171231x10k.htm" TargetMode="External"/><Relationship Id="rId19" Type="http://schemas.openxmlformats.org/officeDocument/2006/relationships/hyperlink" Target="https://www.sec.gov/Archives/edgar/data/1016281/000101628118000024/csv-ex1031x20171231x10k.htm" TargetMode="External"/><Relationship Id="rId20" Type="http://schemas.openxmlformats.org/officeDocument/2006/relationships/hyperlink" Target="https://www.sec.gov/Archives/edgar/data/1016281/000101628118000024/csv-ex1030x20171231x10k.htm" TargetMode="External"/><Relationship Id="rId21" Type="http://schemas.openxmlformats.org/officeDocument/2006/relationships/hyperlink" Target="https://www.sec.gov/Archives/edgar/data/1016281/000101628120000103/ex102-formofperformanceagr.htm" TargetMode="External"/><Relationship Id="rId22" Type="http://schemas.openxmlformats.org/officeDocument/2006/relationships/hyperlink" Target="https://www.sec.gov/Archives/edgar/data/1016281/000101628122000046/formofamendmentgtgii060120.htm" TargetMode="External"/><Relationship Id="rId23" Type="http://schemas.openxmlformats.org/officeDocument/2006/relationships/hyperlink" Target="https://www.sec.gov/Archives/edgar/data/1016281/000101628125000077/ltiperformanceaward03072.htm" TargetMode="External"/><Relationship Id="rId24" Type="http://schemas.openxmlformats.org/officeDocument/2006/relationships/hyperlink" Target="https://www.sec.gov/Archives/edgar/data/1016281/000101628125000077/ltiperformanceaward03072.htm" TargetMode="External"/><Relationship Id="rId25" Type="http://schemas.openxmlformats.org/officeDocument/2006/relationships/hyperlink" Target="https://www.sec.gov/Archives/edgar/data/1016281/000101628125000077/ltiperformanceaward03072.htm" TargetMode="External"/><Relationship Id="rId26" Type="http://schemas.openxmlformats.org/officeDocument/2006/relationships/hyperlink" Target="https://www.sec.gov/Archives/edgar/data/1016281/000101628125000077/ltiperformanceaward03072.htm" TargetMode="External"/><Relationship Id="rId27" Type="http://schemas.openxmlformats.org/officeDocument/2006/relationships/hyperlink" Target="https://www.sec.gov/Archives/edgar/data/1016281/000101628125000077/ltiperformanceaward03072.htm" TargetMode="External"/><Relationship Id="rId28" Type="http://schemas.openxmlformats.org/officeDocument/2006/relationships/hyperlink" Target="https://www.sec.gov/Archives/edgar/data/1016281/000101628125000077/ltiperformanceaward03072.htm" TargetMode="External"/><Relationship Id="rId29" Type="http://schemas.openxmlformats.org/officeDocument/2006/relationships/hyperlink" Target="https://www.sec.gov/Archives/edgar/data/1016281/000101628125000077/ltiperformanceaward03072.htm" TargetMode="External"/><Relationship Id="rId30" Type="http://schemas.openxmlformats.org/officeDocument/2006/relationships/hyperlink" Target="https://www.sec.gov/Archives/edgar/data/1016281/000101628125000077/ltiperformanceaward03072.htm" TargetMode="External"/><Relationship Id="rId31" Type="http://schemas.openxmlformats.org/officeDocument/2006/relationships/hyperlink" Target="https://www.sec.gov/Archives/edgar/data/1016281/000101628125000077/ltiperformanceaward03072.htm" TargetMode="External"/><Relationship Id="rId32" Type="http://schemas.openxmlformats.org/officeDocument/2006/relationships/hyperlink" Target="https://www.sec.gov/Archives/edgar/data/1016281/000101628125000077/ltiperformanceaward03072.htm" TargetMode="External"/><Relationship Id="rId33" Type="http://schemas.openxmlformats.org/officeDocument/2006/relationships/hyperlink" Target="https://www.sec.gov/Archives/edgar/data/1016281/000101628122000046/carlosquezadaagreementjune.htm" TargetMode="External"/><Relationship Id="rId34" Type="http://schemas.openxmlformats.org/officeDocument/2006/relationships/hyperlink" Target="https://www.sec.gov/Archives/edgar/data/1016281/000101628122000046/carlosquezadaagreementfirs.htm" TargetMode="External"/><Relationship Id="rId35" Type="http://schemas.openxmlformats.org/officeDocument/2006/relationships/hyperlink" Target="https://www.sec.gov/Archives/edgar/data/1016281/000101628122000120/carlosquezadaagreementse.htm" TargetMode="External"/><Relationship Id="rId36" Type="http://schemas.openxmlformats.org/officeDocument/2006/relationships/hyperlink" Target="https://www.sec.gov/Archives/edgar/data/1016281/000101628123000108/carlosquezadaagreementth.htm" TargetMode="External"/><Relationship Id="rId37" Type="http://schemas.openxmlformats.org/officeDocument/2006/relationships/hyperlink" Target="https://www.sec.gov/Archives/edgar/data/1016281/000101628124000091/carlosquezadaagreementfo.htm" TargetMode="External"/><Relationship Id="rId38" Type="http://schemas.openxmlformats.org/officeDocument/2006/relationships/hyperlink" Target="https://www.sec.gov/Archives/edgar/data/1016281/000101628122000046/stevemetzgeragreementnovem.htm" TargetMode="External"/><Relationship Id="rId39" Type="http://schemas.openxmlformats.org/officeDocument/2006/relationships/hyperlink" Target="https://www.sec.gov/Archives/edgar/data/1016281/000101628122000046/stevemetzgeragreementfirst.htm" TargetMode="External"/><Relationship Id="rId40" Type="http://schemas.openxmlformats.org/officeDocument/2006/relationships/hyperlink" Target="https://www.sec.gov/Archives/edgar/data/1016281/000101628122000120/stevemetzgeragreementsec.htm" TargetMode="External"/><Relationship Id="rId41" Type="http://schemas.openxmlformats.org/officeDocument/2006/relationships/hyperlink" Target="https://www.sec.gov/Archives/edgar/data/1016281/000101628123000108/stevemetzgeragreementthi.htm" TargetMode="External"/><Relationship Id="rId42" Type="http://schemas.openxmlformats.org/officeDocument/2006/relationships/hyperlink" Target="https://www.sec.gov/Archives/edgar/data/1016281/000101628124000091/stevemetzgeragreementfou.htm" TargetMode="External"/><Relationship Id="rId43" Type="http://schemas.openxmlformats.org/officeDocument/2006/relationships/hyperlink" Target="https://www.sec.gov/Archives/edgar/data/1016281/000101628125000077/robfranchagreement040120.htm" TargetMode="External"/><Relationship Id="rId44" Type="http://schemas.openxmlformats.org/officeDocument/2006/relationships/hyperlink" Target="https://www.sec.gov/Archives/edgar/data/1016281/000101628125000077/robfranchfirstamendment0.htm" TargetMode="External"/><Relationship Id="rId45" Type="http://schemas.openxmlformats.org/officeDocument/2006/relationships/hyperlink" Target="https://www.sec.gov/Archives/edgar/data/1016281/000101628125000077/shanepudenzagreementfebr.htm" TargetMode="External"/><Relationship Id="rId46" Type="http://schemas.openxmlformats.org/officeDocument/2006/relationships/hyperlink" Target="https://www.sec.gov/Archives/edgar/data/1016281/000101628125000077/signedshanepudenzfirstam.htm" TargetMode="External"/><Relationship Id="rId47" Type="http://schemas.openxmlformats.org/officeDocument/2006/relationships/hyperlink" Target="https://www.sec.gov/Archives/edgar/data/1016281/000101628124000063/kathyshanleyagreement032.htm" TargetMode="External"/><Relationship Id="rId48" Type="http://schemas.openxmlformats.org/officeDocument/2006/relationships/hyperlink" Target="https://www.sec.gov/Archives/edgar/data/1016281/000101628124000182/enwrightemploymentagreem.htm" TargetMode="External"/><Relationship Id="rId49" Type="http://schemas.openxmlformats.org/officeDocument/2006/relationships/hyperlink" Target="https://www.sec.gov/Archives/edgar/data/1016281/000091205701506194/a2043597zex-10_20.txt" TargetMode="External"/><Relationship Id="rId50" Type="http://schemas.openxmlformats.org/officeDocument/2006/relationships/hyperlink" Target="https://www.sec.gov/Archives/edgar/data/1016281/000121390024015900/ea0200435ex99-2_carriage.htm" TargetMode="External"/><Relationship Id="rId51" Type="http://schemas.openxmlformats.org/officeDocument/2006/relationships/hyperlink" Target="https://www.sec.gov/Archives/edgar/data/1016281/000119312520240126/d35567dex101.htm" TargetMode="External"/><Relationship Id="rId52" Type="http://schemas.openxmlformats.org/officeDocument/2006/relationships/hyperlink" Target="https://www.sec.gov/Archives/edgar/data/1016281/000119312521160561/d535610dex101.htm" TargetMode="External"/><Relationship Id="rId53" Type="http://schemas.openxmlformats.org/officeDocument/2006/relationships/hyperlink" Target="https://www.sec.gov/Archives/edgar/data/1016281/000119312521338438/d114046dex101.htm" TargetMode="External"/><Relationship Id="rId54" Type="http://schemas.openxmlformats.org/officeDocument/2006/relationships/hyperlink" Target="https://www.sec.gov/Archives/edgar/data/1016281/000119312522165282/d535125dex101.htm" TargetMode="External"/><Relationship Id="rId55" Type="http://schemas.openxmlformats.org/officeDocument/2006/relationships/hyperlink" Target="https://www.sec.gov/Archives/edgar/data/1016281/000119312522165282/d535125dex101.htm" TargetMode="External"/><Relationship Id="rId56" Type="http://schemas.openxmlformats.org/officeDocument/2006/relationships/hyperlink" Target="https://www.sec.gov/Archives/edgar/data/1016281/000119312522165282/d535125dex101.htm" TargetMode="External"/><Relationship Id="rId57" Type="http://schemas.openxmlformats.org/officeDocument/2006/relationships/hyperlink" Target="https://www.sec.gov/Archives/edgar/data/1016281/000101628122000123/carriage-thirdamendmentt.htm" TargetMode="External"/><Relationship Id="rId58" Type="http://schemas.openxmlformats.org/officeDocument/2006/relationships/hyperlink" Target="https://www.sec.gov/Archives/edgar/data/1016281/000119312524190142/d872733dex101.htm" TargetMode="External"/><Relationship Id="rId59" Type="http://schemas.openxmlformats.org/officeDocument/2006/relationships/hyperlink" Target="https://www.sec.gov/Archives/edgar/data/1016281/000101628125000045/csvinsidertradinganti-he.htm" TargetMode="External"/><Relationship Id="rId60" Type="http://schemas.openxmlformats.org/officeDocument/2006/relationships/hyperlink" Target="https://www.sec.gov/Archives/edgar/data/1016281/000101628124000041/carriageservices-compensat.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53393</Words>
  <Characters>297243</Characters>
  <CharactersWithSpaces>347455</CharactersWithSpaces>
  <Paragraphs>6277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