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25" w:lineRule="exact"/>
        <w:rPr>
          <w:sz w:val="24"/>
          <w:szCs w:val="24"/>
          <w:color w:val="auto"/>
        </w:rPr>
      </w:pPr>
    </w:p>
    <w:p>
      <w:pPr>
        <w:ind w:left="5280"/>
        <w:spacing w:after="0"/>
        <w:rPr>
          <w:sz w:val="20"/>
          <w:szCs w:val="20"/>
          <w:color w:val="auto"/>
        </w:rPr>
      </w:pPr>
      <w:r>
        <w:rPr>
          <w:rFonts w:ascii="Arial" w:cs="Arial" w:eastAsia="Arial" w:hAnsi="Arial"/>
          <w:sz w:val="29"/>
          <w:szCs w:val="29"/>
          <w:b w:val="1"/>
          <w:bCs w:val="1"/>
          <w:color w:val="auto"/>
        </w:rPr>
        <w:t>FORM 10-Q</w:t>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660" w:right="120" w:hanging="652"/>
        <w:spacing w:after="0" w:line="254" w:lineRule="auto"/>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1934</w:t>
      </w:r>
    </w:p>
    <w:p>
      <w:pPr>
        <w:spacing w:after="0" w:line="3"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w w:val="99"/>
              </w:rPr>
              <w:t>For the transition period from ___________ to  ____________</w:t>
            </w:r>
          </w:p>
        </w:tc>
        <w:tc>
          <w:tcPr>
            <w:tcW w:w="900" w:type="dxa"/>
            <w:vAlign w:val="bottom"/>
          </w:tcPr>
          <w:p>
            <w:pPr>
              <w:spacing w:after="0"/>
              <w:rPr>
                <w:sz w:val="20"/>
                <w:szCs w:val="20"/>
                <w:color w:val="auto"/>
              </w:rPr>
            </w:pPr>
          </w:p>
        </w:tc>
      </w:tr>
      <w:tr>
        <w:trPr>
          <w:trHeight w:val="489"/>
        </w:trPr>
        <w:tc>
          <w:tcPr>
            <w:tcW w:w="5220" w:type="dxa"/>
            <w:vAlign w:val="bottom"/>
          </w:tcPr>
          <w:p>
            <w:pPr>
              <w:ind w:left="2740"/>
              <w:spacing w:after="0"/>
              <w:rPr>
                <w:sz w:val="20"/>
                <w:szCs w:val="20"/>
                <w:color w:val="auto"/>
              </w:rPr>
            </w:pPr>
            <w:r>
              <w:rPr>
                <w:rFonts w:ascii="Arial" w:cs="Arial" w:eastAsia="Arial" w:hAnsi="Arial"/>
                <w:sz w:val="20"/>
                <w:szCs w:val="20"/>
                <w:b w:val="1"/>
                <w:bCs w:val="1"/>
                <w:color w:val="auto"/>
                <w:w w:val="99"/>
              </w:rPr>
              <w:t>Commission File Number:</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1-11961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14605</wp:posOffset>
            </wp:positionV>
            <wp:extent cx="4174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CARRIAGE SERVICES,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90170</wp:posOffset>
            </wp:positionV>
            <wp:extent cx="2785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840" w:type="dxa"/>
            <w:vAlign w:val="bottom"/>
            <w:gridSpan w:val="2"/>
          </w:tcPr>
          <w:p>
            <w:pPr>
              <w:jc w:val="center"/>
              <w:ind w:left="1725"/>
              <w:spacing w:after="0"/>
              <w:rPr>
                <w:sz w:val="20"/>
                <w:szCs w:val="20"/>
                <w:color w:val="auto"/>
              </w:rPr>
            </w:pPr>
            <w:r>
              <w:rPr>
                <w:rFonts w:ascii="Arial" w:cs="Arial" w:eastAsia="Arial" w:hAnsi="Arial"/>
                <w:sz w:val="18"/>
                <w:szCs w:val="18"/>
                <w:b w:val="1"/>
                <w:bCs w:val="1"/>
                <w:color w:val="auto"/>
                <w:w w:val="91"/>
              </w:rPr>
              <w:t>Delaware</w:t>
            </w:r>
          </w:p>
        </w:tc>
        <w:tc>
          <w:tcPr>
            <w:tcW w:w="2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2"/>
          </w:tcPr>
          <w:p>
            <w:pPr>
              <w:jc w:val="center"/>
              <w:ind w:right="1628"/>
              <w:spacing w:after="0"/>
              <w:rPr>
                <w:sz w:val="20"/>
                <w:szCs w:val="20"/>
                <w:color w:val="auto"/>
              </w:rPr>
            </w:pPr>
            <w:r>
              <w:rPr>
                <w:rFonts w:ascii="Arial" w:cs="Arial" w:eastAsia="Arial" w:hAnsi="Arial"/>
                <w:sz w:val="18"/>
                <w:szCs w:val="18"/>
                <w:b w:val="1"/>
                <w:bCs w:val="1"/>
                <w:color w:val="auto"/>
                <w:w w:val="89"/>
              </w:rPr>
              <w:t>76-0423828</w:t>
            </w:r>
          </w:p>
        </w:tc>
      </w:tr>
      <w:tr>
        <w:trPr>
          <w:trHeight w:val="180"/>
        </w:trPr>
        <w:tc>
          <w:tcPr>
            <w:tcW w:w="3840" w:type="dxa"/>
            <w:vAlign w:val="bottom"/>
            <w:gridSpan w:val="2"/>
          </w:tcPr>
          <w:p>
            <w:pPr>
              <w:jc w:val="center"/>
              <w:ind w:left="1725"/>
              <w:spacing w:after="0"/>
              <w:rPr>
                <w:sz w:val="20"/>
                <w:szCs w:val="20"/>
                <w:color w:val="auto"/>
              </w:rPr>
            </w:pPr>
            <w:r>
              <w:rPr>
                <w:rFonts w:ascii="Arial" w:cs="Arial" w:eastAsia="Arial" w:hAnsi="Arial"/>
                <w:sz w:val="14"/>
                <w:szCs w:val="14"/>
                <w:b w:val="1"/>
                <w:bCs w:val="1"/>
                <w:color w:val="auto"/>
                <w:w w:val="93"/>
              </w:rPr>
              <w:t>(State or other jurisdiction of</w:t>
            </w:r>
          </w:p>
        </w:tc>
        <w:tc>
          <w:tcPr>
            <w:tcW w:w="2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40" w:type="dxa"/>
            <w:vAlign w:val="bottom"/>
          </w:tcPr>
          <w:p>
            <w:pPr>
              <w:jc w:val="center"/>
              <w:ind w:right="212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gridSpan w:val="2"/>
          </w:tcPr>
          <w:p>
            <w:pPr>
              <w:jc w:val="center"/>
              <w:ind w:left="1725"/>
              <w:spacing w:after="0"/>
              <w:rPr>
                <w:sz w:val="20"/>
                <w:szCs w:val="20"/>
                <w:color w:val="auto"/>
              </w:rPr>
            </w:pPr>
            <w:r>
              <w:rPr>
                <w:rFonts w:ascii="Arial" w:cs="Arial" w:eastAsia="Arial" w:hAnsi="Arial"/>
                <w:sz w:val="14"/>
                <w:szCs w:val="14"/>
                <w:b w:val="1"/>
                <w:bCs w:val="1"/>
                <w:color w:val="auto"/>
                <w:w w:val="94"/>
              </w:rPr>
              <w:t>incorporation or organization)</w:t>
            </w:r>
          </w:p>
        </w:tc>
        <w:tc>
          <w:tcPr>
            <w:tcW w:w="2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40" w:type="dxa"/>
            <w:vAlign w:val="bottom"/>
          </w:tcPr>
          <w:p>
            <w:pPr>
              <w:jc w:val="center"/>
              <w:ind w:right="2148"/>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20"/>
              <w:spacing w:after="0"/>
              <w:rPr>
                <w:sz w:val="20"/>
                <w:szCs w:val="20"/>
                <w:color w:val="auto"/>
              </w:rPr>
            </w:pPr>
            <w:r>
              <w:rPr>
                <w:rFonts w:ascii="Arial" w:cs="Arial" w:eastAsia="Arial" w:hAnsi="Arial"/>
                <w:sz w:val="18"/>
                <w:szCs w:val="18"/>
                <w:b w:val="1"/>
                <w:bCs w:val="1"/>
                <w:color w:val="auto"/>
                <w:w w:val="90"/>
              </w:rPr>
              <w:t>3040 Post Oak Boulevard, Suite 300</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12"/>
        </w:trPr>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20"/>
              <w:spacing w:after="0"/>
              <w:rPr>
                <w:sz w:val="20"/>
                <w:szCs w:val="20"/>
                <w:color w:val="auto"/>
              </w:rPr>
            </w:pPr>
            <w:r>
              <w:rPr>
                <w:rFonts w:ascii="Arial" w:cs="Arial" w:eastAsia="Arial" w:hAnsi="Arial"/>
                <w:sz w:val="18"/>
                <w:szCs w:val="18"/>
                <w:b w:val="1"/>
                <w:bCs w:val="1"/>
                <w:color w:val="auto"/>
                <w:w w:val="88"/>
              </w:rPr>
              <w:t>Houston, Texas, 77056</w:t>
            </w:r>
          </w:p>
        </w:tc>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166"/>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12"/>
        </w:trPr>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20"/>
              <w:spacing w:after="0"/>
              <w:rPr>
                <w:sz w:val="20"/>
                <w:szCs w:val="20"/>
                <w:color w:val="auto"/>
              </w:rPr>
            </w:pPr>
            <w:r>
              <w:rPr>
                <w:rFonts w:ascii="Arial" w:cs="Arial" w:eastAsia="Arial" w:hAnsi="Arial"/>
                <w:sz w:val="18"/>
                <w:szCs w:val="18"/>
                <w:b w:val="1"/>
                <w:bCs w:val="1"/>
                <w:color w:val="auto"/>
                <w:w w:val="90"/>
              </w:rPr>
              <w:t>(713) 332-8400</w:t>
            </w:r>
          </w:p>
        </w:tc>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186"/>
        </w:trPr>
        <w:tc>
          <w:tcPr>
            <w:tcW w:w="3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2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33"/>
        </w:trPr>
        <w:tc>
          <w:tcPr>
            <w:tcW w:w="34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r>
      <w:tr>
        <w:trPr>
          <w:trHeight w:val="468"/>
        </w:trPr>
        <w:tc>
          <w:tcPr>
            <w:tcW w:w="38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60"/>
        </w:trPr>
        <w:tc>
          <w:tcPr>
            <w:tcW w:w="3840" w:type="dxa"/>
            <w:vAlign w:val="bottom"/>
            <w:tcBorders>
              <w:bottom w:val="single" w:sz="8" w:color="auto"/>
            </w:tcBorders>
            <w:gridSpan w:val="2"/>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2"/>
          </w:tcPr>
          <w:p>
            <w:pPr>
              <w:spacing w:after="0"/>
              <w:rPr>
                <w:sz w:val="13"/>
                <w:szCs w:val="13"/>
                <w:color w:val="auto"/>
              </w:rPr>
            </w:pPr>
          </w:p>
        </w:tc>
      </w:tr>
      <w:tr>
        <w:trPr>
          <w:trHeight w:val="190"/>
        </w:trPr>
        <w:tc>
          <w:tcPr>
            <w:tcW w:w="38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2"/>
              </w:rPr>
              <w:t>Title of each class</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1320" w:type="dxa"/>
            <w:vAlign w:val="bottom"/>
            <w:tcBorders>
              <w:bottom w:val="single" w:sz="8" w:color="auto"/>
            </w:tcBorders>
          </w:tcPr>
          <w:p>
            <w:pPr>
              <w:spacing w:after="0"/>
              <w:rPr>
                <w:sz w:val="16"/>
                <w:szCs w:val="16"/>
                <w:color w:val="auto"/>
              </w:rPr>
            </w:pPr>
          </w:p>
        </w:tc>
        <w:tc>
          <w:tcPr>
            <w:tcW w:w="3960" w:type="dxa"/>
            <w:vAlign w:val="bottom"/>
            <w:tcBorders>
              <w:bottom w:val="single" w:sz="8" w:color="auto"/>
              <w:right w:val="single" w:sz="8" w:color="auto"/>
            </w:tcBorders>
            <w:gridSpan w:val="2"/>
          </w:tcPr>
          <w:p>
            <w:pPr>
              <w:jc w:val="center"/>
              <w:ind w:right="1268"/>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8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Common Stock, par value $.01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CSV</w:t>
            </w:r>
          </w:p>
        </w:tc>
        <w:tc>
          <w:tcPr>
            <w:tcW w:w="1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1808"/>
              <w:spacing w:after="0"/>
              <w:rPr>
                <w:sz w:val="20"/>
                <w:szCs w:val="20"/>
                <w:color w:val="auto"/>
              </w:rPr>
            </w:pPr>
            <w:r>
              <w:rPr>
                <w:rFonts w:ascii="Arial" w:cs="Arial" w:eastAsia="Arial" w:hAnsi="Arial"/>
                <w:sz w:val="14"/>
                <w:szCs w:val="14"/>
                <w:color w:val="auto"/>
                <w:w w:val="94"/>
              </w:rPr>
              <w:t>New York Stock Exchange</w:t>
            </w:r>
          </w:p>
        </w:tc>
      </w:tr>
    </w:tbl>
    <w:p>
      <w:pPr>
        <w:spacing w:after="0" w:line="184" w:lineRule="exact"/>
        <w:rPr>
          <w:sz w:val="24"/>
          <w:szCs w:val="24"/>
          <w:color w:val="auto"/>
        </w:rPr>
      </w:pPr>
    </w:p>
    <w:p>
      <w:pPr>
        <w:jc w:val="both"/>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3" w:lineRule="exact"/>
        <w:rPr>
          <w:sz w:val="24"/>
          <w:szCs w:val="24"/>
          <w:color w:val="auto"/>
        </w:rPr>
      </w:pPr>
    </w:p>
    <w:p>
      <w:pPr>
        <w:jc w:val="both"/>
        <w:ind w:right="40"/>
        <w:spacing w:after="0" w:line="215" w:lineRule="exact"/>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w:t>
      </w:r>
      <w:r>
        <w:rPr>
          <w:rFonts w:ascii="Arial" w:cs="Arial" w:eastAsia="Arial" w:hAnsi="Arial"/>
          <w:sz w:val="17"/>
          <w:szCs w:val="17"/>
          <w:color w:val="211D1E"/>
        </w:rPr>
        <w:t>§</w:t>
      </w:r>
      <w:r>
        <w:rPr>
          <w:rFonts w:ascii="Arial" w:cs="Arial" w:eastAsia="Arial" w:hAnsi="Arial"/>
          <w:sz w:val="14"/>
          <w:szCs w:val="14"/>
          <w:color w:val="auto"/>
        </w:rPr>
        <w:t xml:space="preserve">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jc w:val="both"/>
        <w:ind w:right="2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1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60" w:type="dxa"/>
            <w:vAlign w:val="bottom"/>
          </w:tcPr>
          <w:p>
            <w:pPr>
              <w:ind w:left="212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518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60" w:type="dxa"/>
            <w:vAlign w:val="bottom"/>
          </w:tcPr>
          <w:p>
            <w:pPr>
              <w:ind w:left="212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48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3960" w:type="dxa"/>
            <w:vAlign w:val="bottom"/>
          </w:tcPr>
          <w:p>
            <w:pPr>
              <w:ind w:left="212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53"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right="3640"/>
        <w:spacing w:after="0" w:line="22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as of July 29, 2020 was 17,933,918.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CARRIAGE SERVICES,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263"/>
        </w:trPr>
        <w:tc>
          <w:tcPr>
            <w:tcW w:w="10060" w:type="dxa"/>
            <w:vAlign w:val="bottom"/>
            <w:gridSpan w:val="6"/>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tc>
        <w:tc>
          <w:tcPr>
            <w:tcW w:w="6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392"/>
        </w:trPr>
        <w:tc>
          <w:tcPr>
            <w:tcW w:w="34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 Financial Statements</w:t>
              </w:r>
            </w:hyperlink>
          </w:p>
        </w:tc>
        <w:tc>
          <w:tcPr>
            <w:tcW w:w="1120" w:type="dxa"/>
            <w:vAlign w:val="bottom"/>
            <w:gridSpan w:val="3"/>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392"/>
        </w:trPr>
        <w:tc>
          <w:tcPr>
            <w:tcW w:w="340" w:type="dxa"/>
            <w:vAlign w:val="bottom"/>
          </w:tcPr>
          <w:p>
            <w:pPr>
              <w:spacing w:after="0"/>
              <w:rPr>
                <w:sz w:val="24"/>
                <w:szCs w:val="24"/>
                <w:color w:val="auto"/>
              </w:rPr>
            </w:pPr>
          </w:p>
        </w:tc>
        <w:tc>
          <w:tcPr>
            <w:tcW w:w="9720" w:type="dxa"/>
            <w:vAlign w:val="bottom"/>
            <w:gridSpan w:val="5"/>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 as of December 31, 2019 and June 30, 2020</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392"/>
        </w:trPr>
        <w:tc>
          <w:tcPr>
            <w:tcW w:w="340" w:type="dxa"/>
            <w:vAlign w:val="bottom"/>
          </w:tcPr>
          <w:p>
            <w:pPr>
              <w:spacing w:after="0"/>
              <w:rPr>
                <w:sz w:val="24"/>
                <w:szCs w:val="24"/>
                <w:color w:val="auto"/>
              </w:rPr>
            </w:pPr>
          </w:p>
        </w:tc>
        <w:tc>
          <w:tcPr>
            <w:tcW w:w="9720" w:type="dxa"/>
            <w:vAlign w:val="bottom"/>
            <w:gridSpan w:val="5"/>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and Six Months ended June 30, 2019 and 2020</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391"/>
        </w:trPr>
        <w:tc>
          <w:tcPr>
            <w:tcW w:w="340" w:type="dxa"/>
            <w:vAlign w:val="bottom"/>
          </w:tcPr>
          <w:p>
            <w:pPr>
              <w:spacing w:after="0"/>
              <w:rPr>
                <w:sz w:val="24"/>
                <w:szCs w:val="24"/>
                <w:color w:val="auto"/>
              </w:rPr>
            </w:pPr>
          </w:p>
        </w:tc>
        <w:tc>
          <w:tcPr>
            <w:tcW w:w="9720" w:type="dxa"/>
            <w:vAlign w:val="bottom"/>
            <w:gridSpan w:val="5"/>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 for the Six Months ended June 30, 2019 and 2020</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392"/>
        </w:trPr>
        <w:tc>
          <w:tcPr>
            <w:tcW w:w="340" w:type="dxa"/>
            <w:vAlign w:val="bottom"/>
          </w:tcPr>
          <w:p>
            <w:pPr>
              <w:spacing w:after="0"/>
              <w:rPr>
                <w:sz w:val="24"/>
                <w:szCs w:val="24"/>
                <w:color w:val="auto"/>
              </w:rPr>
            </w:pPr>
          </w:p>
        </w:tc>
        <w:tc>
          <w:tcPr>
            <w:tcW w:w="9720" w:type="dxa"/>
            <w:vAlign w:val="bottom"/>
            <w:gridSpan w:val="5"/>
          </w:tcPr>
          <w:p>
            <w:pPr>
              <w:ind w:left="340"/>
              <w:spacing w:after="0"/>
              <w:rPr>
                <w:rFonts w:ascii="Arial" w:cs="Arial" w:eastAsia="Arial" w:hAnsi="Arial"/>
                <w:sz w:val="18"/>
                <w:szCs w:val="18"/>
                <w:u w:val="single" w:color="auto"/>
                <w:color w:val="0000EE"/>
                <w:w w:val="95"/>
              </w:rPr>
            </w:pPr>
            <w:hyperlink w:anchor="page6">
              <w:r>
                <w:rPr>
                  <w:rFonts w:ascii="Arial" w:cs="Arial" w:eastAsia="Arial" w:hAnsi="Arial"/>
                  <w:sz w:val="18"/>
                  <w:szCs w:val="18"/>
                  <w:u w:val="single" w:color="auto"/>
                  <w:color w:val="0000EE"/>
                  <w:w w:val="95"/>
                </w:rPr>
                <w:t>Consolidated Statements of Changes in Stockholders' Equity for the Three and Six Months ended June 30, 2019 and 2020</w:t>
              </w:r>
            </w:hyperlink>
          </w:p>
        </w:tc>
        <w:tc>
          <w:tcPr>
            <w:tcW w:w="1120" w:type="dxa"/>
            <w:vAlign w:val="bottom"/>
            <w:gridSpan w:val="3"/>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392"/>
        </w:trPr>
        <w:tc>
          <w:tcPr>
            <w:tcW w:w="340" w:type="dxa"/>
            <w:vAlign w:val="bottom"/>
          </w:tcPr>
          <w:p>
            <w:pPr>
              <w:spacing w:after="0"/>
              <w:rPr>
                <w:sz w:val="24"/>
                <w:szCs w:val="24"/>
                <w:color w:val="auto"/>
              </w:rPr>
            </w:pPr>
          </w:p>
        </w:tc>
        <w:tc>
          <w:tcPr>
            <w:tcW w:w="9720" w:type="dxa"/>
            <w:vAlign w:val="bottom"/>
            <w:gridSpan w:val="5"/>
          </w:tcPr>
          <w:p>
            <w:pPr>
              <w:ind w:left="3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Notes to Consolidated Financial Statements</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392"/>
        </w:trPr>
        <w:tc>
          <w:tcPr>
            <w:tcW w:w="340" w:type="dxa"/>
            <w:vAlign w:val="bottom"/>
          </w:tcPr>
          <w:p>
            <w:pPr>
              <w:spacing w:after="0"/>
              <w:rPr>
                <w:sz w:val="24"/>
                <w:szCs w:val="24"/>
                <w:color w:val="auto"/>
              </w:rPr>
            </w:pPr>
          </w:p>
        </w:tc>
        <w:tc>
          <w:tcPr>
            <w:tcW w:w="9720" w:type="dxa"/>
            <w:vAlign w:val="bottom"/>
            <w:gridSpan w:val="5"/>
          </w:tcPr>
          <w:p>
            <w:pPr>
              <w:ind w:left="3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Cautionary Statement on Forward–Looking Statements</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391"/>
        </w:trPr>
        <w:tc>
          <w:tcPr>
            <w:tcW w:w="34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1120" w:type="dxa"/>
            <w:vAlign w:val="bottom"/>
            <w:gridSpan w:val="3"/>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40</w:t>
              </w:r>
            </w:hyperlink>
          </w:p>
        </w:tc>
      </w:tr>
      <w:tr>
        <w:trPr>
          <w:trHeight w:val="392"/>
        </w:trPr>
        <w:tc>
          <w:tcPr>
            <w:tcW w:w="34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b w:val="1"/>
                <w:bCs w:val="1"/>
                <w:u w:val="single" w:color="auto"/>
                <w:color w:val="0000FF"/>
              </w:rPr>
            </w:pPr>
            <w:hyperlink w:anchor="page59">
              <w:r>
                <w:rPr>
                  <w:rFonts w:ascii="Arial" w:cs="Arial" w:eastAsia="Arial" w:hAnsi="Arial"/>
                  <w:sz w:val="18"/>
                  <w:szCs w:val="18"/>
                  <w:b w:val="1"/>
                  <w:bCs w:val="1"/>
                  <w:u w:val="single" w:color="auto"/>
                  <w:color w:val="0000FF"/>
                </w:rPr>
                <w:t>Item 3. Quantitative and Qualitative Disclosures About Market Risk</w:t>
              </w:r>
            </w:hyperlink>
          </w:p>
        </w:tc>
        <w:tc>
          <w:tcPr>
            <w:tcW w:w="1120" w:type="dxa"/>
            <w:vAlign w:val="bottom"/>
            <w:gridSpan w:val="3"/>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59</w:t>
              </w:r>
            </w:hyperlink>
          </w:p>
        </w:tc>
      </w:tr>
      <w:tr>
        <w:trPr>
          <w:trHeight w:val="392"/>
        </w:trPr>
        <w:tc>
          <w:tcPr>
            <w:tcW w:w="34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b w:val="1"/>
                <w:bCs w:val="1"/>
                <w:u w:val="single" w:color="auto"/>
                <w:color w:val="0000FF"/>
              </w:rPr>
            </w:pPr>
            <w:hyperlink w:anchor="page60">
              <w:r>
                <w:rPr>
                  <w:rFonts w:ascii="Arial" w:cs="Arial" w:eastAsia="Arial" w:hAnsi="Arial"/>
                  <w:sz w:val="18"/>
                  <w:szCs w:val="18"/>
                  <w:b w:val="1"/>
                  <w:bCs w:val="1"/>
                  <w:u w:val="single" w:color="auto"/>
                  <w:color w:val="0000FF"/>
                </w:rPr>
                <w:t>Item 4. Controls and Procedures</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r>
      <w:tr>
        <w:trPr>
          <w:trHeight w:val="392"/>
        </w:trPr>
        <w:tc>
          <w:tcPr>
            <w:tcW w:w="10060" w:type="dxa"/>
            <w:vAlign w:val="bottom"/>
            <w:gridSpan w:val="6"/>
          </w:tcPr>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PART II – OTHER INFORMATION</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Item 1. Legal Proceedings</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392"/>
        </w:trPr>
        <w:tc>
          <w:tcPr>
            <w:tcW w:w="34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Item 1A. Risk Factors</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351"/>
        </w:trPr>
        <w:tc>
          <w:tcPr>
            <w:tcW w:w="340" w:type="dxa"/>
            <w:vAlign w:val="bottom"/>
          </w:tcPr>
          <w:p>
            <w:pPr>
              <w:spacing w:after="0"/>
              <w:rPr>
                <w:sz w:val="24"/>
                <w:szCs w:val="24"/>
                <w:color w:val="auto"/>
              </w:rPr>
            </w:pPr>
          </w:p>
        </w:tc>
        <w:tc>
          <w:tcPr>
            <w:tcW w:w="5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88"/>
              </w:rPr>
              <w:t>Item 2. Unregistered Sales of Equity Securities and Use of Proceeds</w:t>
            </w:r>
          </w:p>
        </w:tc>
        <w:tc>
          <w:tcPr>
            <w:tcW w:w="4560" w:type="dxa"/>
            <w:vAlign w:val="bottom"/>
          </w:tcPr>
          <w:p>
            <w:pPr>
              <w:spacing w:after="0"/>
              <w:rPr>
                <w:sz w:val="24"/>
                <w:szCs w:val="24"/>
                <w:color w:val="auto"/>
              </w:rPr>
            </w:pPr>
          </w:p>
        </w:tc>
        <w:tc>
          <w:tcPr>
            <w:tcW w:w="1120" w:type="dxa"/>
            <w:vAlign w:val="bottom"/>
            <w:gridSpan w:val="3"/>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62</w:t>
              </w:r>
            </w:hyperlink>
          </w:p>
        </w:tc>
      </w:tr>
      <w:tr>
        <w:trPr>
          <w:trHeight w:val="372"/>
        </w:trPr>
        <w:tc>
          <w:tcPr>
            <w:tcW w:w="340" w:type="dxa"/>
            <w:vAlign w:val="bottom"/>
          </w:tcPr>
          <w:p>
            <w:pPr>
              <w:spacing w:after="0"/>
              <w:rPr>
                <w:sz w:val="24"/>
                <w:szCs w:val="24"/>
                <w:color w:val="auto"/>
              </w:rPr>
            </w:pPr>
          </w:p>
        </w:tc>
        <w:tc>
          <w:tcPr>
            <w:tcW w:w="30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89"/>
              </w:rPr>
              <w:t>Item 3. Defaults Upon Senior Securities</w:t>
            </w:r>
          </w:p>
        </w:tc>
        <w:tc>
          <w:tcPr>
            <w:tcW w:w="6680" w:type="dxa"/>
            <w:vAlign w:val="bottom"/>
            <w:gridSpan w:val="2"/>
          </w:tcPr>
          <w:p>
            <w:pPr>
              <w:spacing w:after="0"/>
              <w:rPr>
                <w:sz w:val="24"/>
                <w:szCs w:val="24"/>
                <w:color w:val="auto"/>
              </w:rPr>
            </w:pPr>
          </w:p>
        </w:tc>
        <w:tc>
          <w:tcPr>
            <w:tcW w:w="1120" w:type="dxa"/>
            <w:vAlign w:val="bottom"/>
            <w:gridSpan w:val="3"/>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63</w:t>
              </w:r>
            </w:hyperlink>
          </w:p>
        </w:tc>
      </w:tr>
      <w:tr>
        <w:trPr>
          <w:trHeight w:val="371"/>
        </w:trPr>
        <w:tc>
          <w:tcPr>
            <w:tcW w:w="34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Arial" w:cs="Arial" w:eastAsia="Arial" w:hAnsi="Arial"/>
                <w:sz w:val="18"/>
                <w:szCs w:val="18"/>
                <w:b w:val="1"/>
                <w:bCs w:val="1"/>
                <w:color w:val="0000FF"/>
              </w:rPr>
              <w:t>Item 4. Mine Safety Disclosures</w:t>
            </w:r>
          </w:p>
        </w:tc>
        <w:tc>
          <w:tcPr>
            <w:tcW w:w="1120" w:type="dxa"/>
            <w:vAlign w:val="bottom"/>
            <w:gridSpan w:val="3"/>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63</w:t>
              </w:r>
            </w:hyperlink>
          </w:p>
        </w:tc>
      </w:tr>
      <w:tr>
        <w:trPr>
          <w:trHeight w:val="385"/>
        </w:trPr>
        <w:tc>
          <w:tcPr>
            <w:tcW w:w="340" w:type="dxa"/>
            <w:vAlign w:val="bottom"/>
          </w:tcPr>
          <w:p>
            <w:pPr>
              <w:spacing w:after="0"/>
              <w:rPr>
                <w:sz w:val="24"/>
                <w:szCs w:val="24"/>
                <w:color w:val="auto"/>
              </w:rPr>
            </w:pPr>
          </w:p>
        </w:tc>
        <w:tc>
          <w:tcPr>
            <w:tcW w:w="20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b w:val="1"/>
                <w:bCs w:val="1"/>
                <w:color w:val="0000FF"/>
                <w:w w:val="94"/>
              </w:rPr>
              <w:t>Item 5. Other Information</w:t>
            </w:r>
          </w:p>
        </w:tc>
        <w:tc>
          <w:tcPr>
            <w:tcW w:w="380" w:type="dxa"/>
            <w:vAlign w:val="bottom"/>
            <w:tcBorders>
              <w:top w:val="single" w:sz="8" w:color="0000FF"/>
            </w:tcBorders>
          </w:tcPr>
          <w:p>
            <w:pPr>
              <w:spacing w:after="0"/>
              <w:rPr>
                <w:sz w:val="24"/>
                <w:szCs w:val="24"/>
                <w:color w:val="auto"/>
              </w:rPr>
            </w:pPr>
          </w:p>
        </w:tc>
        <w:tc>
          <w:tcPr>
            <w:tcW w:w="7300" w:type="dxa"/>
            <w:vAlign w:val="bottom"/>
            <w:gridSpan w:val="3"/>
          </w:tcPr>
          <w:p>
            <w:pPr>
              <w:spacing w:after="0"/>
              <w:rPr>
                <w:sz w:val="24"/>
                <w:szCs w:val="24"/>
                <w:color w:val="auto"/>
              </w:rPr>
            </w:pPr>
          </w:p>
        </w:tc>
        <w:tc>
          <w:tcPr>
            <w:tcW w:w="1120" w:type="dxa"/>
            <w:vAlign w:val="bottom"/>
            <w:gridSpan w:val="3"/>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63</w:t>
              </w:r>
            </w:hyperlink>
          </w:p>
        </w:tc>
      </w:tr>
      <w:tr>
        <w:trPr>
          <w:trHeight w:val="453"/>
        </w:trPr>
        <w:tc>
          <w:tcPr>
            <w:tcW w:w="34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Item 6. Exhibits</w:t>
              </w:r>
            </w:hyperlink>
          </w:p>
        </w:tc>
        <w:tc>
          <w:tcPr>
            <w:tcW w:w="1120" w:type="dxa"/>
            <w:vAlign w:val="bottom"/>
            <w:gridSpan w:val="3"/>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63</w:t>
              </w:r>
            </w:hyperlink>
          </w:p>
        </w:tc>
      </w:tr>
      <w:tr>
        <w:trPr>
          <w:trHeight w:val="391"/>
        </w:trPr>
        <w:tc>
          <w:tcPr>
            <w:tcW w:w="10060" w:type="dxa"/>
            <w:vAlign w:val="bottom"/>
            <w:gridSpan w:val="6"/>
          </w:tcPr>
          <w:p>
            <w:pPr>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SIGNATURE</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392"/>
        </w:trPr>
        <w:tc>
          <w:tcPr>
            <w:tcW w:w="10060" w:type="dxa"/>
            <w:vAlign w:val="bottom"/>
            <w:gridSpan w:val="6"/>
          </w:tcPr>
          <w:p>
            <w:pPr>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INDEX OF EXHIBITS</w:t>
              </w:r>
            </w:hyperlink>
          </w:p>
        </w:tc>
        <w:tc>
          <w:tcPr>
            <w:tcW w:w="1120" w:type="dxa"/>
            <w:vAlign w:val="bottom"/>
            <w:gridSpan w:val="3"/>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459"/>
        </w:trPr>
        <w:tc>
          <w:tcPr>
            <w:tcW w:w="10060" w:type="dxa"/>
            <w:vAlign w:val="bottom"/>
            <w:gridSpan w:val="6"/>
          </w:tcPr>
          <w:p>
            <w:pPr>
              <w:ind w:left="5440"/>
              <w:spacing w:after="0"/>
              <w:rPr>
                <w:sz w:val="20"/>
                <w:szCs w:val="20"/>
                <w:color w:val="auto"/>
              </w:rPr>
            </w:pPr>
            <w:r>
              <w:rPr>
                <w:rFonts w:ascii="Arial" w:cs="Arial" w:eastAsia="Arial" w:hAnsi="Arial"/>
                <w:sz w:val="18"/>
                <w:szCs w:val="18"/>
                <w:color w:val="auto"/>
              </w:rPr>
              <w:t>- 2 -</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80"/>
          </w:cols>
          <w:pgMar w:left="360" w:top="499" w:right="3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580" w:type="dxa"/>
            <w:vAlign w:val="bottom"/>
          </w:tcPr>
          <w:p>
            <w:pPr>
              <w:jc w:val="center"/>
              <w:ind w:left="3330"/>
              <w:spacing w:after="0"/>
              <w:rPr>
                <w:sz w:val="20"/>
                <w:szCs w:val="20"/>
                <w:color w:val="auto"/>
              </w:rPr>
            </w:pPr>
            <w:r>
              <w:rPr>
                <w:rFonts w:ascii="Arial" w:cs="Arial" w:eastAsia="Arial" w:hAnsi="Arial"/>
                <w:sz w:val="18"/>
                <w:szCs w:val="18"/>
                <w:b w:val="1"/>
                <w:bCs w:val="1"/>
                <w:color w:val="auto"/>
              </w:rPr>
              <w:t>PART I – FINANCIAL INFORMATION</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8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6"/>
        </w:trPr>
        <w:tc>
          <w:tcPr>
            <w:tcW w:w="620" w:type="dxa"/>
            <w:vAlign w:val="bottom"/>
          </w:tcPr>
          <w:p>
            <w:pPr>
              <w:spacing w:after="0"/>
              <w:rPr>
                <w:sz w:val="24"/>
                <w:szCs w:val="24"/>
                <w:color w:val="auto"/>
              </w:rPr>
            </w:pPr>
          </w:p>
        </w:tc>
        <w:tc>
          <w:tcPr>
            <w:tcW w:w="658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CARRIAGE SERVICES, INC.</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6"/>
        </w:trPr>
        <w:tc>
          <w:tcPr>
            <w:tcW w:w="620" w:type="dxa"/>
            <w:vAlign w:val="bottom"/>
          </w:tcPr>
          <w:p>
            <w:pPr>
              <w:spacing w:after="0"/>
              <w:rPr>
                <w:sz w:val="19"/>
                <w:szCs w:val="19"/>
                <w:color w:val="auto"/>
              </w:rPr>
            </w:pPr>
          </w:p>
        </w:tc>
        <w:tc>
          <w:tcPr>
            <w:tcW w:w="658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CONSOLIDATED BALANCE SHEET</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0"/>
        </w:trPr>
        <w:tc>
          <w:tcPr>
            <w:tcW w:w="620" w:type="dxa"/>
            <w:vAlign w:val="bottom"/>
          </w:tcPr>
          <w:p>
            <w:pPr>
              <w:spacing w:after="0"/>
              <w:rPr>
                <w:sz w:val="19"/>
                <w:szCs w:val="19"/>
                <w:color w:val="auto"/>
              </w:rPr>
            </w:pPr>
          </w:p>
        </w:tc>
        <w:tc>
          <w:tcPr>
            <w:tcW w:w="6580" w:type="dxa"/>
            <w:vAlign w:val="bottom"/>
          </w:tcPr>
          <w:p>
            <w:pPr>
              <w:jc w:val="center"/>
              <w:ind w:left="3330"/>
              <w:spacing w:after="0"/>
              <w:rPr>
                <w:sz w:val="20"/>
                <w:szCs w:val="20"/>
                <w:color w:val="auto"/>
              </w:rPr>
            </w:pPr>
            <w:r>
              <w:rPr>
                <w:rFonts w:ascii="Arial" w:cs="Arial" w:eastAsia="Arial" w:hAnsi="Arial"/>
                <w:sz w:val="17"/>
                <w:szCs w:val="17"/>
                <w:b w:val="1"/>
                <w:bCs w:val="1"/>
                <w:color w:val="auto"/>
                <w:w w:val="88"/>
              </w:rPr>
              <w:t>(in thousands, except share data)</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76"/>
        </w:trPr>
        <w:tc>
          <w:tcPr>
            <w:tcW w:w="6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450"/>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66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21,478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20,033</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7,410</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10,667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12,087</w:t>
            </w:r>
          </w:p>
        </w:tc>
      </w:tr>
      <w:tr>
        <w:trPr>
          <w:trHeight w:val="27"/>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40,222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Preneed cemetery trust investments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72,382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72,569</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96,335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90,235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Preneed cemetery receivables, net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20,173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20,238</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 from preneed trusts, net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17,471</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279,200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277,564</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Cemetery property, net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87,032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101,509</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398,292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396,861</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and other non-current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32,116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33,348</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22,304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21,407</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Cemetery perpetual care trust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64,047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63,228</w:t>
            </w:r>
          </w:p>
        </w:tc>
      </w:tr>
      <w:tr>
        <w:trPr>
          <w:trHeight w:val="237"/>
        </w:trPr>
        <w:tc>
          <w:tcPr>
            <w:tcW w:w="620" w:type="dxa"/>
            <w:vAlign w:val="bottom"/>
          </w:tcPr>
          <w:p>
            <w:pPr>
              <w:spacing w:after="0"/>
              <w:rPr>
                <w:sz w:val="20"/>
                <w:szCs w:val="20"/>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1,129,755</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1,134,652</w:t>
            </w:r>
          </w:p>
        </w:tc>
      </w:tr>
      <w:tr>
        <w:trPr>
          <w:trHeight w:val="67"/>
        </w:trPr>
        <w:tc>
          <w:tcPr>
            <w:tcW w:w="620" w:type="dxa"/>
            <w:vAlign w:val="bottom"/>
            <w:tcBorders>
              <w:bottom w:val="single" w:sz="8" w:color="CCEEFF"/>
            </w:tcBorders>
          </w:tcPr>
          <w:p>
            <w:pPr>
              <w:spacing w:after="0"/>
              <w:rPr>
                <w:sz w:val="5"/>
                <w:szCs w:val="5"/>
                <w:color w:val="auto"/>
              </w:rPr>
            </w:pPr>
          </w:p>
        </w:tc>
        <w:tc>
          <w:tcPr>
            <w:tcW w:w="6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30"/>
        </w:trPr>
        <w:tc>
          <w:tcPr>
            <w:tcW w:w="620" w:type="dxa"/>
            <w:vAlign w:val="bottom"/>
            <w:tcBorders>
              <w:bottom w:val="single" w:sz="8" w:color="CCEEFF"/>
            </w:tcBorders>
            <w:shd w:val="clear" w:color="auto" w:fill="CCEEFF"/>
          </w:tcPr>
          <w:p>
            <w:pPr>
              <w:spacing w:after="0"/>
              <w:rPr>
                <w:sz w:val="20"/>
                <w:szCs w:val="20"/>
                <w:color w:val="auto"/>
              </w:rPr>
            </w:pPr>
          </w:p>
        </w:tc>
        <w:tc>
          <w:tcPr>
            <w:tcW w:w="6580" w:type="dxa"/>
            <w:vAlign w:val="bottom"/>
            <w:tcBorders>
              <w:bottom w:val="single" w:sz="8" w:color="CCEEFF"/>
            </w:tcBorders>
            <w:shd w:val="clear" w:color="auto" w:fill="CCEEFF"/>
          </w:tcPr>
          <w:p>
            <w:pPr>
              <w:ind w:left="1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portion of debt and lease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3,456</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8,413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8,042</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23,267</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Convertible subordinated notes due 2021</w:t>
            </w:r>
          </w:p>
        </w:tc>
        <w:tc>
          <w:tcPr>
            <w:tcW w:w="320" w:type="dxa"/>
            <w:vAlign w:val="bottom"/>
          </w:tcPr>
          <w:p>
            <w:pPr>
              <w:spacing w:after="0"/>
              <w:rPr>
                <w:sz w:val="21"/>
                <w:szCs w:val="21"/>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6,115</w:t>
            </w:r>
          </w:p>
        </w:tc>
      </w:tr>
      <w:tr>
        <w:trPr>
          <w:trHeight w:val="27"/>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35,589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Acquisition debt, net of current portion</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5,285</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82,182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88,327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Convertible subordinated notes due 2021</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5,971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due 2026</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395,447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395,668</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Obligations under finance leases, net of current portion</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5,854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5,696</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operating leases, net of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20,583</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Deferred preneed cemetery revenue</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46,569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47,657</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preneed funeral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28,660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41,368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46,765</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Deferred preneed cemetery receipts held in trust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72,382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72,569</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preneed funeral receipts held in trust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96,335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90,235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Care trusts’ corpus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63,416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62,312</w:t>
            </w:r>
          </w:p>
        </w:tc>
      </w:tr>
      <w:tr>
        <w:trPr>
          <w:trHeight w:val="27"/>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62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903,186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906,161</w:t>
            </w:r>
          </w:p>
        </w:tc>
      </w:tr>
      <w:tr>
        <w:trPr>
          <w:trHeight w:val="22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7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gridSpan w:val="2"/>
          </w:tcPr>
          <w:p>
            <w:pPr>
              <w:ind w:left="280"/>
              <w:spacing w:after="0"/>
              <w:rPr>
                <w:sz w:val="20"/>
                <w:szCs w:val="20"/>
                <w:color w:val="auto"/>
              </w:rPr>
            </w:pPr>
            <w:r>
              <w:rPr>
                <w:rFonts w:ascii="Arial" w:cs="Arial" w:eastAsia="Arial" w:hAnsi="Arial"/>
                <w:sz w:val="18"/>
                <w:szCs w:val="18"/>
                <w:color w:val="auto"/>
                <w:w w:val="91"/>
              </w:rPr>
              <w:t>Common stock, $.01 par value; 80,000,000 shares authorized and 25,880,362 and 25,959,257</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shares issued at December 31, 2019 and June 30, 2020, respectively</w:t>
            </w:r>
          </w:p>
        </w:tc>
        <w:tc>
          <w:tcPr>
            <w:tcW w:w="3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242,147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241,868</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86,213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88,413</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8,025,339 at both December 31, 2019 and June 30, 2020</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r>
      <w:tr>
        <w:trPr>
          <w:trHeight w:val="236"/>
        </w:trPr>
        <w:tc>
          <w:tcPr>
            <w:tcW w:w="620" w:type="dxa"/>
            <w:vAlign w:val="bottom"/>
          </w:tcPr>
          <w:p>
            <w:pPr>
              <w:spacing w:after="0"/>
              <w:rPr>
                <w:sz w:val="20"/>
                <w:szCs w:val="20"/>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226,569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228,491</w:t>
            </w:r>
          </w:p>
        </w:tc>
      </w:tr>
      <w:tr>
        <w:trPr>
          <w:trHeight w:val="27"/>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2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1,129,755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1,134,652</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720" w:type="dxa"/>
            <w:vAlign w:val="bottom"/>
            <w:gridSpan w:val="4"/>
          </w:tcPr>
          <w:p>
            <w:pPr>
              <w:jc w:val="center"/>
              <w:ind w:left="1190"/>
              <w:spacing w:after="0"/>
              <w:rPr>
                <w:sz w:val="20"/>
                <w:szCs w:val="20"/>
                <w:color w:val="auto"/>
              </w:rPr>
            </w:pPr>
            <w:r>
              <w:rPr>
                <w:rFonts w:ascii="Arial" w:cs="Arial" w:eastAsia="Arial" w:hAnsi="Arial"/>
                <w:sz w:val="18"/>
                <w:szCs w:val="18"/>
                <w:color w:val="auto"/>
                <w:w w:val="89"/>
              </w:rPr>
              <w:t>The accompanying condensed notes are an integral part of these Consolidated Financial Statements.</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32"/>
        </w:trPr>
        <w:tc>
          <w:tcPr>
            <w:tcW w:w="620" w:type="dxa"/>
            <w:vAlign w:val="bottom"/>
          </w:tcPr>
          <w:p>
            <w:pPr>
              <w:spacing w:after="0"/>
              <w:rPr>
                <w:sz w:val="24"/>
                <w:szCs w:val="24"/>
                <w:color w:val="auto"/>
              </w:rPr>
            </w:pPr>
          </w:p>
        </w:tc>
        <w:tc>
          <w:tcPr>
            <w:tcW w:w="6580" w:type="dxa"/>
            <w:vAlign w:val="bottom"/>
          </w:tcPr>
          <w:p>
            <w:pPr>
              <w:jc w:val="center"/>
              <w:ind w:left="3350"/>
              <w:spacing w:after="0"/>
              <w:rPr>
                <w:sz w:val="20"/>
                <w:szCs w:val="20"/>
                <w:color w:val="auto"/>
              </w:rPr>
            </w:pPr>
            <w:r>
              <w:rPr>
                <w:rFonts w:ascii="Arial" w:cs="Arial" w:eastAsia="Arial" w:hAnsi="Arial"/>
                <w:sz w:val="18"/>
                <w:szCs w:val="18"/>
                <w:color w:val="auto"/>
                <w:w w:val="93"/>
              </w:rPr>
              <w:t>- 3 -</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240"/>
          </w:cols>
          <w:pgMar w:left="320" w:top="499" w:right="339" w:bottom="96"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Service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34,659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38,880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71,311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79,612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merchandise revenue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63,913</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Other revenue</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154,967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Field costs and expenses: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39,679</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Cost of merchandise</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22,311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44,572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49,675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Cemetery property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Field depreciation expense</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and unallocated funeral and cemetery costs</w:t>
            </w:r>
          </w:p>
        </w:tc>
        <w:tc>
          <w:tcPr>
            <w:tcW w:w="20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6,411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48,502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48,331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11,304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Home office 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Impairment of goodwill and other intangibles</w:t>
            </w: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20,416</w:t>
            </w:r>
          </w:p>
        </w:tc>
        <w:tc>
          <w:tcPr>
            <w:tcW w:w="0" w:type="dxa"/>
            <w:vAlign w:val="bottom"/>
          </w:tcPr>
          <w:p>
            <w:pPr>
              <w:spacing w:after="0"/>
              <w:rPr>
                <w:sz w:val="1"/>
                <w:szCs w:val="1"/>
                <w:color w:val="auto"/>
              </w:rPr>
            </w:pPr>
          </w:p>
        </w:tc>
      </w:tr>
      <w:tr>
        <w:trPr>
          <w:trHeight w:val="283"/>
        </w:trPr>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Accretion of discount on convertible subordinated notes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 adjustment related to discrete items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for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6,397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11,387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p>
      <w:pPr>
        <w:spacing w:after="0" w:line="296" w:lineRule="exact"/>
        <w:rPr>
          <w:sz w:val="20"/>
          <w:szCs w:val="20"/>
          <w:color w:val="auto"/>
        </w:rPr>
      </w:pPr>
    </w:p>
    <w:p>
      <w:pPr>
        <w:ind w:left="40" w:right="180"/>
        <w:spacing w:after="0" w:line="277" w:lineRule="auto"/>
        <w:rPr>
          <w:sz w:val="20"/>
          <w:szCs w:val="20"/>
          <w:color w:val="auto"/>
        </w:rPr>
      </w:pPr>
      <w:r>
        <w:rPr>
          <w:rFonts w:ascii="Arial" w:cs="Arial" w:eastAsia="Arial" w:hAnsi="Arial"/>
          <w:sz w:val="18"/>
          <w:szCs w:val="18"/>
          <w:color w:val="auto"/>
        </w:rPr>
        <w:t>Weighted average number of common and common equivalent shares outstanding:</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17,959</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17,860</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18,008</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17,833</w:t>
            </w:r>
          </w:p>
        </w:tc>
      </w:tr>
      <w:tr>
        <w:trPr>
          <w:trHeight w:val="27"/>
        </w:trPr>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17,988</w:t>
            </w: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17,889</w:t>
            </w: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18,043</w:t>
            </w: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17,862</w:t>
            </w:r>
          </w:p>
        </w:tc>
      </w:tr>
      <w:tr>
        <w:trPr>
          <w:trHeight w:val="27"/>
        </w:trPr>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-213995</wp:posOffset>
            </wp:positionV>
            <wp:extent cx="713232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499"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condensed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320" w:top="499"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4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6"/>
                <w:szCs w:val="16"/>
                <w:b w:val="1"/>
                <w:bCs w:val="1"/>
                <w:color w:val="auto"/>
              </w:rPr>
              <w:t>2020</w:t>
            </w:r>
          </w:p>
        </w:tc>
      </w:tr>
      <w:tr>
        <w:trPr>
          <w:trHeight w:val="33"/>
        </w:trPr>
        <w:tc>
          <w:tcPr>
            <w:tcW w:w="8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11,387</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2,200</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8,920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9,247</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bad debt and credit losses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1,546</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capitalized commissions on preneed contracts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Accretion of discount on convertible subordinated notes</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Accretion of debt discount, net of debt premium on senior notes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Net loss on sale and disposal of other assets</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 and other intangible asset impairments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14,693</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21"/>
        </w:trPr>
        <w:tc>
          <w:tcPr>
            <w:tcW w:w="8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that provided (required) cash:</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and preneed receivables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Inventories, prepaid and other current assets</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(6,610)</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Intangible and other non-current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Preneed funeral and cemetery trust investments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preneed funeral and cemetery revenue</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Deferred preneed funeral and cemetery receipts held in trust</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4,502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8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31,001</w:t>
            </w:r>
          </w:p>
        </w:tc>
      </w:tr>
      <w:tr>
        <w:trPr>
          <w:trHeight w:val="270"/>
        </w:trPr>
        <w:tc>
          <w:tcPr>
            <w:tcW w:w="8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Acquisitions</w:t>
            </w:r>
          </w:p>
        </w:tc>
        <w:tc>
          <w:tcPr>
            <w:tcW w:w="40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(28,011)</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proceeds from the sale of 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(8,654)</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(5,786)</w:t>
            </w:r>
          </w:p>
        </w:tc>
      </w:tr>
      <w:tr>
        <w:trPr>
          <w:trHeight w:val="27"/>
        </w:trPr>
        <w:tc>
          <w:tcPr>
            <w:tcW w:w="8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(33,719)</w:t>
            </w:r>
          </w:p>
        </w:tc>
      </w:tr>
      <w:tr>
        <w:trPr>
          <w:trHeight w:val="270"/>
        </w:trPr>
        <w:tc>
          <w:tcPr>
            <w:tcW w:w="8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Borrowings from the credit facility</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23,300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75,900</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Payments against the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Redemption of the 2.75% convertible subordinated notes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Payments of debt issuance costs related to the 6.625% senior notes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Payments on acquisition debt and obligations under finance leases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Payments on contingent consideration recorded at acquisition date</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Proceeds from the exercise of stock options and employee stock purchase plan contributions</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Taxes paid on restricted stock vestings and exercise of non-qualified options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Dividends paid on common stock</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8100" w:type="dxa"/>
            <w:vAlign w:val="bottom"/>
          </w:tcPr>
          <w:p>
            <w:pPr>
              <w:ind w:left="8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(13,317)</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2,694</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692</w:t>
            </w:r>
          </w:p>
        </w:tc>
      </w:tr>
      <w:tr>
        <w:trPr>
          <w:trHeight w:val="27"/>
        </w:trPr>
        <w:tc>
          <w:tcPr>
            <w:tcW w:w="8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320" w:top="499" w:right="339" w:bottom="659"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gridSpan w:val="7"/>
          </w:tcPr>
          <w:p>
            <w:pPr>
              <w:ind w:left="80"/>
              <w:spacing w:after="0"/>
              <w:rPr>
                <w:sz w:val="20"/>
                <w:szCs w:val="20"/>
                <w:color w:val="auto"/>
              </w:rPr>
            </w:pPr>
            <w:r>
              <w:rPr>
                <w:rFonts w:ascii="Arial" w:cs="Arial" w:eastAsia="Arial" w:hAnsi="Arial"/>
                <w:sz w:val="16"/>
                <w:szCs w:val="16"/>
                <w:b w:val="1"/>
                <w:bCs w:val="1"/>
                <w:color w:val="auto"/>
                <w:w w:val="93"/>
              </w:rPr>
              <w:t>Three months ended June 30, 2019</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0"/>
        </w:trPr>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1" w:lineRule="exact"/>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8"/>
        </w:trPr>
        <w:tc>
          <w:tcPr>
            <w:tcW w:w="39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2"/>
                <w:szCs w:val="12"/>
                <w:color w:val="auto"/>
              </w:rPr>
            </w:pPr>
          </w:p>
        </w:tc>
        <w:tc>
          <w:tcPr>
            <w:tcW w:w="90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Paid-in</w:t>
            </w:r>
          </w:p>
        </w:tc>
        <w:tc>
          <w:tcPr>
            <w:tcW w:w="22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Treasury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39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Outstanding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1"/>
              </w:rPr>
              <w:t>Stock</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96"/>
              </w:rPr>
              <w:t>Capital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6"/>
              </w:rPr>
              <w:t>Stock</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Total</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 March 31, 2019</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243,940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228,109</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4,862</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r>
      <w:tr>
        <w:trPr>
          <w:trHeight w:val="229"/>
        </w:trPr>
        <w:tc>
          <w:tcPr>
            <w:tcW w:w="3940" w:type="dxa"/>
            <w:vAlign w:val="bottom"/>
          </w:tcPr>
          <w:p>
            <w:pPr>
              <w:ind w:left="280"/>
              <w:spacing w:after="0"/>
              <w:rPr>
                <w:sz w:val="20"/>
                <w:szCs w:val="20"/>
                <w:color w:val="auto"/>
              </w:rPr>
            </w:pPr>
            <w:r>
              <w:rPr>
                <w:rFonts w:ascii="Arial" w:cs="Arial" w:eastAsia="Arial" w:hAnsi="Arial"/>
                <w:sz w:val="18"/>
                <w:szCs w:val="18"/>
                <w:color w:val="auto"/>
                <w:w w:val="92"/>
              </w:rPr>
              <w:t>Cancellation and retirement of restricted common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940" w:type="dxa"/>
            <w:vAlign w:val="bottom"/>
          </w:tcPr>
          <w:p>
            <w:pPr>
              <w:ind w:left="280"/>
              <w:spacing w:after="0"/>
              <w:rPr>
                <w:sz w:val="20"/>
                <w:szCs w:val="20"/>
                <w:color w:val="auto"/>
              </w:rPr>
            </w:pPr>
            <w:r>
              <w:rPr>
                <w:rFonts w:ascii="Arial" w:cs="Arial" w:eastAsia="Arial" w:hAnsi="Arial"/>
                <w:sz w:val="18"/>
                <w:szCs w:val="18"/>
                <w:color w:val="auto"/>
              </w:rPr>
              <w:t>stock and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acquired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Balance – June 30, 2019</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17,812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243,285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83,067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224,560</w:t>
            </w:r>
          </w:p>
        </w:tc>
      </w:tr>
      <w:tr>
        <w:trPr>
          <w:trHeight w:val="27"/>
        </w:trPr>
        <w:tc>
          <w:tcPr>
            <w:tcW w:w="3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69"/>
        </w:trPr>
        <w:tc>
          <w:tcPr>
            <w:tcW w:w="3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gridSpan w:val="7"/>
          </w:tcPr>
          <w:p>
            <w:pPr>
              <w:ind w:left="80"/>
              <w:spacing w:after="0"/>
              <w:rPr>
                <w:sz w:val="20"/>
                <w:szCs w:val="20"/>
                <w:color w:val="auto"/>
              </w:rPr>
            </w:pPr>
            <w:r>
              <w:rPr>
                <w:rFonts w:ascii="Arial" w:cs="Arial" w:eastAsia="Arial" w:hAnsi="Arial"/>
                <w:sz w:val="16"/>
                <w:szCs w:val="16"/>
                <w:b w:val="1"/>
                <w:bCs w:val="1"/>
                <w:color w:val="auto"/>
                <w:w w:val="93"/>
              </w:rPr>
              <w:t>Three months ended June 30, 2020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
        </w:trPr>
        <w:tc>
          <w:tcPr>
            <w:tcW w:w="3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0"/>
        </w:trPr>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1" w:lineRule="exact"/>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8"/>
        </w:trPr>
        <w:tc>
          <w:tcPr>
            <w:tcW w:w="39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2"/>
                <w:szCs w:val="12"/>
                <w:color w:val="auto"/>
              </w:rPr>
            </w:pPr>
          </w:p>
        </w:tc>
        <w:tc>
          <w:tcPr>
            <w:tcW w:w="90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Paid-in</w:t>
            </w:r>
          </w:p>
        </w:tc>
        <w:tc>
          <w:tcPr>
            <w:tcW w:w="22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Treasury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39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Outstanding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1"/>
              </w:rPr>
              <w:t>Stock</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96"/>
              </w:rPr>
              <w:t>Capital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6"/>
              </w:rPr>
              <w:t>Stock</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Total</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 March 31, 2020</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222,459</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6,397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6,397</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 to employees</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Issuance of common stock to directors</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w:t>
            </w:r>
          </w:p>
        </w:tc>
      </w:tr>
      <w:tr>
        <w:trPr>
          <w:trHeight w:val="27"/>
        </w:trPr>
        <w:tc>
          <w:tcPr>
            <w:tcW w:w="3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7"/>
        </w:trPr>
        <w:tc>
          <w:tcPr>
            <w:tcW w:w="39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 June 30, 2020</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241,868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228,491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11240"/>
          </w:cols>
          <w:pgMar w:left="320" w:top="499" w:right="3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and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w w:val="94"/>
              </w:rPr>
              <w:t>Six months ended June 30, 2019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0"/>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1"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Common</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Paid-in</w:t>
            </w:r>
          </w:p>
        </w:tc>
        <w:tc>
          <w:tcPr>
            <w:tcW w:w="20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Retained</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Treasury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39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Outstanding</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Total</w:t>
            </w:r>
          </w:p>
        </w:tc>
      </w:tr>
      <w:tr>
        <w:trPr>
          <w:trHeight w:val="250"/>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2018</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221,492</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11,387</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Issuance of common stock</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472</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Issuance of restricted common stock</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w w:val="92"/>
              </w:rPr>
              <w:t>Cancellation and retirement of restricted common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stock and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Dividends on common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(2,725)</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Treasury stock acquired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294</w:t>
            </w:r>
          </w:p>
        </w:tc>
      </w:tr>
      <w:tr>
        <w:trPr>
          <w:trHeight w:val="27"/>
        </w:trPr>
        <w:tc>
          <w:tcPr>
            <w:tcW w:w="3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June 30, 2019</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243,285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83,067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224,560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568"/>
        </w:trPr>
        <w:tc>
          <w:tcPr>
            <w:tcW w:w="3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w w:val="94"/>
              </w:rPr>
              <w:t>Six months ended June 30, 2020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
        </w:trPr>
        <w:tc>
          <w:tcPr>
            <w:tcW w:w="3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0"/>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1"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Common</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Paid-in</w:t>
            </w:r>
          </w:p>
        </w:tc>
        <w:tc>
          <w:tcPr>
            <w:tcW w:w="20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Retained</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Treasury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39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Outstanding</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Total</w:t>
            </w:r>
          </w:p>
        </w:tc>
      </w:tr>
      <w:tr>
        <w:trPr>
          <w:trHeight w:val="249"/>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2019</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226,569</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2,200</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Issuance of common stock to employees</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Issuance of common stock to directors</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294</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Issuance of restricted common stock</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w w:val="92"/>
              </w:rPr>
              <w:t>Cancellation and retirement of restricted common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stock and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39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Dividends on common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w:t>
            </w: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 – June 30, 2020</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17,934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241,868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88,413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228,491</w:t>
            </w:r>
          </w:p>
        </w:tc>
      </w:tr>
      <w:tr>
        <w:trPr>
          <w:trHeight w:val="27"/>
        </w:trPr>
        <w:tc>
          <w:tcPr>
            <w:tcW w:w="3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80"/>
          </w:cols>
          <w:pgMar w:left="360" w:top="931" w:right="359" w:bottom="1440" w:gutter="0" w:footer="0" w:header="0"/>
        </w:sectPr>
      </w:pPr>
    </w:p>
    <w:bookmarkStart w:id="7" w:name="page8"/>
    <w:bookmarkEnd w:id="7"/>
    <w:p>
      <w:pPr>
        <w:ind w:left="4440"/>
        <w:spacing w:after="0"/>
        <w:rPr>
          <w:sz w:val="20"/>
          <w:szCs w:val="20"/>
          <w:color w:val="auto"/>
        </w:rPr>
      </w:pPr>
      <w:r>
        <w:rPr>
          <w:rFonts w:ascii="Arial" w:cs="Arial" w:eastAsia="Arial" w:hAnsi="Arial"/>
          <w:sz w:val="18"/>
          <w:szCs w:val="18"/>
          <w:b w:val="1"/>
          <w:bCs w:val="1"/>
          <w:color w:val="auto"/>
        </w:rPr>
        <w:t>CARRIAGE SERVICES,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Carriage Services, Inc. (“Carriage,” the “Company,” “we,” “us,” or “our”) is a leading provider of funeral and cemetery services and merchandise in the United States. As of June 30, 2020, we operated 186 funeral homes in 29 states and 32 cemeteries in 11 states. Our operations are reported in two business segments: Funeral Home Operations, which currently account for approximately 80% of our revenue and Cemetery Operations, which currently account for approximately 20% of our revenue.</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remembrance services and transportation services. We provide funeral services and products on both an “atneed” (time of death) and “preneed” (planned prior to death) basis.</w:t>
      </w:r>
    </w:p>
    <w:p>
      <w:pPr>
        <w:spacing w:after="0" w:line="79"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Our cemetery operations generate revenue primarily through sales of cemetery interment rights (primarily grave sites, lawn crypts, mausoleum spaces and niches), related cemetery merchandise (such as outer burial containers, memorial markers and floral placements) and services (interments, inurnments and installation of cemetery merchandise). We provide cemetery services and products on both an atneed and preneed basis.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Interim Condensed Disclosures</w:t>
      </w:r>
    </w:p>
    <w:p>
      <w:pPr>
        <w:spacing w:after="0" w:line="22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Our unaudited consolidated financial statements have been prepared in a manner consistent with the accounting principles described in our Annual Report on Form 10-K for the year ended December 31, 2019 unless otherwise disclosed herein, and should be read in conjunction therewith.</w:t>
      </w:r>
    </w:p>
    <w:p>
      <w:pPr>
        <w:spacing w:after="0" w:line="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On March 11, 2020, the World Health Organization declared the 2019 novel coronavirus disease (“COVID-19”), to be a pandemic, which has spread across the globe and is impacting worldwide economic activity. In light of the recent developments relating to COVID-19, the Company has evaluated the impact of COVID-19 on our Consolidated Financial Statements and related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40" w:firstLine="432"/>
        <w:spacing w:after="0" w:line="465" w:lineRule="auto"/>
        <w:rPr>
          <w:sz w:val="20"/>
          <w:szCs w:val="20"/>
          <w:color w:val="auto"/>
        </w:rPr>
      </w:pPr>
      <w:r>
        <w:rPr>
          <w:rFonts w:ascii="Arial" w:cs="Arial" w:eastAsia="Arial" w:hAnsi="Arial"/>
          <w:sz w:val="18"/>
          <w:szCs w:val="18"/>
          <w:color w:val="auto"/>
        </w:rPr>
        <w:t xml:space="preserve">We consider all highly liquid investments purchased with an original maturity of three months or less to be cash equivalents. </w:t>
      </w:r>
      <w:r>
        <w:rPr>
          <w:rFonts w:ascii="Arial" w:cs="Arial" w:eastAsia="Arial" w:hAnsi="Arial"/>
          <w:sz w:val="18"/>
          <w:szCs w:val="18"/>
          <w:i w:val="1"/>
          <w:iCs w:val="1"/>
          <w:color w:val="auto"/>
        </w:rPr>
        <w:t>Use of Estimates</w:t>
      </w:r>
    </w:p>
    <w:p>
      <w:pPr>
        <w:spacing w:after="0" w:line="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 and expenses. On an ongoing basis, we evaluate our estimates and judgments, including those related to revenue recognition, realization of accounts receivable, goodwill, intangible assets, property and equipment and deferred tax assets and liabilities.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that our results of operations will be consistent from year to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Inventory consists primarily of caskets, outer burial containers and cemetery monuments and markers and is recorded at the lower of its cost basis (determined by the specific identification method) or net realizable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40"/>
          </w:cols>
          <w:pgMar w:left="320" w:top="49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Sales taxes collected are recognized on a net basis in our consolidated financial statements. On our atneed contracts, we generally deliver the merchandise and perform the services at the time of need.</w:t>
      </w:r>
    </w:p>
    <w:p>
      <w:pPr>
        <w:spacing w:after="0" w:line="5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limitations on gatherings imposed to mitigate the spread of COVID-19, some customers have requested that we delay the memorial service until after the limitations have been lifted.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Ancillary funeral service revenue, which is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represents revenue from our flower shop, pet cremation business and online cremation business in Texas</w:t>
      </w:r>
      <w:r>
        <w:rPr>
          <w:rFonts w:ascii="Arial" w:cs="Arial" w:eastAsia="Arial" w:hAnsi="Arial"/>
          <w:sz w:val="18"/>
          <w:szCs w:val="18"/>
          <w:i w:val="1"/>
          <w:iCs w:val="1"/>
          <w:color w:val="auto"/>
        </w:rPr>
        <w:t>.</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earnings from our preneed trust investments, as well as trust management fees charged by our wholly-owned registered investment advisory firm (“CSV RIA”) are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As of June 30, 2020,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Balances due on undelivered preneed funeral trust contracts have been reclassified to reduce </w:t>
      </w:r>
      <w:r>
        <w:rPr>
          <w:rFonts w:ascii="Arial" w:cs="Arial" w:eastAsia="Arial" w:hAnsi="Arial"/>
          <w:sz w:val="18"/>
          <w:szCs w:val="18"/>
          <w:i w:val="1"/>
          <w:iCs w:val="1"/>
          <w:color w:val="auto"/>
        </w:rPr>
        <w:t>Deferred preneed funeral revenue</w:t>
      </w:r>
      <w:r>
        <w:rPr>
          <w:rFonts w:ascii="Arial" w:cs="Arial" w:eastAsia="Arial" w:hAnsi="Arial"/>
          <w:sz w:val="18"/>
          <w:szCs w:val="18"/>
          <w:color w:val="auto"/>
        </w:rPr>
        <w:t xml:space="preserve"> on our Consolidated Balance Sheet of $8.9 million and $8.6 million at December 31, 2019 and June 30, 2020,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Balances due from customers on delivered preneed cemetery contracts are included in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on our Consolidated Balance Sheet. Balances due on undelivered preneed cemetery contracts have been reclassified to reduce </w:t>
      </w:r>
      <w:r>
        <w:rPr>
          <w:rFonts w:ascii="Arial" w:cs="Arial" w:eastAsia="Arial" w:hAnsi="Arial"/>
          <w:sz w:val="18"/>
          <w:szCs w:val="18"/>
          <w:i w:val="1"/>
          <w:iCs w:val="1"/>
          <w:color w:val="auto"/>
        </w:rPr>
        <w:t>Deferred preneed cemetery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on our Consolidated Balance Sheet. The transaction price allocated to preneed merchandise and service performance obligations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unfulfilled were $4.8 million and $6.7 million at December 31, 2019 and June 30, 2020,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17 to the Consolidated Financial Statements herein for additional information related to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Arial" w:cs="Arial" w:eastAsia="Arial" w:hAnsi="Arial"/>
          <w:sz w:val="17"/>
          <w:szCs w:val="17"/>
          <w:i w:val="1"/>
          <w:iCs w:val="1"/>
          <w:color w:val="auto"/>
        </w:rPr>
        <w:t>Revenue</w:t>
      </w:r>
      <w:r>
        <w:rPr>
          <w:rFonts w:ascii="Arial" w:cs="Arial" w:eastAsia="Arial" w:hAnsi="Arial"/>
          <w:sz w:val="17"/>
          <w:szCs w:val="17"/>
          <w:color w:val="auto"/>
        </w:rPr>
        <w:t>. We recognize revenue when the merchandise is transferred or the service is performed, in satisfaction of the corresponding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Sales taxes collected are recognized on a net basis in our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and Cemetery Trust Funds</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 We have recognized financial interests of third parties in the trust funds in our financial statements as </w:t>
      </w:r>
      <w:r>
        <w:rPr>
          <w:rFonts w:ascii="Arial" w:cs="Arial" w:eastAsia="Arial" w:hAnsi="Arial"/>
          <w:sz w:val="17"/>
          <w:szCs w:val="17"/>
          <w:i w:val="1"/>
          <w:iCs w:val="1"/>
          <w:color w:val="auto"/>
        </w:rPr>
        <w:t>Deferred preneed funeral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cemetery receipts held in trust </w:t>
      </w:r>
      <w:r>
        <w:rPr>
          <w:rFonts w:ascii="Arial" w:cs="Arial" w:eastAsia="Arial" w:hAnsi="Arial"/>
          <w:sz w:val="17"/>
          <w:szCs w:val="17"/>
          <w:color w:val="auto"/>
        </w:rPr>
        <w:t>and</w:t>
      </w:r>
      <w:r>
        <w:rPr>
          <w:rFonts w:ascii="Arial" w:cs="Arial" w:eastAsia="Arial" w:hAnsi="Arial"/>
          <w:sz w:val="17"/>
          <w:szCs w:val="17"/>
          <w:i w:val="1"/>
          <w:iCs w:val="1"/>
          <w:color w:val="auto"/>
        </w:rPr>
        <w:t xml:space="preserve"> Care trusts’ corpus</w:t>
      </w:r>
      <w:r>
        <w:rPr>
          <w:rFonts w:ascii="Arial" w:cs="Arial" w:eastAsia="Arial" w:hAnsi="Arial"/>
          <w:sz w:val="17"/>
          <w:szCs w:val="17"/>
          <w:color w:val="auto"/>
        </w:rPr>
        <w:t>. The investments of such trust funds are classified as available-for-sale and are reported at fair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market value; therefore, the unrealized gains and losses, as well as accumulated and undistributed income and realized gains and losses are recorded to </w:t>
      </w:r>
      <w:r>
        <w:rPr>
          <w:rFonts w:ascii="Arial" w:cs="Arial" w:eastAsia="Arial" w:hAnsi="Arial"/>
          <w:sz w:val="17"/>
          <w:szCs w:val="17"/>
          <w:i w:val="1"/>
          <w:iCs w:val="1"/>
          <w:color w:val="auto"/>
        </w:rPr>
        <w:t xml:space="preserve">Deferred preneed funeral and cemetery receipts held in trust </w:t>
      </w:r>
      <w:r>
        <w:rPr>
          <w:rFonts w:ascii="Arial" w:cs="Arial" w:eastAsia="Arial" w:hAnsi="Arial"/>
          <w:sz w:val="17"/>
          <w:szCs w:val="17"/>
          <w:color w:val="auto"/>
        </w:rPr>
        <w:t>and</w:t>
      </w:r>
      <w:r>
        <w:rPr>
          <w:rFonts w:ascii="Arial" w:cs="Arial" w:eastAsia="Arial" w:hAnsi="Arial"/>
          <w:sz w:val="17"/>
          <w:szCs w:val="17"/>
          <w:i w:val="1"/>
          <w:iCs w:val="1"/>
          <w:color w:val="auto"/>
        </w:rPr>
        <w:t xml:space="preserve"> Care trusts’ corpus </w:t>
      </w:r>
      <w:r>
        <w:rPr>
          <w:rFonts w:ascii="Arial" w:cs="Arial" w:eastAsia="Arial" w:hAnsi="Arial"/>
          <w:sz w:val="17"/>
          <w:szCs w:val="17"/>
          <w:color w:val="auto"/>
        </w:rPr>
        <w:t>on our Consolidated Balance Sheet. Our future obligations to deliver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merchandise and services are reported at estimated settlement amounts. Preneed funeral and cemetery trust investments are reduced by the trust investment earnings that we have been allowed to withdraw in certain states prior to maturity. These earnings, along with preneed contract collections not required to be placed in trust, are recorded in </w:t>
      </w:r>
      <w:r>
        <w:rPr>
          <w:rFonts w:ascii="Arial" w:cs="Arial" w:eastAsia="Arial" w:hAnsi="Arial"/>
          <w:sz w:val="17"/>
          <w:szCs w:val="17"/>
          <w:i w:val="1"/>
          <w:iCs w:val="1"/>
          <w:color w:val="auto"/>
        </w:rPr>
        <w:t>Deferred preneed funeral revenue</w:t>
      </w:r>
      <w:r>
        <w:rPr>
          <w:rFonts w:ascii="Arial" w:cs="Arial" w:eastAsia="Arial" w:hAnsi="Arial"/>
          <w:sz w:val="17"/>
          <w:szCs w:val="17"/>
          <w:color w:val="auto"/>
        </w:rPr>
        <w:t xml:space="preserve"> and </w:t>
      </w:r>
      <w:r>
        <w:rPr>
          <w:rFonts w:ascii="Arial" w:cs="Arial" w:eastAsia="Arial" w:hAnsi="Arial"/>
          <w:sz w:val="17"/>
          <w:szCs w:val="17"/>
          <w:i w:val="1"/>
          <w:iCs w:val="1"/>
          <w:color w:val="auto"/>
        </w:rPr>
        <w:t>Deferred preneed cemetery revenue</w:t>
      </w:r>
      <w:r>
        <w:rPr>
          <w:rFonts w:ascii="Arial" w:cs="Arial" w:eastAsia="Arial" w:hAnsi="Arial"/>
          <w:sz w:val="17"/>
          <w:szCs w:val="17"/>
          <w:color w:val="auto"/>
        </w:rPr>
        <w:t xml:space="preserve"> until the service is performed or the merchandise is delivered.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40"/>
          </w:cols>
          <w:pgMar w:left="320" w:top="665" w:right="339" w:bottom="1440" w:gutter="0" w:footer="0" w:header="0"/>
        </w:sectPr>
      </w:pPr>
    </w:p>
    <w:bookmarkStart w:id="9" w:name="page10"/>
    <w:bookmarkEnd w:id="9"/>
    <w:p>
      <w:pPr>
        <w:jc w:val="both"/>
        <w:ind w:firstLine="432"/>
        <w:spacing w:after="0" w:line="259" w:lineRule="auto"/>
        <w:rPr>
          <w:sz w:val="20"/>
          <w:szCs w:val="20"/>
          <w:color w:val="auto"/>
        </w:rPr>
      </w:pPr>
      <w:r>
        <w:rPr>
          <w:rFonts w:ascii="Arial" w:cs="Arial" w:eastAsia="Arial" w:hAnsi="Arial"/>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Such trust fund income is recognized as revenue when realized by the trust and distributable to us. We are restricted from withdrawing any of the principal balances of these funds.</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Notes 6 and 7 to the Consolidated Financial Statements herein for additional information related to our preneed funeral and cemetery trust funds.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Receivables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Our funeral receivables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and primarily consist of amounts due for funeral services already performed.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In substantially all cases, we receive an initial down payment at the time the contract is signed. We do not accrue interest on preneed receivables if they are not paid in accordance with the contractual payment terms given the nature of our merchandise and services, the nature of our contracts with customers and the timing of the delivery of our services. Atneed cemetery receivables and preneed cemetery receivables with payments expected to be received within one year from the balance sheet date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Preneed cemetery receivables with payments expected to be received beyond one year from the balance sheet date are recorded in </w:t>
      </w:r>
      <w:r>
        <w:rPr>
          <w:rFonts w:ascii="Arial" w:cs="Arial" w:eastAsia="Arial" w:hAnsi="Arial"/>
          <w:sz w:val="17"/>
          <w:szCs w:val="17"/>
          <w:i w:val="1"/>
          <w:iCs w:val="1"/>
          <w:color w:val="auto"/>
        </w:rPr>
        <w:t>Preneed cemetery receivables, net.</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our funeral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the contract is cancelled or payment is received.</w:t>
      </w:r>
    </w:p>
    <w:p>
      <w:pPr>
        <w:spacing w:after="0" w:line="79"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Measurement of Credit Losses on Financial Instruments </w:t>
      </w:r>
      <w:r>
        <w:rPr>
          <w:rFonts w:ascii="Arial" w:cs="Arial" w:eastAsia="Arial" w:hAnsi="Arial"/>
          <w:sz w:val="16"/>
          <w:szCs w:val="16"/>
          <w:color w:val="auto"/>
        </w:rPr>
        <w:t>and subsequent amendments collectively known as (“Topic 326”). Prior to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Topic 326, we provided allowances for bad debt and contract cancellations on our receivables based on an analysis of historical trends of collection activity.</w:t>
      </w:r>
    </w:p>
    <w:p>
      <w:pPr>
        <w:spacing w:after="0" w:line="4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For both funeral and cemetery receivables, 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will also monitor any change in our historical write-off of receivables utilized in our loss-rate methodology and assess forecasted changes in market conditions within our credit reserve. In the first six months of 2020, we increased our allowance for credit losses on our receivables by $0.6 million as a result of the economic impact of COVID-19.</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Notes 2 and 5 to the Consolidated Financial Statements herein for additional information related the adoption of Topic 326 on January 1, 2020 and the additional disclosures required.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the Consolidated Financial Statements herein for further information related to our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6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each year.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9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result of economic conditions caused by the response to COVID-19, we performed a quantitative assessment of our goodwill at March 31, 2020 and we recorded an impairment for goodwill of $13.6 million during the quarter ended March 31, 2020, as the carrying amount of our funeral homes in the Eastern Reporting Unit exceeded the fair value. The discounted cash flow valuation uses projections of future cash flows and includes assumptions concerning future operating performance and economic conditions that may differ from actual future cash flows. During the three months ended June 30, 2020, we did not identify any new factors or events that would trigger us to perform an additional interim assessment of our goodwill. We will perform our annual goodwill impairment test as of August 31, 2020.</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4 to the Consolidated Financial Statements included herein for additional information related to our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 xml:space="preserve">Our intangible assets include tradenames resulting from acquisitions and are included in </w:t>
      </w:r>
      <w:r>
        <w:rPr>
          <w:rFonts w:ascii="Arial" w:cs="Arial" w:eastAsia="Arial" w:hAnsi="Arial"/>
          <w:sz w:val="18"/>
          <w:szCs w:val="18"/>
          <w:i w:val="1"/>
          <w:iCs w:val="1"/>
          <w:color w:val="auto"/>
        </w:rPr>
        <w:t>Intangible and other non-current assets, net</w:t>
      </w:r>
      <w:r>
        <w:rPr>
          <w:rFonts w:ascii="Arial" w:cs="Arial" w:eastAsia="Arial" w:hAnsi="Arial"/>
          <w:sz w:val="18"/>
          <w:szCs w:val="18"/>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each year. In addition to our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9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of economic conditions caused by the response to COVID-19, we performed a quantitative assessment of our tradenames at March 31, 2020 and we recorded an impairment for certain of our tradenames of $1.1 million during the quarter ended March 31, 2020 as the carrying amount of these tradenames exceeded the fair value. In determining the fair value of the tradenames, we used the relief from royalty method whereby we determine the fair value of the assets by discounting the cash flows that represent a savings over having to pay a royalty fee for use of the tradenames.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During the three months ended June 30, 2020, we did not identify any new factors or events that would trigger us to perform an additional interim assessment of our tradenames. We will perform our annual intangible assets impairment test as of August 31, 2020.</w:t>
      </w:r>
    </w:p>
    <w:p>
      <w:pPr>
        <w:spacing w:after="0" w:line="70" w:lineRule="exact"/>
        <w:rPr>
          <w:sz w:val="20"/>
          <w:szCs w:val="20"/>
          <w:color w:val="auto"/>
        </w:rPr>
      </w:pPr>
    </w:p>
    <w:p>
      <w:pPr>
        <w:ind w:right="1660" w:firstLine="432"/>
        <w:spacing w:after="0" w:line="465" w:lineRule="auto"/>
        <w:rPr>
          <w:sz w:val="20"/>
          <w:szCs w:val="20"/>
          <w:color w:val="auto"/>
        </w:rPr>
      </w:pPr>
      <w:r>
        <w:rPr>
          <w:rFonts w:ascii="Arial" w:cs="Arial" w:eastAsia="Arial" w:hAnsi="Arial"/>
          <w:sz w:val="18"/>
          <w:szCs w:val="18"/>
          <w:color w:val="auto"/>
        </w:rPr>
        <w:t xml:space="preserve">See Note 9 to the Consolidated Financial Statements included herein for additional information related to our intangible assets. </w:t>
      </w:r>
      <w:r>
        <w:rPr>
          <w:rFonts w:ascii="Arial" w:cs="Arial" w:eastAsia="Arial" w:hAnsi="Arial"/>
          <w:sz w:val="18"/>
          <w:szCs w:val="18"/>
          <w:i w:val="1"/>
          <w:iCs w:val="1"/>
          <w:color w:val="auto"/>
        </w:rPr>
        <w:t>Capitalized Commissions on Preneed Contracts</w:t>
      </w:r>
    </w:p>
    <w:p>
      <w:pPr>
        <w:spacing w:after="0" w:line="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for our preneed cemetery merchandise and services contracts and preneed funeral trust contracts, of eight and ten years, respectively.</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 9 to the Consolidated Financial Statements herein for additional information related to our capitalized commissions on preneed contracts.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have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 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w:t>
      </w:r>
    </w:p>
    <w:p>
      <w:pPr>
        <w:spacing w:after="0" w:line="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Operating lease ROU assets are included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operating lease liabilities are included in </w:t>
      </w:r>
      <w:r>
        <w:rPr>
          <w:rFonts w:ascii="Arial" w:cs="Arial" w:eastAsia="Arial" w:hAnsi="Arial"/>
          <w:sz w:val="18"/>
          <w:szCs w:val="18"/>
          <w:i w:val="1"/>
          <w:iCs w:val="1"/>
          <w:color w:val="auto"/>
        </w:rPr>
        <w:t>Current portion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lease obligations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Obligations under operating leases, net of current portion </w:t>
      </w:r>
      <w:r>
        <w:rPr>
          <w:rFonts w:ascii="Arial" w:cs="Arial" w:eastAsia="Arial" w:hAnsi="Arial"/>
          <w:sz w:val="18"/>
          <w:szCs w:val="18"/>
          <w:color w:val="auto"/>
        </w:rPr>
        <w:t>on our Consolidated Balance Sheet. Finance lease ROU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included in </w:t>
      </w:r>
      <w:r>
        <w:rPr>
          <w:rFonts w:ascii="Arial" w:cs="Arial" w:eastAsia="Arial" w:hAnsi="Arial"/>
          <w:sz w:val="18"/>
          <w:szCs w:val="18"/>
          <w:i w:val="1"/>
          <w:iCs w:val="1"/>
          <w:color w:val="auto"/>
        </w:rPr>
        <w:t>Property, plant and equipment, net</w:t>
      </w:r>
      <w:r>
        <w:rPr>
          <w:rFonts w:ascii="Arial" w:cs="Arial" w:eastAsia="Arial" w:hAnsi="Arial"/>
          <w:sz w:val="18"/>
          <w:szCs w:val="18"/>
          <w:color w:val="auto"/>
        </w:rPr>
        <w:t xml:space="preserve"> and finance lease liabilities are included in </w:t>
      </w:r>
      <w:r>
        <w:rPr>
          <w:rFonts w:ascii="Arial" w:cs="Arial" w:eastAsia="Arial" w:hAnsi="Arial"/>
          <w:sz w:val="18"/>
          <w:szCs w:val="18"/>
          <w:i w:val="1"/>
          <w:iCs w:val="1"/>
          <w:color w:val="auto"/>
        </w:rPr>
        <w:t>Current portion of finance lease obligations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Obligations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under finance leases, net of current portion </w:t>
      </w:r>
      <w:r>
        <w:rPr>
          <w:rFonts w:ascii="Arial" w:cs="Arial" w:eastAsia="Arial" w:hAnsi="Arial"/>
          <w:sz w:val="18"/>
          <w:szCs w:val="18"/>
          <w:color w:val="auto"/>
        </w:rPr>
        <w:t>on our Consolidated Balance Sheet.</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goodwill and intangible impairment tests performed at March 31, 2020, we also evaluated the operating and finance leases of our funeral homes in the Eastern Reporting Unit and concluded that there was no impairment to our operating and finance lease assets. During the three months ended June 30, 2020, we did not identify any new factors or events that would trigger us to perform an additional assessment of our operating and finance leases.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Notes 13 to the Consolidated Financial Statements included herein for additional information related to our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estimated useful lives of the assets.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is comprised of the following at December 31, 2019 and June 30,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44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84,608</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242,641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244,582</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equipment and automobiles</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88,046</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90,399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415,295</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419,995</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(136,095)</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(142,431)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279,200</w:t>
            </w:r>
          </w:p>
        </w:tc>
        <w:tc>
          <w:tcPr>
            <w:tcW w:w="2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277,564</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2020, we acquired $1.7 million of property, plant and equipment related to our acquisition described in Note 3 to the Consolidated Financial Statements included herein. In addition, our growth and maintenance capital expenditures totaled $5.8 million for the six months ended June 30, 2020, for property, plant, equipment and cemetery development.</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depreciation expense of $3.4 million and $3.6 million for the three months ended June 30, 2019 and 2020, respectively and $6.9 million and $7.2 million for the six months ended June 30, 2019 and 2020, respectively.</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Long-lived assets, such as property, plant and equipment subject to depreciation and amortization, are reviewed for impairment at least annually or whenever events or changes in circumstances indicate that the carrying amount of an asset may not be recoverable in accordance with the Property, Plant and Equipment topic of the Accounting Standards Codification (“ASC”) 360. In connection with the goodwill and intangible impairment tests performed at March 31, 2020, we also evaluated the long-lived assets of our funeral homes in the Eastern Reporting Unit and concluded that there was no impairment to our long-lived assets. During the three months ended June 30, 2020, we did not identify any new factors or events that would trigger us to perform an additional assessment of our long-lived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Cemetery Property</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and accurate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w:t>
      </w:r>
    </w:p>
    <w:p>
      <w:pPr>
        <w:spacing w:after="0" w:line="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Cemetery property was $87.0 million and $101.5 million, net of accumulated amortization of $41.7 million and $43.6 million at December 31, 2019 and June 30, 2020, respectively. When cemetery property is sold, the value of the cemetery property (interment right costs) is expensed as amortization using the specific identification method in the period in which the sale of the interment right is recognized as revenue. We recorded amortization expense for cemetery interment rights of $1.2 million and $1.1 million for the three months ended June 30, 2019 and 2020, respectively and $2.0 million for both the six months ended June 30, 2019 and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August 2018, the FASB amended “Fair Value Measurements” to modify the disclosure requirements related to fair value. The amendment removes requirements to disclose (1) the amount of and reasons for transfers between Levels 1 and 2 of the fair value hierarchy, (2) our policy related to the timing of transfers between levels, and (3) the valuation processes used in Level 3 measurements. It clarifies that the narrative disclosure of the effect of changes in Level 3 inputs should be based on changes that could occur at the reporting date. The amendment adds a requirement to disclose the range and weighted average of the significant unobservable inputs used in Level 3 measurements. We adopted the new standard as of January 1, 2020 and it had no impact on our consolidated results of operations, consolidated financial position, and cash flows</w:t>
      </w:r>
      <w:r>
        <w:rPr>
          <w:rFonts w:ascii="Arial" w:cs="Arial" w:eastAsia="Arial" w:hAnsi="Arial"/>
          <w:sz w:val="11"/>
          <w:szCs w:val="11"/>
          <w:color w:val="auto"/>
        </w:rPr>
        <w:t>.</w:t>
      </w:r>
    </w:p>
    <w:p>
      <w:pPr>
        <w:spacing w:after="0" w:line="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Notes 6 and 8 to the Consolidated Financial Statements herein for additional required disclosures related to our fair value measurement of our financial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Stock-Based Compensation</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have stock-based employee and director compensation plans under which we grant stock, restricted stock, stock options and performance awards. We also have an employee stock purchase plan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6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Fair value is determined on the date of the grant. The fair value of restricted stock is determined using the stock price on the grant date. The fair value of options or awards containing options is determined using the Black-Scholes valuation model. The fair value of the performance awards related to market performance conditions is determined using a Monte-Carlo simulation pricing model. The fair value of the ESPP is determined based on the discount element offered to employees and the embedded option element, which is determined using an option calculation model.</w:t>
      </w:r>
    </w:p>
    <w:p>
      <w:pPr>
        <w:spacing w:after="0" w:line="63" w:lineRule="exact"/>
        <w:rPr>
          <w:sz w:val="20"/>
          <w:szCs w:val="20"/>
          <w:color w:val="auto"/>
        </w:rPr>
      </w:pPr>
    </w:p>
    <w:p>
      <w:pPr>
        <w:ind w:right="440" w:firstLine="432"/>
        <w:spacing w:after="0" w:line="465" w:lineRule="auto"/>
        <w:rPr>
          <w:sz w:val="20"/>
          <w:szCs w:val="20"/>
          <w:color w:val="auto"/>
        </w:rPr>
      </w:pPr>
      <w:r>
        <w:rPr>
          <w:rFonts w:ascii="Arial" w:cs="Arial" w:eastAsia="Arial" w:hAnsi="Arial"/>
          <w:sz w:val="18"/>
          <w:szCs w:val="18"/>
          <w:color w:val="auto"/>
        </w:rPr>
        <w:t xml:space="preserve">See Note 15 to the Consolidated Financial Statements included herein for additional information related to our stock-based compensation plans. </w:t>
      </w:r>
      <w:r>
        <w:rPr>
          <w:rFonts w:ascii="Arial" w:cs="Arial" w:eastAsia="Arial" w:hAnsi="Arial"/>
          <w:sz w:val="18"/>
          <w:szCs w:val="18"/>
          <w:i w:val="1"/>
          <w:iCs w:val="1"/>
          <w:color w:val="auto"/>
        </w:rPr>
        <w:t>Income Taxes</w:t>
      </w:r>
    </w:p>
    <w:p>
      <w:pPr>
        <w:spacing w:after="0" w:line="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4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 Our unrecognized tax benefits reserve for uncertain tax positions primarily relates to pending accounting method changes filed for the tax year ended December 31, 2018. During the latter half of 2020,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plan to modify the proposed accounting method filed to exclude the tax position that resulted in the need for an uncertain tax position reserve.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recently passed Coronavirus Aid, Relief, and Economic Security Act (the “CARES Act”) has certain provisions that are applicable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w:t>
      </w:r>
    </w:p>
    <w:p>
      <w:pPr>
        <w:spacing w:after="0" w:line="103" w:lineRule="exact"/>
        <w:rPr>
          <w:sz w:val="20"/>
          <w:szCs w:val="20"/>
          <w:color w:val="auto"/>
        </w:rPr>
      </w:pPr>
    </w:p>
    <w:p>
      <w:pPr>
        <w:ind w:left="660" w:hanging="2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allowing net operating losses (“NOLs”) arising in 2018, 2019 and 2020 to be carried back five years;</w:t>
      </w:r>
    </w:p>
    <w:p>
      <w:pPr>
        <w:spacing w:after="0" w:line="117" w:lineRule="exact"/>
        <w:rPr>
          <w:rFonts w:ascii="Arial" w:cs="Arial" w:eastAsia="Arial" w:hAnsi="Arial"/>
          <w:sz w:val="18"/>
          <w:szCs w:val="18"/>
          <w:color w:val="auto"/>
        </w:rPr>
      </w:pPr>
    </w:p>
    <w:p>
      <w:pPr>
        <w:ind w:left="700" w:hanging="26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the taxable income threshold on the interest deduction from 30% to 50% for tax years beginning in 2019 and 2020;</w:t>
      </w:r>
    </w:p>
    <w:p>
      <w:pPr>
        <w:spacing w:after="0" w:line="117" w:lineRule="exact"/>
        <w:rPr>
          <w:rFonts w:ascii="Arial" w:cs="Arial" w:eastAsia="Arial" w:hAnsi="Arial"/>
          <w:sz w:val="18"/>
          <w:szCs w:val="18"/>
          <w:color w:val="auto"/>
        </w:rPr>
      </w:pPr>
    </w:p>
    <w:p>
      <w:pPr>
        <w:ind w:firstLine="440"/>
        <w:spacing w:after="0" w:line="277"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color w:val="auto"/>
        </w:rPr>
        <w:t>suspending payment requirements for the 6.2% employer portion of Social Security taxes from the date of enactment through the end of 2020, with half the balance due by the end of 2021, and the other half due by the end of 2022; and</w:t>
      </w:r>
    </w:p>
    <w:p>
      <w:pPr>
        <w:spacing w:after="0" w:line="62" w:lineRule="exact"/>
        <w:rPr>
          <w:rFonts w:ascii="Arial" w:cs="Arial" w:eastAsia="Arial" w:hAnsi="Arial"/>
          <w:sz w:val="18"/>
          <w:szCs w:val="18"/>
          <w:color w:val="auto"/>
        </w:rPr>
      </w:pPr>
    </w:p>
    <w:p>
      <w:pPr>
        <w:ind w:right="20" w:firstLine="440"/>
        <w:spacing w:after="0" w:line="277" w:lineRule="auto"/>
        <w:tabs>
          <w:tab w:leader="none" w:pos="74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receive employee retention credits up to $5,000 for paying wages to employees who are unable to work, while business operations are suspended.</w:t>
      </w:r>
    </w:p>
    <w:p>
      <w:pPr>
        <w:spacing w:after="0" w:line="6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Although the CARES Act allows for a carryback of the net operating losses generated in 2018 and 2019, due to uncertainty in the timing of receiving Internal Revenue Service approval for non-automatic accounting method changes, a reserve has been recorded against the benefit derived from this carrying back that the net operating losses generated; therefore, for the six months ended June 30, 2020, the reserve for uncertain tax positions was $2.9 million. The 2018 refund claim was filed June 30, 2020. There is no reserve recorded at June 30, 2019. Although we expect to take advantage of certain tax relief provisions of the CARES Act, we do not believe it will have a significant impact on our short-term or long-term liquidity position.</w:t>
      </w:r>
    </w:p>
    <w:p>
      <w:pPr>
        <w:spacing w:after="0" w:line="107"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Income tax expense during interim periods is based on our forecasted annual effective tax rate plus any discrete items, which are recorded in the period in which they occur. Discrete items include, but are not limited to, such events as changes in estimates due to finalization of income tax returns, tax audit settlements, tax effects of exercised or vested stock-based awards and increases or decreases in valuation allowances on deferred tax assets.</w:t>
      </w:r>
    </w:p>
    <w:p>
      <w:pPr>
        <w:spacing w:after="0" w:line="9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Our income tax expense was $2.1 million and $3.4 million for the three months ended June 30, 2019 and 2020, respectively and $4.8 million and $1.3 million for the six months ended June 30, 2019 and 2020, respectively. Our operating tax rate before discrete items was 29.2% and 33.5% for the three months ended June 30, 2019 and 2020, respectively and 28.5% and 33.3% for the six months ended June 30, 2019 and 2020, respectively.</w:t>
      </w:r>
    </w:p>
    <w:p>
      <w:pPr>
        <w:spacing w:after="0" w:line="9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our overall effective tax rate is due to the unfavorable tax impact of impairment of goodwill and other intangibles recorded in the first quarter of 2020 for businesses that were previously acquired through stock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49" w:lineRule="exact"/>
        <w:rPr>
          <w:sz w:val="20"/>
          <w:szCs w:val="20"/>
          <w:color w:val="auto"/>
        </w:rPr>
      </w:pPr>
    </w:p>
    <w:p>
      <w:pPr>
        <w:ind w:right="360" w:firstLine="405"/>
        <w:spacing w:after="0" w:line="465" w:lineRule="auto"/>
        <w:rPr>
          <w:sz w:val="20"/>
          <w:szCs w:val="20"/>
          <w:color w:val="auto"/>
        </w:rPr>
      </w:pPr>
      <w:r>
        <w:rPr>
          <w:rFonts w:ascii="Arial" w:cs="Arial" w:eastAsia="Arial" w:hAnsi="Arial"/>
          <w:sz w:val="18"/>
          <w:szCs w:val="18"/>
          <w:color w:val="auto"/>
        </w:rPr>
        <w:t xml:space="preserve">See Note 16 to the Consolidated Financial Statements included herein for the additional information related to computation of earnings per share. </w:t>
      </w:r>
      <w:r>
        <w:rPr>
          <w:rFonts w:ascii="Arial" w:cs="Arial" w:eastAsia="Arial" w:hAnsi="Arial"/>
          <w:sz w:val="18"/>
          <w:szCs w:val="18"/>
          <w:i w:val="1"/>
          <w:iCs w:val="1"/>
          <w:color w:val="auto"/>
        </w:rPr>
        <w:t>Subsequent Events</w:t>
      </w:r>
    </w:p>
    <w:p>
      <w:pPr>
        <w:spacing w:after="0" w:line="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have evaluated events and transactions during the period subsequent to June 30, 2020 through the date the financial statements were issued for potential recognition or disclosure in the accompanying financial statements covered by this report.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19 to the Consolidated Financial Statements included herein for additional information related to our subsequent events.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611" w:right="339" w:bottom="1440" w:gutter="0" w:footer="0" w:header="0"/>
        </w:sectPr>
      </w:pPr>
    </w:p>
    <w:bookmarkStart w:id="14" w:name="page15"/>
    <w:bookmarkEnd w:id="14"/>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Topic 326 applies to all entities holding financial assets measured at amortized cost, including loans, trade and financed receivables and other financial instruments. The guidance introduces a new credit reserving model known as Current Expected Credit Loss (“CECL”), which requires earlier recognition of credit losses, while also providing additional transparency about credit risk. The CECL model requires all expected credit losses to be measured based on historical experience, current conditions and reasonable and supportable forecasts about collectability. In addition, Topic 326 made changes to the accounting for available-for-sale debt securities. One such change is to require credit losses to be presented as an allowance rather than as a write-down on available-for-sale debt securities management does not intend to sell or believes that it is more likely than not will be required to sell.</w:t>
      </w:r>
    </w:p>
    <w:p>
      <w:pPr>
        <w:spacing w:after="0" w:line="5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On January 1, 2020, we adopted Topic 326 using the modified retrospective method and the impact was not material to our Consolidated Financial Statements. See Notes 5 and 6 to the Consolidated Financial Statements herein for additional disclosures required by Topic 326.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6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In December 2019, the FASB issued ASU,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to simplify the accounting for income taxes. The amendments in this update are effective for fiscal years beginning after December 15, 2020, with early adoption permitted. On January 1, 2020, we early adopted the provisions of this ASU using the prospective method and the impact was not material to our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March 2020, the FASB issued ASU,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(“Topic 848”) to provide optional guidance for a limited time to ease the potential burden in accounting for reference rate reform. The new guidance provides optional expedients and exceptions for applying U.S. Generally Accepted Accounting Principles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The Company did not utilize the optional expedients and exceptions provided by this ASU during the six months ended June 30, 2020.</w:t>
      </w: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12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On January 3, 2020, we acquired one funeral home and cemetery combination business in Lafayette, California for $33.0 million in cash, of which $5.0 million was deposited in escrow in 2019 and $28.0 million was paid at closing in 2020. We acquired substantially all of the assets and assumed certain operating liabilities of these businesses.</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pro forma impact of this acquisition on prior periods is not presented, as the impact is not significant to our reported results. The results of the acquired business is reflected in our Consolidated Statements of Operations from the date of acquisition.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69" w:right="339" w:bottom="1440" w:gutter="0" w:footer="0" w:header="0"/>
        </w:sectPr>
      </w:pPr>
    </w:p>
    <w:bookmarkStart w:id="15" w:name="page16"/>
    <w:bookmarkEnd w:id="15"/>
    <w:p>
      <w:pPr>
        <w:jc w:val="both"/>
        <w:ind w:firstLine="432"/>
        <w:spacing w:after="0" w:line="263" w:lineRule="auto"/>
        <w:rPr>
          <w:sz w:val="20"/>
          <w:szCs w:val="20"/>
          <w:color w:val="auto"/>
        </w:rPr>
      </w:pPr>
      <w:r>
        <w:rPr>
          <w:rFonts w:ascii="Arial" w:cs="Arial" w:eastAsia="Arial" w:hAnsi="Arial"/>
          <w:sz w:val="18"/>
          <w:szCs w:val="18"/>
          <w:color w:val="auto"/>
        </w:rPr>
        <w:t>During the three months ended June 30, 2020, we recorded adjustments to the purchase price allocation for our acquisition made during the first quarter of 2020. The following table summarizes the breakdown of the purchase price allocation for these businesses and the subsequent adjustments made based on additional information which became available prior to June 30,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Initial Purchase Price</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31"/>
              <w:spacing w:after="0"/>
              <w:rPr>
                <w:sz w:val="20"/>
                <w:szCs w:val="20"/>
                <w:color w:val="auto"/>
              </w:rPr>
            </w:pPr>
            <w:r>
              <w:rPr>
                <w:rFonts w:ascii="Arial" w:cs="Arial" w:eastAsia="Arial" w:hAnsi="Arial"/>
                <w:sz w:val="16"/>
                <w:szCs w:val="16"/>
                <w:b w:val="1"/>
                <w:bCs w:val="1"/>
                <w:color w:val="auto"/>
                <w:w w:val="89"/>
              </w:rPr>
              <w:t>Adjusted Purchase</w:t>
            </w:r>
          </w:p>
        </w:tc>
      </w:t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Allocation</w:t>
            </w:r>
          </w:p>
        </w:tc>
        <w:tc>
          <w:tcPr>
            <w:tcW w:w="2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1440" w:type="dxa"/>
            <w:vAlign w:val="bottom"/>
          </w:tcPr>
          <w:p>
            <w:pPr>
              <w:jc w:val="right"/>
              <w:ind w:right="131"/>
              <w:spacing w:after="0"/>
              <w:rPr>
                <w:sz w:val="20"/>
                <w:szCs w:val="20"/>
                <w:color w:val="auto"/>
              </w:rPr>
            </w:pPr>
            <w:r>
              <w:rPr>
                <w:rFonts w:ascii="Arial" w:cs="Arial" w:eastAsia="Arial" w:hAnsi="Arial"/>
                <w:sz w:val="16"/>
                <w:szCs w:val="16"/>
                <w:b w:val="1"/>
                <w:bCs w:val="1"/>
                <w:color w:val="auto"/>
                <w:w w:val="99"/>
              </w:rPr>
              <w:t>Price Allocation</w:t>
            </w: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Preneed trust assets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9,089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9,089</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&amp;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Cemetery property</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14,753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14,753</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Intangible and other non-current assets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2,506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2,506</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trust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8"/>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current assets primarily relate to preneed cemetery receivables. The intangible and other non-current assets relate to the fair value of tradenames. The assumed liabilities primarily relate to the obligations associated with delivered preneed merchandise that was not paid for prior to acquisition. As of June 30, 2020, our accounting for cemetery receivables, cemetery property, deferred revenue and deferred tax liabilities for this acquisition has not been finalized.</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six months ended June 30, 2020, we recorded adjustments to the purchase price allocation for three acquisitions closed in the fourth quarter of 2019. The following table summarizes the breakdown of the purchase price allocation for these businesses and the subsequent adjustments made based on additional information which became available prior to June 30,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Initial Purchase Price</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Adjusted Purchase</w:t>
            </w:r>
          </w:p>
        </w:tc>
      </w:t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Allocation</w:t>
            </w:r>
          </w:p>
        </w:tc>
        <w:tc>
          <w:tcPr>
            <w:tcW w:w="2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Price Allocation</w:t>
            </w: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Preneed trust assets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15,891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15,891</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&amp;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21,680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Cemetery property</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11,994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11,949</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99,344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98,519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Intangible and other non-current assets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8,269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8,269</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Preneed trust liabilities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(15,463)</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140,907</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141,071</w:t>
            </w:r>
          </w:p>
        </w:tc>
      </w:tr>
      <w:tr>
        <w:trPr>
          <w:trHeight w:val="27"/>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During the three months ended June 30, 2020, we paid an additional $164,000 for our acquisition of the cemetery business in Fairfax, Virginia to reimburse the sellers for certain incremental taxes resulting from the 338(h)(10) election under the Internal Revenue Code. We also received $153,000 in cash, recorded in Current assets, related to the closing of all operating bank accounts in place prior to the acquisition. As of June 30, 2020, our accounting for cemetery receivables, cemetery property, deferred revenue and deferred tax liabilities for our 2019 acquisitions has not been finalized.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611" w:right="339" w:bottom="1440" w:gutter="0" w:footer="0" w:header="0"/>
        </w:sectPr>
      </w:pPr>
    </w:p>
    <w:bookmarkStart w:id="16" w:name="page17"/>
    <w:bookmarkEnd w:id="16"/>
    <w:p>
      <w:pPr>
        <w:ind w:left="800" w:hanging="792"/>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presents changes in goodwill in the accompanying Consolidated Balance Sheet for the year ended December 31, 2019 and the six months ended June 30,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44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303,887</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398,292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increase in goodwill related to acquisitions</w:t>
            </w:r>
          </w:p>
        </w:tc>
        <w:tc>
          <w:tcPr>
            <w:tcW w:w="2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99,344</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12,201</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goodwill related to divestitures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Decrease in goodwill related to impairments</w:t>
            </w:r>
          </w:p>
        </w:tc>
        <w:tc>
          <w:tcPr>
            <w:tcW w:w="240" w:type="dxa"/>
            <w:vAlign w:val="bottom"/>
          </w:tcPr>
          <w:p>
            <w:pPr>
              <w:spacing w:after="0"/>
              <w:rPr>
                <w:sz w:val="21"/>
                <w:szCs w:val="21"/>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(13,632)</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the end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398,292</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396,861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Notes 1 and 3 to the Consolidated Financial Statements included herein, for a discussion of the methodology used for our goodwill impairment test and discussion of our acquisitions, respectively.</w:t>
      </w:r>
    </w:p>
    <w:p>
      <w:pPr>
        <w:spacing w:after="0" w:line="22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is comprised of the following at December 31, 2019 and June 30,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2019</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ind w:left="300"/>
              <w:spacing w:after="0"/>
              <w:rPr>
                <w:sz w:val="20"/>
                <w:szCs w:val="20"/>
                <w:color w:val="auto"/>
              </w:rPr>
            </w:pPr>
            <w:r>
              <w:rPr>
                <w:rFonts w:ascii="Arial" w:cs="Arial" w:eastAsia="Arial" w:hAnsi="Arial"/>
                <w:sz w:val="16"/>
                <w:szCs w:val="16"/>
                <w:b w:val="1"/>
                <w:bCs w:val="1"/>
                <w:color w:val="auto"/>
              </w:rPr>
              <w:t>Funeral</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Cemetery</w:t>
            </w:r>
          </w:p>
        </w:tc>
        <w:tc>
          <w:tcPr>
            <w:tcW w:w="50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Corporate</w:t>
            </w:r>
          </w:p>
        </w:tc>
        <w:tc>
          <w:tcPr>
            <w:tcW w:w="420" w:type="dxa"/>
            <w:vAlign w:val="bottom"/>
          </w:tcPr>
          <w:p>
            <w:pPr>
              <w:spacing w:after="0"/>
              <w:rPr>
                <w:sz w:val="20"/>
                <w:szCs w:val="20"/>
                <w:color w:val="auto"/>
              </w:rPr>
            </w:pPr>
          </w:p>
        </w:tc>
        <w:tc>
          <w:tcPr>
            <w:tcW w:w="94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financed receivables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10,046</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10,508</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receivables</w:t>
            </w: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bad debt and contract cancellation</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10,758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10,039</w:t>
            </w:r>
          </w:p>
        </w:tc>
        <w:tc>
          <w:tcPr>
            <w:tcW w:w="2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21,478</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68"/>
        </w:trPr>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June 30, 2020</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ind w:left="300"/>
              <w:spacing w:after="0"/>
              <w:rPr>
                <w:sz w:val="20"/>
                <w:szCs w:val="20"/>
                <w:color w:val="auto"/>
              </w:rPr>
            </w:pPr>
            <w:r>
              <w:rPr>
                <w:rFonts w:ascii="Arial" w:cs="Arial" w:eastAsia="Arial" w:hAnsi="Arial"/>
                <w:sz w:val="16"/>
                <w:szCs w:val="16"/>
                <w:b w:val="1"/>
                <w:bCs w:val="1"/>
                <w:color w:val="auto"/>
              </w:rPr>
              <w:t>Funeral</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Cemetery</w:t>
            </w:r>
          </w:p>
        </w:tc>
        <w:tc>
          <w:tcPr>
            <w:tcW w:w="50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Corporate</w:t>
            </w:r>
          </w:p>
        </w:tc>
        <w:tc>
          <w:tcPr>
            <w:tcW w:w="420" w:type="dxa"/>
            <w:vAlign w:val="bottom"/>
          </w:tcPr>
          <w:p>
            <w:pPr>
              <w:spacing w:after="0"/>
              <w:rPr>
                <w:sz w:val="20"/>
                <w:szCs w:val="20"/>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financed receivables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11,277</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20,176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10,874</w:t>
            </w:r>
          </w:p>
        </w:tc>
        <w:tc>
          <w:tcPr>
            <w:tcW w:w="2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20,033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six months ended June 30, 2020, we increased our allowance for credit losses on our Accounts Receivables by $0.2 million as a result of the economic impact of COVID-19. 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in our allowance for credit losses by portfolio segment for six months ended June 30, 2020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Allowance</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January 1,</w:t>
            </w: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Provision for</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Recorded at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Credit Losses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Acquisition</w:t>
            </w: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Write Offs</w:t>
            </w: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Recoveries</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June 30, 2020</w:t>
            </w:r>
          </w:p>
        </w:tc>
        <w:tc>
          <w:tcPr>
            <w:tcW w:w="0" w:type="dxa"/>
            <w:vAlign w:val="bottom"/>
          </w:tcPr>
          <w:p>
            <w:pPr>
              <w:spacing w:after="0"/>
              <w:rPr>
                <w:sz w:val="1"/>
                <w:szCs w:val="1"/>
                <w:color w:val="auto"/>
              </w:rPr>
            </w:pPr>
          </w:p>
        </w:tc>
      </w:tr>
      <w:tr>
        <w:trPr>
          <w:trHeight w:val="33"/>
        </w:trPr>
        <w:tc>
          <w:tcPr>
            <w:tcW w:w="4500" w:type="dxa"/>
            <w:vAlign w:val="bottom"/>
            <w:vMerge w:val="restart"/>
          </w:tcPr>
          <w:p>
            <w:pPr>
              <w:ind w:left="40"/>
              <w:spacing w:after="0"/>
              <w:rPr>
                <w:sz w:val="20"/>
                <w:szCs w:val="20"/>
                <w:color w:val="auto"/>
              </w:rPr>
            </w:pPr>
            <w:r>
              <w:rPr>
                <w:rFonts w:ascii="Arial" w:cs="Arial" w:eastAsia="Arial" w:hAnsi="Arial"/>
                <w:sz w:val="18"/>
                <w:szCs w:val="18"/>
                <w:color w:val="auto"/>
              </w:rPr>
              <w:t>Trade and financed receivables:</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Funeral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Cemetery</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allowance for credit losses on Trade and financed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As noted in Note 3, we acquired preneed cemetery receivables in connection with the funeral home and cemetery combination business in Lafayette, California acquired on January 3, 2020. We recorded an allowance for credit losses of $0.6 million on these acquired receivables ($0.2 million current portion shown above in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and $0.4 million non-current portion shown below in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We accounted for the allowance for credit losses on these purchased financed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69"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assets using specific identification as these assets have a unique set of risk characteristics. For these specifically identified receivables, we determined the allowance to be 100% of the face value.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Bad debt expense for accounts receivable totaled $0.3 million and $0.5 million for the three and 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Cemetery Receivables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preneed cemetery receivables are comprised of the following at December 31, 2019 and June 30,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44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interment rights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31,366</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Cemetery merchandise and services</w:t>
            </w:r>
          </w:p>
        </w:tc>
        <w:tc>
          <w:tcPr>
            <w:tcW w:w="2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9,950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10,028</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41,316</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44,329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our preneed cemetery receivables at December 31, 2019 and June 30, 2020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44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41,316</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unearned finance charges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(4,522)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(4,159)</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 at amortized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36,794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 and credit losses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balances due on undelivered cemetery preneed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amounts in accounts receivable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(9,882)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(10,257)</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20,173</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The following table summarizes the activity in our allowance for credit losses for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for the six months ended June 30, 2020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Allowance</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Provision for</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Recorded at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462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January 1, 2020</w:t>
            </w:r>
          </w:p>
        </w:tc>
        <w:tc>
          <w:tcPr>
            <w:tcW w:w="1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Credit Losses</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Acquisition</w:t>
            </w: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Write Offs</w:t>
            </w:r>
          </w:p>
        </w:tc>
        <w:tc>
          <w:tcPr>
            <w:tcW w:w="120" w:type="dxa"/>
            <w:vAlign w:val="bottom"/>
          </w:tcPr>
          <w:p>
            <w:pPr>
              <w:spacing w:after="0"/>
              <w:rPr>
                <w:sz w:val="18"/>
                <w:szCs w:val="18"/>
                <w:color w:val="auto"/>
              </w:rPr>
            </w:pPr>
          </w:p>
        </w:tc>
        <w:tc>
          <w:tcPr>
            <w:tcW w:w="1100" w:type="dxa"/>
            <w:vAlign w:val="bottom"/>
          </w:tcPr>
          <w:p>
            <w:pPr>
              <w:jc w:val="right"/>
              <w:ind w:right="55"/>
              <w:spacing w:after="0"/>
              <w:rPr>
                <w:sz w:val="20"/>
                <w:szCs w:val="20"/>
                <w:color w:val="auto"/>
              </w:rPr>
            </w:pPr>
            <w:r>
              <w:rPr>
                <w:rFonts w:ascii="Arial" w:cs="Arial" w:eastAsia="Arial" w:hAnsi="Arial"/>
                <w:sz w:val="16"/>
                <w:szCs w:val="16"/>
                <w:b w:val="1"/>
                <w:bCs w:val="1"/>
                <w:color w:val="auto"/>
                <w:w w:val="90"/>
              </w:rPr>
              <w:t>June 30, 2020</w:t>
            </w:r>
          </w:p>
        </w:tc>
      </w:tr>
      <w:tr>
        <w:trPr>
          <w:trHeight w:val="33"/>
        </w:trPr>
        <w:tc>
          <w:tcPr>
            <w:tcW w:w="4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Total allowance for credit losses on </w:t>
            </w:r>
            <w:r>
              <w:rPr>
                <w:rFonts w:ascii="Arial" w:cs="Arial" w:eastAsia="Arial" w:hAnsi="Arial"/>
                <w:sz w:val="18"/>
                <w:szCs w:val="18"/>
                <w:i w:val="1"/>
                <w:iCs w:val="1"/>
                <w:color w:val="auto"/>
              </w:rPr>
              <w:t>Preneed cemetery</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r>
      <w:tr>
        <w:trPr>
          <w:trHeight w:val="23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receivables, net</w:t>
            </w: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
        </w:trPr>
        <w:tc>
          <w:tcPr>
            <w:tcW w:w="4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During the six months ended June 30, 2020, we increased our allowance for credit losses on our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by $0.4 million as a result of the economic impact of COVID-19. Bad debt expense for our preneed cemetery receivables totaled $0.1 million and $0.2 million for the three and six months ended June 30, 2019.</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amortized cost basis of our preneed cemetery receivables by year of origination as of June 30, 2020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Prior</w:t>
            </w:r>
          </w:p>
        </w:tc>
        <w:tc>
          <w:tcPr>
            <w:tcW w:w="32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Total</w:t>
            </w:r>
          </w:p>
        </w:tc>
      </w:tr>
      <w:tr>
        <w:trPr>
          <w:trHeight w:val="215"/>
        </w:trPr>
        <w:tc>
          <w:tcPr>
            <w:tcW w:w="2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Total preneed cemetery receivables,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amortized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9,891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7,390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40,170</w:t>
            </w:r>
          </w:p>
        </w:tc>
      </w:tr>
      <w:tr>
        <w:trPr>
          <w:trHeight w:val="27"/>
        </w:trPr>
        <w:tc>
          <w:tcPr>
            <w:tcW w:w="2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aging of past due preneed cemetery receivables as of June 30, 2020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31-60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61-90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76"/>
              <w:spacing w:after="0"/>
              <w:rPr>
                <w:sz w:val="20"/>
                <w:szCs w:val="20"/>
                <w:color w:val="auto"/>
              </w:rPr>
            </w:pPr>
            <w:r>
              <w:rPr>
                <w:rFonts w:ascii="Arial" w:cs="Arial" w:eastAsia="Arial" w:hAnsi="Arial"/>
                <w:sz w:val="14"/>
                <w:szCs w:val="14"/>
                <w:b w:val="1"/>
                <w:bCs w:val="1"/>
                <w:color w:val="auto"/>
              </w:rPr>
              <w:t>91-120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&gt;120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 Past</w:t>
            </w:r>
          </w:p>
        </w:tc>
        <w:tc>
          <w:tcPr>
            <w:tcW w:w="22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14"/>
                <w:szCs w:val="14"/>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Past Due</w:t>
            </w:r>
          </w:p>
        </w:tc>
        <w:tc>
          <w:tcPr>
            <w:tcW w:w="18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Past Due</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Due</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33,024</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11,305</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39,869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44,329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4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8" w:name="page19"/>
    <w:bookmarkEnd w:id="18"/>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TRUST INVESTMENTS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Preneed trust investments are reduced by the trust earnings we have been allowed to withdraw in certain states prior to our performance. These earnings are recognized as earned, in </w:t>
      </w:r>
      <w:r>
        <w:rPr>
          <w:rFonts w:ascii="Arial" w:cs="Arial" w:eastAsia="Arial" w:hAnsi="Arial"/>
          <w:sz w:val="18"/>
          <w:szCs w:val="18"/>
          <w:i w:val="1"/>
          <w:iCs w:val="1"/>
          <w:color w:val="auto"/>
        </w:rPr>
        <w:t>Other revenue</w:t>
      </w:r>
      <w:r>
        <w:rPr>
          <w:rFonts w:ascii="Arial" w:cs="Arial" w:eastAsia="Arial" w:hAnsi="Arial"/>
          <w:sz w:val="18"/>
          <w:szCs w:val="18"/>
          <w:color w:val="auto"/>
        </w:rPr>
        <w:t>, when a service is performed or merchandise is delivered. Trust management fees charged by CSV RIA are included as revenue in the period in which they are earned.</w:t>
      </w:r>
    </w:p>
    <w:p>
      <w:pPr>
        <w:spacing w:after="0" w:line="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Cemetery perpetual care trust investments represent a portion of the proceeds from the sale of cemetery property interment rights which we are required by various state laws to deposit into perpetual care trust funds. The income earned from these perpetual care trusts offsets maintenance expenses for cemetery property and memorials. This trust fund income is recognized, as earned, in </w:t>
      </w:r>
      <w:r>
        <w:rPr>
          <w:rFonts w:ascii="Arial" w:cs="Arial" w:eastAsia="Arial" w:hAnsi="Arial"/>
          <w:sz w:val="18"/>
          <w:szCs w:val="18"/>
          <w:i w:val="1"/>
          <w:iCs w:val="1"/>
          <w:color w:val="auto"/>
        </w:rPr>
        <w:t>Other revenue.</w:t>
      </w:r>
    </w:p>
    <w:p>
      <w:pPr>
        <w:spacing w:after="0" w:line="7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foreign debt, corporate debt, preferred stocks, mortgage-backed securities and fixed income mutual funds and other investments, all of which are classified within Level 2 of the valuation hierarchy. We review and update our fair value hierarchy classifications quarterly. See Note 8 to the Consolidated Financial Statements included herein for further information of the fair value measurement.</w:t>
      </w:r>
    </w:p>
    <w:p>
      <w:pPr>
        <w:spacing w:after="0" w:line="14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As of June 30, 2020, we have net unrealized losses of $10.8 million in our trusts. At June 30, 2020, these net unrealized losses represented 4% of our original cost basis of $242.1 million. The decline in fair value is largely due to changes in interest rates and other market conditions. Our trusts have been and continue to be impacted by adverse conditions in the U.S. and global financial markets primarily as a result of COVID-19. Our investments are diversified across multiple industry segments using a balanced allocation strategy to minimize long-term risk. In addition, we do not intend to sell and it is likely that we will not be required to sell the securities prior to their anticipated recovery.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Changes in unrealized gains and/or losses related to these securities are reflected in Other comprehensive income and offset by the </w:t>
      </w:r>
      <w:r>
        <w:rPr>
          <w:rFonts w:ascii="Arial" w:cs="Arial" w:eastAsia="Arial" w:hAnsi="Arial"/>
          <w:sz w:val="18"/>
          <w:szCs w:val="18"/>
          <w:i w:val="1"/>
          <w:iCs w:val="1"/>
          <w:color w:val="auto"/>
        </w:rPr>
        <w:t>Deferred preneed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funeral and cemetery receipts held in trust </w:t>
      </w:r>
      <w:r>
        <w:rPr>
          <w:rFonts w:ascii="Arial" w:cs="Arial" w:eastAsia="Arial" w:hAnsi="Arial"/>
          <w:sz w:val="18"/>
          <w:szCs w:val="18"/>
          <w:color w:val="auto"/>
        </w:rPr>
        <w:t>and</w:t>
      </w:r>
      <w:r>
        <w:rPr>
          <w:rFonts w:ascii="Arial" w:cs="Arial" w:eastAsia="Arial" w:hAnsi="Arial"/>
          <w:sz w:val="18"/>
          <w:szCs w:val="18"/>
          <w:i w:val="1"/>
          <w:iCs w:val="1"/>
          <w:color w:val="auto"/>
        </w:rPr>
        <w:t xml:space="preserve"> Care trusts’ corpus </w:t>
      </w:r>
      <w:r>
        <w:rPr>
          <w:rFonts w:ascii="Arial" w:cs="Arial" w:eastAsia="Arial" w:hAnsi="Arial"/>
          <w:sz w:val="18"/>
          <w:szCs w:val="18"/>
          <w:color w:val="auto"/>
        </w:rPr>
        <w:t>interests in those unrealized gains and/or losses. There is no impact on earnings until</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 that the loss is realized in the trusts, allocated to the preneed contracts and the services are performed or the merchandise is delivered, causing the contract to be withdrawn from the trust in accordance with state regulations.</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For available-for-sale debt securities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available-for-sale debt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security by a rating agency, and adverse conditions specifically related to the security, among other factors. If our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unrealized loss that has not been recorded through an allowance for credit losses is recognized in other comprehensive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69" w:right="339" w:bottom="1440" w:gutter="0" w:footer="0" w:header="0"/>
        </w:sectPr>
      </w:pPr>
    </w:p>
    <w:bookmarkStart w:id="19" w:name="page20"/>
    <w:bookmarkEnd w:id="19"/>
    <w:p>
      <w:pPr>
        <w:jc w:val="both"/>
        <w:ind w:firstLine="432"/>
        <w:spacing w:after="0" w:line="259" w:lineRule="auto"/>
        <w:rPr>
          <w:sz w:val="20"/>
          <w:szCs w:val="20"/>
          <w:color w:val="auto"/>
        </w:rPr>
      </w:pPr>
      <w:r>
        <w:rPr>
          <w:rFonts w:ascii="Arial" w:cs="Arial" w:eastAsia="Arial" w:hAnsi="Arial"/>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Cemetery Trust Investments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cemetery trust investments</w:t>
      </w:r>
      <w:r>
        <w:rPr>
          <w:rFonts w:ascii="Arial" w:cs="Arial" w:eastAsia="Arial" w:hAnsi="Arial"/>
          <w:sz w:val="18"/>
          <w:szCs w:val="18"/>
          <w:color w:val="auto"/>
        </w:rPr>
        <w:t xml:space="preserve"> on our Consolidated Balance Sheet at December 31, 2019 and June 30,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trust investments, at market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74,572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74,914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(2,190)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(2,345)</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trust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72,382</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72,569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cost and market values associated with preneed cemetery trust investments at June 30, 2020 are detailed below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15,911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15,205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12,579</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27,093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78,156</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7,942</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(11,903)</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93"/>
              <w:spacing w:after="0"/>
              <w:rPr>
                <w:sz w:val="20"/>
                <w:szCs w:val="20"/>
                <w:color w:val="auto"/>
              </w:rPr>
            </w:pPr>
            <w:r>
              <w:rPr>
                <w:rFonts w:ascii="Arial" w:cs="Arial" w:eastAsia="Arial" w:hAnsi="Arial"/>
                <w:sz w:val="18"/>
                <w:szCs w:val="18"/>
                <w:color w:val="auto"/>
              </w:rPr>
              <w:t>74,195</w:t>
            </w:r>
          </w:p>
        </w:tc>
        <w:tc>
          <w:tcPr>
            <w:tcW w:w="0" w:type="dxa"/>
            <w:vAlign w:val="bottom"/>
          </w:tcPr>
          <w:p>
            <w:pPr>
              <w:spacing w:after="0"/>
              <w:rPr>
                <w:sz w:val="1"/>
                <w:szCs w:val="1"/>
                <w:color w:val="auto"/>
              </w:rPr>
            </w:pPr>
          </w:p>
        </w:tc>
      </w:tr>
      <w:tr>
        <w:trPr>
          <w:trHeight w:val="290"/>
        </w:trPr>
        <w:tc>
          <w:tcPr>
            <w:tcW w:w="4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line="203" w:lineRule="exact"/>
              <w:rPr>
                <w:sz w:val="20"/>
                <w:szCs w:val="20"/>
                <w:color w:val="auto"/>
              </w:rPr>
            </w:pPr>
            <w:r>
              <w:rPr>
                <w:rFonts w:ascii="Arial" w:cs="Arial" w:eastAsia="Arial" w:hAnsi="Arial"/>
                <w:sz w:val="18"/>
                <w:szCs w:val="18"/>
                <w:color w:val="auto"/>
              </w:rPr>
              <w:t>Preneed cemetery trust investments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74,914</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6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6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6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21,990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6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Arial" w:cs="Arial" w:eastAsia="Arial" w:hAnsi="Arial"/>
                <w:sz w:val="18"/>
                <w:szCs w:val="18"/>
                <w:color w:val="auto"/>
              </w:rPr>
              <w:t>-20-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7"/>
          <w:szCs w:val="17"/>
          <w:color w:val="auto"/>
        </w:rPr>
        <w:t>The cost and market values associated with preneed cemetery trust investments at December 31, 2019 are detailed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5,729</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16,916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14,206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28,318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73,009</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5,098</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93"/>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290"/>
        </w:trPr>
        <w:tc>
          <w:tcPr>
            <w:tcW w:w="4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line="203" w:lineRule="exact"/>
              <w:rPr>
                <w:sz w:val="20"/>
                <w:szCs w:val="20"/>
                <w:color w:val="auto"/>
              </w:rPr>
            </w:pPr>
            <w:r>
              <w:rPr>
                <w:rFonts w:ascii="Arial" w:cs="Arial" w:eastAsia="Arial" w:hAnsi="Arial"/>
                <w:sz w:val="18"/>
                <w:szCs w:val="18"/>
                <w:color w:val="auto"/>
              </w:rPr>
              <w:t>Preneed cemetery trust investments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74,572</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summarized our fixed income securities within our preneed cemetery trust investments in an unrealized loss position at June 30, 2020, aggregated by major security type and length of time in a continuous unrealized loss position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June 30, 2020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color w:val="auto"/>
                <w:w w:val="93"/>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5"/>
              <w:spacing w:after="0" w:line="151"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3,149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3,460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4,227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9,882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16,171</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(2,664)</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4,705</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(1,418)</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20,876</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color w:val="auto"/>
                <w:w w:val="93"/>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5"/>
              <w:spacing w:after="0" w:line="151"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49"/>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4,520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4,135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5,771</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5,680</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11,451</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415"/>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1" w:name="page22"/>
    <w:bookmarkEnd w:id="21"/>
    <w:p>
      <w:pPr>
        <w:ind w:firstLine="432"/>
        <w:spacing w:after="0" w:line="277" w:lineRule="auto"/>
        <w:rPr>
          <w:sz w:val="20"/>
          <w:szCs w:val="20"/>
          <w:color w:val="auto"/>
        </w:rPr>
      </w:pPr>
      <w:r>
        <w:rPr>
          <w:rFonts w:ascii="Arial" w:cs="Arial" w:eastAsia="Arial" w:hAnsi="Arial"/>
          <w:sz w:val="18"/>
          <w:szCs w:val="18"/>
          <w:color w:val="auto"/>
        </w:rPr>
        <w:t xml:space="preserve">Preneed cemetery trust investment security transactions recorded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on our Consolidated Statements of Operations for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3,535</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Expenses and taxes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deferred preneed cemetery receipts held in trust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7"/>
        </w:trPr>
        <w:tc>
          <w:tcPr>
            <w:tcW w:w="59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Purchases and sales of investments in the preneed cemetery trusts for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3"/>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10,026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13,899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25,366</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Trust Investments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funeral trust investments</w:t>
      </w:r>
      <w:r>
        <w:rPr>
          <w:rFonts w:ascii="Arial" w:cs="Arial" w:eastAsia="Arial" w:hAnsi="Arial"/>
          <w:sz w:val="18"/>
          <w:szCs w:val="18"/>
          <w:color w:val="auto"/>
        </w:rPr>
        <w:t xml:space="preserve"> on our Consolidated Balance Sheet at December 31, 2019 and June 30,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 at market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99,246</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93,110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allowance for expected credit losses and cancellations</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(2,911)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(2,875)</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96,335</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90,235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and market values associated with preneed funeral trust investments at June 30, 2020 are detailed below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19,920</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12,400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13,943</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12,871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25,825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5,377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4,942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investments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95,830</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7,764</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(11,149)</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92"/>
              <w:spacing w:after="0"/>
              <w:rPr>
                <w:sz w:val="20"/>
                <w:szCs w:val="20"/>
                <w:color w:val="auto"/>
              </w:rPr>
            </w:pPr>
            <w:r>
              <w:rPr>
                <w:rFonts w:ascii="Arial" w:cs="Arial" w:eastAsia="Arial" w:hAnsi="Arial"/>
                <w:sz w:val="18"/>
                <w:szCs w:val="18"/>
                <w:color w:val="auto"/>
              </w:rPr>
              <w:t>92,445</w:t>
            </w:r>
          </w:p>
        </w:tc>
        <w:tc>
          <w:tcPr>
            <w:tcW w:w="0" w:type="dxa"/>
            <w:vAlign w:val="bottom"/>
          </w:tcPr>
          <w:p>
            <w:pPr>
              <w:spacing w:after="0"/>
              <w:rPr>
                <w:sz w:val="1"/>
                <w:szCs w:val="1"/>
                <w:color w:val="auto"/>
              </w:rPr>
            </w:pPr>
          </w:p>
        </w:tc>
      </w:tr>
      <w:tr>
        <w:trPr>
          <w:trHeight w:val="290"/>
        </w:trPr>
        <w:tc>
          <w:tcPr>
            <w:tcW w:w="4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665</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line="203" w:lineRule="exact"/>
              <w:rPr>
                <w:sz w:val="20"/>
                <w:szCs w:val="20"/>
                <w:color w:val="auto"/>
              </w:rPr>
            </w:pPr>
            <w:r>
              <w:rPr>
                <w:rFonts w:ascii="Arial" w:cs="Arial" w:eastAsia="Arial" w:hAnsi="Arial"/>
                <w:sz w:val="18"/>
                <w:szCs w:val="18"/>
                <w:color w:val="auto"/>
              </w:rPr>
              <w:t>Preneed funeral trust investments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93,110</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11"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61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9880" w:type="dxa"/>
            <w:vAlign w:val="bottom"/>
          </w:tcPr>
          <w:p>
            <w:pPr>
              <w:ind w:left="50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35"/>
        </w:trPr>
        <w:tc>
          <w:tcPr>
            <w:tcW w:w="9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50"/>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88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9,528</w:t>
            </w:r>
          </w:p>
        </w:tc>
      </w:tr>
      <w:tr>
        <w:trPr>
          <w:trHeight w:val="27"/>
        </w:trPr>
        <w:tc>
          <w:tcPr>
            <w:tcW w:w="9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8,481</w:t>
            </w:r>
          </w:p>
        </w:tc>
      </w:tr>
      <w:tr>
        <w:trPr>
          <w:trHeight w:val="243"/>
        </w:trPr>
        <w:tc>
          <w:tcPr>
            <w:tcW w:w="9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21,169</w:t>
            </w:r>
          </w:p>
        </w:tc>
      </w:tr>
      <w:tr>
        <w:trPr>
          <w:trHeight w:val="27"/>
        </w:trPr>
        <w:tc>
          <w:tcPr>
            <w:tcW w:w="9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39,178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and market values associated with preneed funeral trust investments at December 31, 2019 are detailed below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24,160</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24,160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5,587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14,094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27,652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2,773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27,556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Equity</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Other investments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97,047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5,672</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98,546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60" w:type="dxa"/>
            <w:vAlign w:val="bottom"/>
            <w:tcBorders>
              <w:bottom w:val="single" w:sz="8" w:color="CCEEFF"/>
            </w:tcBorders>
            <w:vMerge w:val="continue"/>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700</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Preneed funeral trust investments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99,246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summarized our fixed income securities within our preneed funeral trust investment in an unrealized loss position at June 30, 2020, aggregated by major security type and length of time in a continuous unrealized loss position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June 30, 2020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6"/>
              </w:rPr>
              <w:t>months</w:t>
            </w: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15"/>
              <w:spacing w:after="0" w:line="151"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3,093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3,381</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9,493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15,715</w:t>
            </w:r>
          </w:p>
        </w:tc>
        <w:tc>
          <w:tcPr>
            <w:tcW w:w="220" w:type="dxa"/>
            <w:vAlign w:val="bottom"/>
          </w:tcPr>
          <w:p>
            <w:pPr>
              <w:spacing w:after="0"/>
              <w:rPr>
                <w:sz w:val="19"/>
                <w:szCs w:val="1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(2,611)</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4,475</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(1,297)</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20,190</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15"/>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spacing w:after="0"/>
              <w:rPr>
                <w:sz w:val="20"/>
                <w:szCs w:val="20"/>
                <w:color w:val="auto"/>
              </w:rPr>
            </w:pPr>
            <w:r>
              <w:rPr>
                <w:rFonts w:ascii="Arial" w:cs="Arial" w:eastAsia="Arial" w:hAnsi="Arial"/>
                <w:sz w:val="16"/>
                <w:szCs w:val="16"/>
                <w:b w:val="1"/>
                <w:bCs w:val="1"/>
                <w:color w:val="auto"/>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15"/>
              <w:spacing w:after="0" w:line="151"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4,412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6,089</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5,595</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11,684</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Preneed funeral trust investment security transactions recorded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on the Consolidated Statements of Operations for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4,157</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Expenses and taxes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deferred preneed funeral receipts held in trust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37"/>
        </w:trPr>
        <w:tc>
          <w:tcPr>
            <w:tcW w:w="59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Purchases and sales of investments in the preneed funeral trusts for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3"/>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13,601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27,856</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Perpetual Care Trust Investments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Care trusts’ corpus on our Consolidated Balance Sheet represent the corpus of those trusts plus undistributed income. The components of </w:t>
      </w:r>
      <w:r>
        <w:rPr>
          <w:rFonts w:ascii="Arial" w:cs="Arial" w:eastAsia="Arial" w:hAnsi="Arial"/>
          <w:sz w:val="18"/>
          <w:szCs w:val="18"/>
          <w:i w:val="1"/>
          <w:iCs w:val="1"/>
          <w:color w:val="auto"/>
        </w:rPr>
        <w:t>Care trusts’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corpus </w:t>
      </w:r>
      <w:r>
        <w:rPr>
          <w:rFonts w:ascii="Arial" w:cs="Arial" w:eastAsia="Arial" w:hAnsi="Arial"/>
          <w:sz w:val="18"/>
          <w:szCs w:val="18"/>
          <w:color w:val="auto"/>
        </w:rPr>
        <w:t>as of December 31, 2019 and June 30,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33"/>
        </w:trPr>
        <w:tc>
          <w:tcPr>
            <w:tcW w:w="48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perpetual care trust investments, at market value</w:t>
            </w:r>
          </w:p>
        </w:tc>
        <w:tc>
          <w:tcPr>
            <w:tcW w:w="2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64,047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63,228</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Obligations due to (from) trust</w:t>
            </w:r>
          </w:p>
        </w:tc>
        <w:tc>
          <w:tcPr>
            <w:tcW w:w="2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Care trusts’ corpus</w:t>
            </w:r>
          </w:p>
        </w:tc>
        <w:tc>
          <w:tcPr>
            <w:tcW w:w="2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63,416</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62,312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Arial" w:cs="Arial" w:eastAsia="Arial" w:hAnsi="Arial"/>
                <w:sz w:val="18"/>
                <w:szCs w:val="18"/>
                <w:color w:val="auto"/>
              </w:rPr>
              <w:t>-24-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1" w:right="339" w:bottom="1440" w:gutter="0" w:footer="0" w:header="0"/>
        </w:sectPr>
      </w:pPr>
    </w:p>
    <w:bookmarkStart w:id="24" w:name="page25"/>
    <w:bookmarkEnd w:id="24"/>
    <w:p>
      <w:pPr>
        <w:ind w:right="20" w:firstLine="432"/>
        <w:spacing w:after="0" w:line="277" w:lineRule="auto"/>
        <w:rPr>
          <w:sz w:val="20"/>
          <w:szCs w:val="20"/>
          <w:color w:val="auto"/>
        </w:rPr>
      </w:pPr>
      <w:r>
        <w:rPr>
          <w:rFonts w:ascii="Arial" w:cs="Arial" w:eastAsia="Arial" w:hAnsi="Arial"/>
          <w:sz w:val="18"/>
          <w:szCs w:val="18"/>
          <w:color w:val="auto"/>
        </w:rPr>
        <w:t>The following table reflects the cost and fair market values associated with the trust investments held in perpetual care trust funds at June 30, 2020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Losses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10,629</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13,182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20,688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66,065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120" w:type="dxa"/>
            <w:vAlign w:val="bottom"/>
            <w:tcBorders>
              <w:bottom w:val="single" w:sz="8" w:color="CCEEFF"/>
            </w:tcBorders>
            <w:gridSpan w:val="2"/>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92"/>
              <w:spacing w:after="0"/>
              <w:rPr>
                <w:sz w:val="20"/>
                <w:szCs w:val="20"/>
                <w:color w:val="auto"/>
              </w:rPr>
            </w:pPr>
            <w:r>
              <w:rPr>
                <w:rFonts w:ascii="Arial" w:cs="Arial" w:eastAsia="Arial" w:hAnsi="Arial"/>
                <w:sz w:val="18"/>
                <w:szCs w:val="18"/>
                <w:color w:val="auto"/>
              </w:rPr>
              <w:t>62,608</w:t>
            </w:r>
          </w:p>
        </w:tc>
        <w:tc>
          <w:tcPr>
            <w:tcW w:w="0" w:type="dxa"/>
            <w:vAlign w:val="bottom"/>
          </w:tcPr>
          <w:p>
            <w:pPr>
              <w:spacing w:after="0"/>
              <w:rPr>
                <w:sz w:val="1"/>
                <w:szCs w:val="1"/>
                <w:color w:val="auto"/>
              </w:rPr>
            </w:pPr>
          </w:p>
        </w:tc>
      </w:tr>
      <w:tr>
        <w:trPr>
          <w:trHeight w:val="290"/>
        </w:trPr>
        <w:tc>
          <w:tcPr>
            <w:tcW w:w="45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7"/>
        </w:trPr>
        <w:tc>
          <w:tcPr>
            <w:tcW w:w="4580" w:type="dxa"/>
            <w:vAlign w:val="bottom"/>
          </w:tcPr>
          <w:p>
            <w:pPr>
              <w:ind w:left="40"/>
              <w:spacing w:after="0" w:line="203" w:lineRule="exact"/>
              <w:rPr>
                <w:sz w:val="20"/>
                <w:szCs w:val="20"/>
                <w:color w:val="auto"/>
              </w:rPr>
            </w:pPr>
            <w:r>
              <w:rPr>
                <w:rFonts w:ascii="Arial" w:cs="Arial" w:eastAsia="Arial" w:hAnsi="Arial"/>
                <w:sz w:val="18"/>
                <w:szCs w:val="18"/>
                <w:color w:val="auto"/>
              </w:rPr>
              <w:t>Cemetery perpetual care investments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63,228</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gridSpan w:val="9"/>
            <w:vMerge w:val="restart"/>
          </w:tcPr>
          <w:p>
            <w:pPr>
              <w:ind w:left="50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0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19,825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34,876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reflects the cost and fair market values associated with the trust investments held in perpetual care trust funds at December 31,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4,624</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11,658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23,082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Fixed income</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7,156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60,571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5,869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63,535</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40"/>
              <w:spacing w:after="0"/>
              <w:rPr>
                <w:sz w:val="20"/>
                <w:szCs w:val="20"/>
                <w:color w:val="auto"/>
              </w:rPr>
            </w:pPr>
            <w:r>
              <w:rPr>
                <w:rFonts w:ascii="Arial" w:cs="Arial" w:eastAsia="Arial" w:hAnsi="Arial"/>
                <w:sz w:val="18"/>
                <w:szCs w:val="18"/>
                <w:color w:val="auto"/>
              </w:rPr>
              <w:t>Accrued investment income</w:t>
            </w: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9"/>
        </w:trPr>
        <w:tc>
          <w:tcPr>
            <w:tcW w:w="4160" w:type="dxa"/>
            <w:vAlign w:val="bottom"/>
            <w:tcBorders>
              <w:top w:val="single" w:sz="8" w:color="CCEEFF"/>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Cemetery perpetual care investments</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64,047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- 25</w:t>
            </w:r>
          </w:p>
        </w:tc>
        <w:tc>
          <w:tcPr>
            <w:tcW w:w="1080" w:type="dxa"/>
            <w:vAlign w:val="bottom"/>
            <w:vMerge w:val="restart"/>
          </w:tcPr>
          <w:p>
            <w:pPr>
              <w:jc w:val="right"/>
              <w:ind w:right="91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5" w:name="page26"/>
    <w:bookmarkEnd w:id="25"/>
    <w:p>
      <w:pPr>
        <w:ind w:firstLine="432"/>
        <w:spacing w:after="0" w:line="277" w:lineRule="auto"/>
        <w:rPr>
          <w:sz w:val="20"/>
          <w:szCs w:val="20"/>
          <w:color w:val="auto"/>
        </w:rPr>
      </w:pPr>
      <w:r>
        <w:rPr>
          <w:rFonts w:ascii="Arial" w:cs="Arial" w:eastAsia="Arial" w:hAnsi="Arial"/>
          <w:sz w:val="18"/>
          <w:szCs w:val="18"/>
          <w:color w:val="auto"/>
        </w:rPr>
        <w:t>The following table summarized our fixed income securities within our perpetual care trust investment in an unrealized loss position at June 30, 2020, aggregated by major security type and length of time in a continuous unrealized loss position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June 30, 2020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color w:val="auto"/>
                <w:w w:val="93"/>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5"/>
              <w:spacing w:after="0" w:line="151"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2,833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3,109</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8,849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14,205</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(2,301)</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4,182</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18,387</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color w:val="auto"/>
                <w:w w:val="93"/>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5"/>
              <w:spacing w:after="0" w:line="151"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49"/>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2,989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4,214</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4,054</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Perpetual care trust investment security transactions recorded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on our Consolidated Statements of Operations for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(1,285)</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Care trusts’ corpus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Perpetual care trust investment security transactions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on our Consolidated Statements of Operations for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Arial" w:cs="Arial" w:eastAsia="Arial" w:hAnsi="Arial"/>
                <w:sz w:val="16"/>
                <w:szCs w:val="16"/>
                <w:b w:val="1"/>
                <w:bCs w:val="1"/>
                <w:color w:val="auto"/>
                <w:w w:val="99"/>
              </w:rPr>
              <w:t>Three months ended June 30,</w:t>
            </w:r>
          </w:p>
        </w:tc>
        <w:tc>
          <w:tcPr>
            <w:tcW w:w="360" w:type="dxa"/>
            <w:vAlign w:val="bottom"/>
          </w:tcPr>
          <w:p>
            <w:pPr>
              <w:spacing w:after="0"/>
              <w:rPr>
                <w:sz w:val="18"/>
                <w:szCs w:val="18"/>
                <w:color w:val="auto"/>
              </w:rPr>
            </w:pPr>
          </w:p>
        </w:tc>
        <w:tc>
          <w:tcPr>
            <w:tcW w:w="2200" w:type="dxa"/>
            <w:vAlign w:val="bottom"/>
            <w:gridSpan w:val="4"/>
          </w:tcPr>
          <w:p>
            <w:pPr>
              <w:jc w:val="right"/>
              <w:ind w:right="1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Realized gain (losses), net</w:t>
            </w:r>
          </w:p>
        </w:tc>
        <w:tc>
          <w:tcPr>
            <w:tcW w:w="3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Purchases and sales of investments in the perpetual care trusts for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3"/>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7,980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22,152</w:t>
            </w:r>
          </w:p>
        </w:tc>
      </w:tr>
    </w:tbl>
    <w:p>
      <w:pPr>
        <w:spacing w:after="0" w:line="200" w:lineRule="exact"/>
        <w:rPr>
          <w:sz w:val="20"/>
          <w:szCs w:val="20"/>
          <w:color w:val="auto"/>
        </w:rPr>
      </w:pPr>
    </w:p>
    <w:p>
      <w:pPr>
        <w:sectPr>
          <w:pgSz w:w="11900" w:h="16838" w:orient="portrait"/>
          <w:cols w:equalWidth="0" w:num="1">
            <w:col w:w="11240"/>
          </w:cols>
          <w:pgMar w:left="320" w:top="665"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65" w:right="339" w:bottom="1440" w:gutter="0" w:footer="0" w:header="0"/>
          <w:type w:val="continuous"/>
        </w:sectPr>
      </w:pPr>
    </w:p>
    <w:bookmarkStart w:id="26" w:name="page27"/>
    <w:bookmarkEnd w:id="26"/>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PRENEED TRUSTS</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Receivables from preneed trusts</w:t>
      </w:r>
      <w:r>
        <w:rPr>
          <w:rFonts w:ascii="Arial" w:cs="Arial" w:eastAsia="Arial" w:hAnsi="Arial"/>
          <w:sz w:val="18"/>
          <w:szCs w:val="18"/>
          <w:color w:val="auto"/>
        </w:rPr>
        <w:t xml:space="preserve"> represent assets in trusts which are controlled and operated by third parties in which we do not have a controlling financial interest (less than 50%) in the trust assets. We account for these investments at cost. As of December 31, 2019 and June 30, 2020, receivables from preneed trusts are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trust funds, at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18,581</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from preneed trusts,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18,024</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17,471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summary reflects the composition of the assets held in trust and controlled by third parties to satisfy our future obligations under preneed arrangements related to the preceding contracts at June 30, 2020 and December 31, 2019. The cost basis includes reinvested interest and dividends that have been earned on the trust assets. Fair value includes unrealized gains and losses on trust assets.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composition of the preneed trust funds at December 31, 2019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Historical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10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Cost Basis</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Fair Value</w:t>
            </w:r>
          </w:p>
        </w:tc>
        <w:tc>
          <w:tcPr>
            <w:tcW w:w="1040" w:type="dxa"/>
            <w:vAlign w:val="bottom"/>
          </w:tcPr>
          <w:p>
            <w:pPr>
              <w:spacing w:after="0"/>
              <w:rPr>
                <w:sz w:val="18"/>
                <w:szCs w:val="18"/>
                <w:color w:val="auto"/>
              </w:rPr>
            </w:pPr>
          </w:p>
        </w:tc>
      </w:tr>
      <w:tr>
        <w:trPr>
          <w:trHeight w:val="33"/>
        </w:trPr>
        <w:tc>
          <w:tcPr>
            <w:tcW w:w="10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44"/>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4,533</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4,533</w:t>
            </w:r>
          </w:p>
        </w:tc>
        <w:tc>
          <w:tcPr>
            <w:tcW w:w="1040" w:type="dxa"/>
            <w:vAlign w:val="bottom"/>
          </w:tcPr>
          <w:p>
            <w:pPr>
              <w:spacing w:after="0"/>
              <w:rPr>
                <w:sz w:val="21"/>
                <w:szCs w:val="21"/>
                <w:color w:val="auto"/>
              </w:rPr>
            </w:pP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Fixed income investments</w:t>
            </w:r>
          </w:p>
        </w:tc>
        <w:tc>
          <w:tcPr>
            <w:tcW w:w="4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11,603</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11,603</w:t>
            </w:r>
          </w:p>
        </w:tc>
        <w:tc>
          <w:tcPr>
            <w:tcW w:w="1040" w:type="dxa"/>
            <w:vAlign w:val="bottom"/>
          </w:tcPr>
          <w:p>
            <w:pPr>
              <w:spacing w:after="0"/>
              <w:rPr>
                <w:sz w:val="21"/>
                <w:szCs w:val="21"/>
                <w:color w:val="auto"/>
              </w:rPr>
            </w:pPr>
          </w:p>
        </w:tc>
      </w:tr>
      <w:tr>
        <w:trPr>
          <w:trHeight w:val="27"/>
        </w:trPr>
        <w:tc>
          <w:tcPr>
            <w:tcW w:w="10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Mutual funds and common stocks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2,440</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2,518</w:t>
            </w:r>
          </w:p>
        </w:tc>
        <w:tc>
          <w:tcPr>
            <w:tcW w:w="1040" w:type="dxa"/>
            <w:vAlign w:val="bottom"/>
          </w:tcPr>
          <w:p>
            <w:pPr>
              <w:spacing w:after="0"/>
              <w:rPr>
                <w:sz w:val="21"/>
                <w:szCs w:val="21"/>
                <w:color w:val="auto"/>
              </w:rPr>
            </w:pP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Annuities</w:t>
            </w:r>
          </w:p>
        </w:tc>
        <w:tc>
          <w:tcPr>
            <w:tcW w:w="4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21"/>
                <w:szCs w:val="21"/>
                <w:color w:val="auto"/>
              </w:rPr>
            </w:pPr>
          </w:p>
        </w:tc>
      </w:tr>
      <w:tr>
        <w:trPr>
          <w:trHeight w:val="27"/>
        </w:trPr>
        <w:tc>
          <w:tcPr>
            <w:tcW w:w="10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18,581</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18,659</w:t>
            </w:r>
          </w:p>
        </w:tc>
        <w:tc>
          <w:tcPr>
            <w:tcW w:w="1040" w:type="dxa"/>
            <w:vAlign w:val="bottom"/>
          </w:tcPr>
          <w:p>
            <w:pPr>
              <w:spacing w:after="0"/>
              <w:rPr>
                <w:sz w:val="22"/>
                <w:szCs w:val="22"/>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20"/>
        </w:trPr>
        <w:tc>
          <w:tcPr>
            <w:tcW w:w="7660" w:type="dxa"/>
            <w:vAlign w:val="bottom"/>
            <w:gridSpan w:val="6"/>
          </w:tcPr>
          <w:p>
            <w:pPr>
              <w:ind w:left="420"/>
              <w:spacing w:after="0"/>
              <w:rPr>
                <w:sz w:val="20"/>
                <w:szCs w:val="20"/>
                <w:color w:val="auto"/>
              </w:rPr>
            </w:pPr>
            <w:r>
              <w:rPr>
                <w:rFonts w:ascii="Arial" w:cs="Arial" w:eastAsia="Arial" w:hAnsi="Arial"/>
                <w:sz w:val="18"/>
                <w:szCs w:val="18"/>
                <w:color w:val="auto"/>
              </w:rPr>
              <w:t>The composition of the preneed trust funds at June 30, 2020 is as follows (in thousands):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10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6"/>
                <w:szCs w:val="16"/>
                <w:b w:val="1"/>
                <w:bCs w:val="1"/>
                <w:color w:val="auto"/>
              </w:rPr>
              <w:t>Historical</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10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40"/>
              <w:spacing w:after="0"/>
              <w:rPr>
                <w:sz w:val="20"/>
                <w:szCs w:val="20"/>
                <w:color w:val="auto"/>
              </w:rPr>
            </w:pPr>
            <w:r>
              <w:rPr>
                <w:rFonts w:ascii="Arial" w:cs="Arial" w:eastAsia="Arial" w:hAnsi="Arial"/>
                <w:sz w:val="16"/>
                <w:szCs w:val="16"/>
                <w:b w:val="1"/>
                <w:bCs w:val="1"/>
                <w:color w:val="auto"/>
                <w:w w:val="96"/>
              </w:rPr>
              <w:t>Cost Basis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104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104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6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r>
      <w:tr>
        <w:trPr>
          <w:trHeight w:val="243"/>
        </w:trPr>
        <w:tc>
          <w:tcPr>
            <w:tcW w:w="10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11,324</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11,324</w:t>
            </w:r>
          </w:p>
        </w:tc>
      </w:tr>
      <w:tr>
        <w:trPr>
          <w:trHeight w:val="27"/>
        </w:trPr>
        <w:tc>
          <w:tcPr>
            <w:tcW w:w="10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 and common stocks</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43"/>
        </w:trPr>
        <w:tc>
          <w:tcPr>
            <w:tcW w:w="10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Annuities</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4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104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6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18,150</w:t>
            </w:r>
          </w:p>
        </w:tc>
      </w:tr>
      <w:tr>
        <w:trPr>
          <w:trHeight w:val="20"/>
        </w:trPr>
        <w:tc>
          <w:tcPr>
            <w:tcW w:w="104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evaluated our financial assets and liabilities for those financial assets and liabilities that met the criteria of the disclosure requirements and fair value framework. The carrying values of cash and cash equivalents, trade receivables, and trade payables approximate the fair values of those instruments due to the short-term nature of the instruments. The fair values of receivables on preneed funeral and cemetery contracts are impracticable to estimate because of the lack of a trading market and the diverse number of individual contracts with varying terms. Our acquisition debt and Credit Facility (as defined in Note 10) are classified within Level 2 of the Fair Value Measurements hierarchy.</w:t>
      </w:r>
    </w:p>
    <w:p>
      <w:pPr>
        <w:spacing w:after="0" w:line="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fair values of the acquisition debt and Credit Facility approximate the carrying values of these instruments based on the index yields of similar securities compared to U.S. Treasury yield curves. The fair value of the Convertible Notes (as defined in Note 11) was approximately $6.4 million at June 30, 2020 based on the last traded or broker quoted price. The fair value of the Senior Notes (as defined in Note 12) was approximately $419.9 million at June 30, 2020 based on the last traded or broker quoted price. We identified investments in fixed income securities, common stock and mutual funds presented within the preneed and perpetual care trust investments categories on our Consolidated Balance Sheet as having met the criteria for fair value measurement.</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2019 and June 30, 2020, we did not have any assets that had fair values determined by Level 3 inputs and no liabilities measured at fair value.</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account for our investments as available-for-sale and measure them at fair value under standards of financial accounting and reporting for investments in equity instruments that have readily determinable fair values and for all investments in debt securities. See Note 6 to our Consolidated Financial Statements herein for the fair value hierarchy levels of our trust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69" w:right="339" w:bottom="1440" w:gutter="0" w:footer="0" w:header="0"/>
        </w:sectPr>
      </w:pPr>
    </w:p>
    <w:bookmarkStart w:id="27" w:name="page28"/>
    <w:bookmarkEnd w:id="27"/>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AND OTHER NON-CURRENT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and other non-current assets at December 31, 2019 and June 30, 2020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44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agreements not-to-compete, net of accumulated amortization of $7,195 and $7,548,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3,617</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2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25,233</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26,649</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Capitalized commissions on preneed contracts, net of accumulated amortization of $1,127 and</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2,989</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$1,412,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93</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and other non-current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32,116</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33,348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Prepaid agreements not-to-compete are amortized over the term of the respective agreements, ranging generally from one to ten years. Amortization expense was $168,000 and $166,000 for the three months ended June 30, 2019 and 2020, respectively and $336,000 and $353,000 for the six months ended June 30, 2019 and 2020, respectively.</w:t>
      </w:r>
    </w:p>
    <w:p>
      <w:pPr>
        <w:spacing w:after="0" w:line="7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Amortization expense related to capitalized commissions totaled $139,000 and $144,000 for the three months ended June 30, 2019 and 2020, respectively and $277,000 and $285,000 for the six months ended June 30, 2019 and 2020, respectively.</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Notes 1 and 3 to the Consolidated Financial Statements included herein, for a discussion of the methodology used for our indefinite-lived intangible asset impairment test and discussion of our acquisitions, respectively.</w:t>
      </w:r>
    </w:p>
    <w:p>
      <w:pPr>
        <w:spacing w:after="0" w:line="220" w:lineRule="exact"/>
        <w:rPr>
          <w:sz w:val="20"/>
          <w:szCs w:val="20"/>
          <w:color w:val="auto"/>
        </w:rPr>
      </w:pPr>
    </w:p>
    <w:p>
      <w:pPr>
        <w:ind w:left="880" w:hanging="872"/>
        <w:spacing w:after="0"/>
        <w:tabs>
          <w:tab w:leader="none" w:pos="8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ACQUISITION DEBT</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30, 2020, our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addition, the Credit Facility also contains customary negative covenants, including, but not limited to, covenants that restrict (subject to certain exceptions) the ability of the Company and its subsidiaries and party thereto as guarantors (the “Credit Facility Guarantors”) to incur additional indebtedness, grant liens on assets, make investments, engage in mergers and acquisitions, and pay dividends and other restricted payments, and certain financial covenants. As of June 30, 2020, we were subject to the following financial covenants under our Credit Facility: (A) a Total Leverage Ratio not to exceed, (i) 5.75 to 1.00 for the quarters ended March 31, 2020, June 30, 2020 and September 30, 2020 and (ii)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 As more fully described below, we were not in compliance with the Total Leverage Ratio covenant for the quarter ended March 31, 2020.</w:t>
      </w:r>
    </w:p>
    <w:p>
      <w:pPr>
        <w:spacing w:after="0" w:line="7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May 18, 2020, we received a waiver under our Credit Facility for the failure to comply with the Total Leverage Ratio covenant for the fiscal quarter ended March 31, 2020. In connection with the waiver, the Credit Facility was also amended to increase the interest rate margin applicable to borrowings by up to 0.625% at each pricing level based on the Total Leverage Ratio.</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in compliance with the total leverage ratio, fixed charge coverage ratio and senior secured leverage ratio covenants contained in our Credit Facility as of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69" w:right="33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t>Our Credit Facility and Acquisition debt consisted of the following at December 31, 2019 and June 30,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December 31, 2019</w:t>
            </w:r>
          </w:p>
        </w:tc>
        <w:tc>
          <w:tcPr>
            <w:tcW w:w="44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83,800</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89,700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Debt issuance costs, net of accumulated amortization of $337 and $582, respectively</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(1,618)</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(1,373)</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82,182</w:t>
            </w:r>
          </w:p>
        </w:tc>
        <w:tc>
          <w:tcPr>
            <w:tcW w:w="3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88,327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6,964</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(1,306) —</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debt, net of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5,658</w:t>
            </w:r>
          </w:p>
        </w:tc>
        <w:tc>
          <w:tcPr>
            <w:tcW w:w="3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have one letter of credit outstanding under the Credit Facility issued on November 30, 2019 for approximately $2.0 million, which bears interest at 2.125% and will expire on November 25, 2020. The letter of credit automatically renews annually and secures our obligations under our various self-insured policies. Outstanding borrowings under our Credit Facility bear interest at either a prime rate or a LIBOR rate, plus an applicable margin based upon our leverage ratio. As of June 30, 2020, the prime rate margin was equivalent to 2.00% and the LIBOR rate margin was 3.00%. The weighted average interest rate on our Credit Facility was 3.6% and 3.9% for the three and six months ended June 30, 2020, respectively. The weighted average interest rate on our Credit Facility was 3.9% and 4.0% for the three and six months ended June 30, 2019, respectively.</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interest expense and amortization of debt issuance costs related to our Credit Facility during the three and six months ended June 30,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3"/>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Credit Facility amortization of debt issuance costs</w:t>
            </w: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245</w:t>
            </w:r>
          </w:p>
        </w:tc>
      </w:tr>
    </w:tbl>
    <w:p>
      <w:pPr>
        <w:spacing w:after="0" w:line="33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imputed interest expense related to our acquisition debt during the three and six months ended June 30,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5"/>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debt imputed 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251</w:t>
            </w:r>
          </w:p>
        </w:tc>
      </w:tr>
      <w:tr>
        <w:trPr>
          <w:trHeight w:val="27"/>
        </w:trPr>
        <w:tc>
          <w:tcPr>
            <w:tcW w:w="5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880" w:hanging="872"/>
        <w:spacing w:after="0"/>
        <w:tabs>
          <w:tab w:leader="none" w:pos="8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NOTES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carrying values of the liability and equity components of our 2.75% convertible subordinated notes due 2021 (the “Convertible Notes”)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June 30, 2020 are reflected on our Consolidated Balance Sheet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6,319</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discount of liability component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5960" w:type="dxa"/>
            <w:vAlign w:val="bottom"/>
          </w:tcPr>
          <w:p>
            <w:pPr>
              <w:ind w:left="280"/>
              <w:spacing w:after="0"/>
              <w:rPr>
                <w:sz w:val="20"/>
                <w:szCs w:val="20"/>
                <w:color w:val="auto"/>
              </w:rPr>
            </w:pPr>
            <w:r>
              <w:rPr>
                <w:rFonts w:ascii="Arial" w:cs="Arial" w:eastAsia="Arial" w:hAnsi="Arial"/>
                <w:sz w:val="18"/>
                <w:szCs w:val="18"/>
                <w:color w:val="auto"/>
                <w:w w:val="94"/>
              </w:rPr>
              <w:t>Convertible Notes issuance costs, net of accumulated amortization of $130</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960" w:type="dxa"/>
            <w:vAlign w:val="bottom"/>
          </w:tcPr>
          <w:p>
            <w:pPr>
              <w:ind w:left="280"/>
              <w:spacing w:after="0"/>
              <w:rPr>
                <w:sz w:val="20"/>
                <w:szCs w:val="20"/>
                <w:color w:val="auto"/>
              </w:rPr>
            </w:pPr>
            <w:r>
              <w:rPr>
                <w:rFonts w:ascii="Arial" w:cs="Arial" w:eastAsia="Arial" w:hAnsi="Arial"/>
                <w:sz w:val="18"/>
                <w:szCs w:val="18"/>
                <w:color w:val="auto"/>
              </w:rPr>
              <w:t>and $142, respectively</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the liability component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9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the equity component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The carrying value of the liability component and the carrying value of the equity component are recorded in </w:t>
      </w:r>
      <w:r>
        <w:rPr>
          <w:rFonts w:ascii="Arial" w:cs="Arial" w:eastAsia="Arial" w:hAnsi="Arial"/>
          <w:sz w:val="18"/>
          <w:szCs w:val="18"/>
          <w:i w:val="1"/>
          <w:iCs w:val="1"/>
          <w:color w:val="auto"/>
        </w:rPr>
        <w:t>Convertible subordinated notes due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2021 </w:t>
      </w:r>
      <w:r>
        <w:rPr>
          <w:rFonts w:ascii="Arial" w:cs="Arial" w:eastAsia="Arial" w:hAnsi="Arial"/>
          <w:sz w:val="18"/>
          <w:szCs w:val="18"/>
          <w:color w:val="auto"/>
        </w:rPr>
        <w:t>and</w:t>
      </w:r>
      <w:r>
        <w:rPr>
          <w:rFonts w:ascii="Arial" w:cs="Arial" w:eastAsia="Arial" w:hAnsi="Arial"/>
          <w:sz w:val="18"/>
          <w:szCs w:val="18"/>
          <w:i w:val="1"/>
          <w:iCs w:val="1"/>
          <w:color w:val="auto"/>
        </w:rPr>
        <w:t xml:space="preserve"> Additional paid-in capital</w:t>
      </w:r>
      <w:r>
        <w:rPr>
          <w:rFonts w:ascii="Arial" w:cs="Arial" w:eastAsia="Arial" w:hAnsi="Arial"/>
          <w:sz w:val="18"/>
          <w:szCs w:val="18"/>
          <w:color w:val="auto"/>
        </w:rPr>
        <w:t>, respectively, on our Consolidated Balance Sheet at December 31, 2019 and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611" w:right="339" w:bottom="1440" w:gutter="0" w:footer="0" w:header="0"/>
        </w:sectPr>
      </w:pPr>
    </w:p>
    <w:bookmarkStart w:id="29" w:name="page30"/>
    <w:bookmarkEnd w:id="29"/>
    <w:p>
      <w:pPr>
        <w:ind w:right="20" w:firstLine="405"/>
        <w:spacing w:after="0" w:line="308" w:lineRule="auto"/>
        <w:rPr>
          <w:sz w:val="20"/>
          <w:szCs w:val="20"/>
          <w:color w:val="auto"/>
        </w:rPr>
      </w:pPr>
      <w:r>
        <w:rPr>
          <w:rFonts w:ascii="Arial" w:cs="Arial" w:eastAsia="Arial" w:hAnsi="Arial"/>
          <w:sz w:val="17"/>
          <w:szCs w:val="17"/>
          <w:color w:val="auto"/>
        </w:rPr>
        <w:t>The fair value of the Convertible Notes, which are Level 2 measurements, was $6.4 million at June 30, 2020. The Convertible Notes are due in March 2021 and bear interest at 2.75% per year, which is payable semi-annually in arrears on March 15 and September 15 of each year.</w:t>
      </w:r>
    </w:p>
    <w:p>
      <w:pPr>
        <w:spacing w:after="0" w:line="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June 30, 2020, the adjusted conversion rate of the Convertible Notes was 45.7053 shares of our common stock per $1,000 principal amount of Convertible Notes, equivalent to an adjusted conversion price of $21.88 per share of common stock.</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interest expense and accretion of debt discount and debt issuance costs related to our Convertible Notes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2020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Convertible Notes accretion of debt discount</w:t>
            </w:r>
          </w:p>
        </w:tc>
        <w:tc>
          <w:tcPr>
            <w:tcW w:w="2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amortization of debt issuance costs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5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remaining unamortized debt discount and the remaining unamortized debt issuance costs are being amortized using the effective interest method over the remaining term of approximately eight months of the Convertible Notes. The effective interest rate on the unamortized debt discount for both the three and six months ended June 30, 2019 and 2020 was 11.4%. The effective interest rate on the debt issuance costs for both the three and six months ended June 30, 2019 and 2020 was 3.2%.</w:t>
      </w:r>
    </w:p>
    <w:p>
      <w:pPr>
        <w:spacing w:after="0" w:line="237"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carrying value of our 6.625% Senior Notes due 2026 (the “Senior Notes”) at December 31, 2019 and June 30, 2020 is reflected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6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400,000</w:t>
            </w:r>
          </w:p>
        </w:tc>
      </w:tr>
      <w:tr>
        <w:trPr>
          <w:trHeight w:val="27"/>
        </w:trPr>
        <w:tc>
          <w:tcPr>
            <w:tcW w:w="6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Debt premium, net of accumulated amortization of $0 and $109, respectively</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w w:val="91"/>
              </w:rPr>
              <w:t>Debt discount, net of accumulated amortization of $765 and $1,025, respectively</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(3,850)</w:t>
            </w:r>
          </w:p>
        </w:tc>
      </w:tr>
      <w:tr>
        <w:trPr>
          <w:trHeight w:val="27"/>
        </w:trPr>
        <w:tc>
          <w:tcPr>
            <w:tcW w:w="6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6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Debt issuance costs, net of accumulated amortization of $216 and $352,</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r>
      <w:tr>
        <w:trPr>
          <w:trHeight w:val="257"/>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Carrying value of the Senior Notes</w:t>
            </w:r>
          </w:p>
        </w:tc>
        <w:tc>
          <w:tcPr>
            <w:tcW w:w="46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395,447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395,668</w:t>
            </w:r>
          </w:p>
        </w:tc>
      </w:tr>
      <w:tr>
        <w:trPr>
          <w:trHeight w:val="27"/>
        </w:trPr>
        <w:tc>
          <w:tcPr>
            <w:tcW w:w="6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 of the Senior Notes, which are Level 2 measurements, was $419.9 million at June 30, 2020. The Senior Notes are due on June 1, 2026 and bear interest at 6.625% per year which is payable semi-annually in arrears on June 1 and December 1 of each year.</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interest expense and amortization of debt discount, debt premium and debt issuance costs related to our Senior Notes during the three and six months ended June 30,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Senior Notes amortization of debt discount</w:t>
            </w:r>
          </w:p>
        </w:tc>
        <w:tc>
          <w:tcPr>
            <w:tcW w:w="2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260</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amortization of debt premium</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Senior Notes amortization of debt issuance costs</w:t>
            </w:r>
          </w:p>
        </w:tc>
        <w:tc>
          <w:tcPr>
            <w:tcW w:w="2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136</w:t>
            </w:r>
          </w:p>
        </w:tc>
      </w:tr>
    </w:tbl>
    <w:p>
      <w:pPr>
        <w:spacing w:after="0" w:line="33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debt discount, the debt premium and the debt issuance costs are being amortized using the effective interest method over the remaining term of approximately 71 months of the Senior Notes. The effective interest rate on the unamortized debt discount and the unamortized debt issuance costs for the initial Senior Notes, which were issued in May 2018, for both the three and six months ended June 30, 2020 was 6.87% and 6.69%, respectively. The effective interest rate on the unamortized debt premium and the unamortized debt issuance costs for the additional Senior Notes, which were issued in December 2019, for both the three and six months ended June 30, 2020 was 6.20% and 6.90%,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611" w:right="339" w:bottom="1440" w:gutter="0" w:footer="0" w:header="0"/>
        </w:sectPr>
      </w:pPr>
    </w:p>
    <w:bookmarkStart w:id="30" w:name="page31"/>
    <w:bookmarkEnd w:id="30"/>
    <w:p>
      <w:pPr>
        <w:ind w:left="880" w:hanging="872"/>
        <w:spacing w:after="0"/>
        <w:tabs>
          <w:tab w:leader="none" w:pos="8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lease obligations consist of operating and finance leases related to real estate and equipment. The components of lease cost for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0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6"/>
              </w:rPr>
              <w:t>Six months ended June 30,</w:t>
            </w:r>
          </w:p>
        </w:tc>
      </w:tr>
      <w:tr>
        <w:trPr>
          <w:trHeight w:val="33"/>
        </w:trPr>
        <w:tc>
          <w:tcPr>
            <w:tcW w:w="2380" w:type="dxa"/>
            <w:vAlign w:val="bottom"/>
          </w:tcPr>
          <w:p>
            <w:pPr>
              <w:spacing w:after="0"/>
              <w:rPr>
                <w:sz w:val="2"/>
                <w:szCs w:val="2"/>
                <w:color w:val="auto"/>
              </w:rPr>
            </w:pPr>
          </w:p>
        </w:tc>
        <w:tc>
          <w:tcPr>
            <w:tcW w:w="31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380" w:type="dxa"/>
            <w:vAlign w:val="bottom"/>
          </w:tcPr>
          <w:p>
            <w:pPr>
              <w:spacing w:after="0"/>
              <w:rPr>
                <w:sz w:val="20"/>
                <w:szCs w:val="20"/>
                <w:color w:val="auto"/>
              </w:rPr>
            </w:pPr>
          </w:p>
        </w:tc>
        <w:tc>
          <w:tcPr>
            <w:tcW w:w="3140" w:type="dxa"/>
            <w:vAlign w:val="bottom"/>
            <w:gridSpan w:val="2"/>
          </w:tcPr>
          <w:p>
            <w:pPr>
              <w:ind w:left="400"/>
              <w:spacing w:after="0"/>
              <w:rPr>
                <w:sz w:val="20"/>
                <w:szCs w:val="20"/>
                <w:color w:val="auto"/>
              </w:rPr>
            </w:pPr>
            <w:r>
              <w:rPr>
                <w:rFonts w:ascii="Arial" w:cs="Arial" w:eastAsia="Arial" w:hAnsi="Arial"/>
                <w:sz w:val="16"/>
                <w:szCs w:val="16"/>
                <w:b w:val="1"/>
                <w:bCs w:val="1"/>
                <w:color w:val="auto"/>
              </w:rPr>
              <w:t>Income Statement Classification</w:t>
            </w: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238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14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1,911</w:t>
            </w:r>
          </w:p>
        </w:tc>
      </w:tr>
      <w:tr>
        <w:trPr>
          <w:trHeight w:val="270"/>
        </w:trPr>
        <w:tc>
          <w:tcPr>
            <w:tcW w:w="238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31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189"/>
        </w:trPr>
        <w:tc>
          <w:tcPr>
            <w:tcW w:w="23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of leased</w:t>
            </w: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2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3140" w:type="dxa"/>
            <w:vAlign w:val="bottom"/>
            <w:gridSpan w:val="2"/>
            <w:shd w:val="clear" w:color="auto" w:fill="CCEEFF"/>
          </w:tcPr>
          <w:p>
            <w:pPr>
              <w:ind w:left="20"/>
              <w:spacing w:after="0" w:line="257"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43"/>
        </w:trPr>
        <w:tc>
          <w:tcPr>
            <w:tcW w:w="238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3140" w:type="dxa"/>
            <w:vAlign w:val="bottom"/>
            <w:gridSpan w:val="2"/>
          </w:tcPr>
          <w:p>
            <w:pPr>
              <w:ind w:left="20"/>
              <w:spacing w:after="0"/>
              <w:rPr>
                <w:sz w:val="20"/>
                <w:szCs w:val="20"/>
                <w:color w:val="auto"/>
              </w:rPr>
            </w:pPr>
            <w:r>
              <w:rPr>
                <w:rFonts w:ascii="Arial" w:cs="Arial" w:eastAsia="Arial" w:hAnsi="Arial"/>
                <w:sz w:val="18"/>
                <w:szCs w:val="18"/>
                <w:i w:val="1"/>
                <w:iCs w:val="1"/>
                <w:color w:val="auto"/>
              </w:rPr>
              <w:t>Interest expense</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251</w:t>
            </w:r>
          </w:p>
        </w:tc>
      </w:tr>
      <w:tr>
        <w:trPr>
          <w:trHeight w:val="27"/>
        </w:trPr>
        <w:tc>
          <w:tcPr>
            <w:tcW w:w="238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lease cost</w:t>
            </w:r>
          </w:p>
        </w:tc>
        <w:tc>
          <w:tcPr>
            <w:tcW w:w="3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r>
      <w:tr>
        <w:trPr>
          <w:trHeight w:val="257"/>
        </w:trPr>
        <w:tc>
          <w:tcPr>
            <w:tcW w:w="238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3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2,476</w:t>
            </w:r>
          </w:p>
        </w:tc>
      </w:tr>
      <w:tr>
        <w:trPr>
          <w:trHeight w:val="20"/>
        </w:trPr>
        <w:tc>
          <w:tcPr>
            <w:tcW w:w="2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8" w:lineRule="exact"/>
        <w:rPr>
          <w:sz w:val="20"/>
          <w:szCs w:val="20"/>
          <w:color w:val="auto"/>
        </w:rPr>
      </w:pPr>
    </w:p>
    <w:p>
      <w:pPr>
        <w:ind w:left="520" w:hanging="458"/>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Facilities and grounds expense is included within </w:t>
      </w:r>
      <w:r>
        <w:rPr>
          <w:rFonts w:ascii="Arial" w:cs="Arial" w:eastAsia="Arial" w:hAnsi="Arial"/>
          <w:sz w:val="16"/>
          <w:szCs w:val="16"/>
          <w:i w:val="1"/>
          <w:iCs w:val="1"/>
          <w:color w:val="auto"/>
        </w:rPr>
        <w:t>Cost of service</w:t>
      </w:r>
      <w:r>
        <w:rPr>
          <w:rFonts w:ascii="Arial" w:cs="Arial" w:eastAsia="Arial" w:hAnsi="Arial"/>
          <w:sz w:val="16"/>
          <w:szCs w:val="16"/>
          <w:color w:val="auto"/>
        </w:rPr>
        <w:t xml:space="preserve"> and </w:t>
      </w:r>
      <w:r>
        <w:rPr>
          <w:rFonts w:ascii="Arial" w:cs="Arial" w:eastAsia="Arial" w:hAnsi="Arial"/>
          <w:sz w:val="16"/>
          <w:szCs w:val="16"/>
          <w:i w:val="1"/>
          <w:iCs w:val="1"/>
          <w:color w:val="auto"/>
        </w:rPr>
        <w:t>General, administrative and other</w:t>
      </w:r>
      <w:r>
        <w:rPr>
          <w:rFonts w:ascii="Arial" w:cs="Arial" w:eastAsia="Arial" w:hAnsi="Arial"/>
          <w:sz w:val="16"/>
          <w:szCs w:val="16"/>
          <w:color w:val="auto"/>
        </w:rPr>
        <w:t xml:space="preserve"> on our Consolidated Statements of Operations.</w:t>
      </w:r>
    </w:p>
    <w:p>
      <w:pPr>
        <w:spacing w:after="0" w:line="275" w:lineRule="exact"/>
        <w:rPr>
          <w:rFonts w:ascii="Arial" w:cs="Arial" w:eastAsia="Arial" w:hAnsi="Arial"/>
          <w:sz w:val="16"/>
          <w:szCs w:val="16"/>
          <w:color w:val="auto"/>
        </w:rPr>
      </w:pPr>
    </w:p>
    <w:p>
      <w:pPr>
        <w:ind w:left="520" w:right="60" w:hanging="458"/>
        <w:spacing w:after="0" w:line="293"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Depreciation and amortization expense is included within </w:t>
      </w:r>
      <w:r>
        <w:rPr>
          <w:rFonts w:ascii="Arial" w:cs="Arial" w:eastAsia="Arial" w:hAnsi="Arial"/>
          <w:sz w:val="16"/>
          <w:szCs w:val="16"/>
          <w:i w:val="1"/>
          <w:iCs w:val="1"/>
          <w:color w:val="auto"/>
        </w:rPr>
        <w:t>Field depreciation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Home office depreciation and amortization</w:t>
      </w:r>
      <w:r>
        <w:rPr>
          <w:rFonts w:ascii="Arial" w:cs="Arial" w:eastAsia="Arial" w:hAnsi="Arial"/>
          <w:sz w:val="16"/>
          <w:szCs w:val="16"/>
          <w:color w:val="auto"/>
        </w:rPr>
        <w:t xml:space="preserve"> on our Consolidated Statements of Operations.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Variable lease expense was immaterial for the three and six months ended June 30, 2019 and 2020.</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our leases for the six months ended June 30, 2019 and 2020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Six months ended June 30,</w:t>
            </w:r>
          </w:p>
        </w:tc>
        <w:tc>
          <w:tcPr>
            <w:tcW w:w="7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7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74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operating leases included in operating activities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paid for finance leases included in financing activities</w:t>
            </w:r>
          </w:p>
        </w:tc>
        <w:tc>
          <w:tcPr>
            <w:tcW w:w="5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400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Right-of-use assets obtained in exchange for new leases for the six months ended June 30, 2019 and 2020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6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Six months ended June 30,</w:t>
            </w:r>
          </w:p>
        </w:tc>
        <w:tc>
          <w:tcPr>
            <w:tcW w:w="70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5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5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Right-of-use assets obtained in exchange for new operating lease liabilities</w:t>
            </w:r>
          </w:p>
        </w:tc>
        <w:tc>
          <w:tcPr>
            <w:tcW w:w="25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8,175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w w:val="92"/>
              </w:rPr>
              <w:t>Right-of-use assets obtained in exchange for new finance lease liabilities</w:t>
            </w:r>
          </w:p>
        </w:tc>
        <w:tc>
          <w:tcPr>
            <w:tcW w:w="2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459"/>
        </w:trPr>
        <w:tc>
          <w:tcPr>
            <w:tcW w:w="5420" w:type="dxa"/>
            <w:vAlign w:val="bottom"/>
          </w:tcPr>
          <w:p>
            <w:pPr>
              <w:spacing w:after="0"/>
              <w:rPr>
                <w:sz w:val="24"/>
                <w:szCs w:val="24"/>
                <w:color w:val="auto"/>
              </w:rPr>
            </w:pPr>
          </w:p>
        </w:tc>
        <w:tc>
          <w:tcPr>
            <w:tcW w:w="2020" w:type="dxa"/>
            <w:vAlign w:val="bottom"/>
          </w:tcPr>
          <w:p>
            <w:pPr>
              <w:jc w:val="right"/>
              <w:ind w:right="153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color w:val="auto"/>
        </w:rPr>
        <w:t>Supplemental balance sheet information related to leases as of December 31, 2019 and June 30, 2020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ind w:left="1360"/>
              <w:spacing w:after="0"/>
              <w:rPr>
                <w:sz w:val="20"/>
                <w:szCs w:val="20"/>
                <w:color w:val="auto"/>
              </w:rPr>
            </w:pPr>
            <w:r>
              <w:rPr>
                <w:rFonts w:ascii="Arial" w:cs="Arial" w:eastAsia="Arial" w:hAnsi="Arial"/>
                <w:sz w:val="16"/>
                <w:szCs w:val="16"/>
                <w:b w:val="1"/>
                <w:bCs w:val="1"/>
                <w:color w:val="auto"/>
              </w:rPr>
              <w:t>Lease Type</w:t>
            </w:r>
          </w:p>
        </w:tc>
        <w:tc>
          <w:tcPr>
            <w:tcW w:w="4740" w:type="dxa"/>
            <w:vAlign w:val="bottom"/>
          </w:tcPr>
          <w:p>
            <w:pPr>
              <w:ind w:left="1580"/>
              <w:spacing w:after="0"/>
              <w:rPr>
                <w:sz w:val="20"/>
                <w:szCs w:val="20"/>
                <w:color w:val="auto"/>
              </w:rPr>
            </w:pPr>
            <w:r>
              <w:rPr>
                <w:rFonts w:ascii="Arial" w:cs="Arial" w:eastAsia="Arial" w:hAnsi="Arial"/>
                <w:sz w:val="16"/>
                <w:szCs w:val="16"/>
                <w:b w:val="1"/>
                <w:bCs w:val="1"/>
                <w:color w:val="auto"/>
              </w:rPr>
              <w:t>Balance Sheet Classification</w:t>
            </w:r>
          </w:p>
        </w:tc>
        <w:tc>
          <w:tcPr>
            <w:tcW w:w="2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314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Operating lease right-of-use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21,407</w:t>
            </w:r>
          </w:p>
        </w:tc>
      </w:tr>
      <w:tr>
        <w:trPr>
          <w:trHeight w:val="189"/>
        </w:trPr>
        <w:tc>
          <w:tcPr>
            <w:tcW w:w="3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right-of-use assets</w:t>
            </w:r>
          </w:p>
        </w:tc>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6,770</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4740" w:type="dxa"/>
            <w:vAlign w:val="bottom"/>
          </w:tcPr>
          <w:p>
            <w:pPr>
              <w:ind w:left="380"/>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7"/>
        </w:trPr>
        <w:tc>
          <w:tcPr>
            <w:tcW w:w="31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right-of-use assets, net</w:t>
            </w:r>
          </w:p>
        </w:tc>
        <w:tc>
          <w:tcPr>
            <w:tcW w:w="4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4,986</w:t>
            </w:r>
          </w:p>
        </w:tc>
      </w:tr>
      <w:tr>
        <w:trPr>
          <w:trHeight w:val="189"/>
        </w:trPr>
        <w:tc>
          <w:tcPr>
            <w:tcW w:w="3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current liabilities</w:t>
            </w:r>
          </w:p>
        </w:tc>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Current portion of operating lease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Finance lease current liabilities</w:t>
            </w:r>
          </w:p>
        </w:tc>
        <w:tc>
          <w:tcPr>
            <w:tcW w:w="4740" w:type="dxa"/>
            <w:vAlign w:val="bottom"/>
          </w:tcPr>
          <w:p>
            <w:pPr>
              <w:ind w:left="380"/>
              <w:spacing w:after="0"/>
              <w:rPr>
                <w:sz w:val="20"/>
                <w:szCs w:val="20"/>
                <w:color w:val="auto"/>
              </w:rPr>
            </w:pPr>
            <w:r>
              <w:rPr>
                <w:rFonts w:ascii="Arial" w:cs="Arial" w:eastAsia="Arial" w:hAnsi="Arial"/>
                <w:sz w:val="18"/>
                <w:szCs w:val="18"/>
                <w:i w:val="1"/>
                <w:iCs w:val="1"/>
                <w:color w:val="auto"/>
              </w:rPr>
              <w:t>Current portion of finance lease obligations</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306</w:t>
            </w:r>
          </w:p>
        </w:tc>
      </w:tr>
      <w:tr>
        <w:trPr>
          <w:trHeight w:val="27"/>
        </w:trPr>
        <w:tc>
          <w:tcPr>
            <w:tcW w:w="31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lease liabilities</w:t>
            </w:r>
          </w:p>
        </w:tc>
        <w:tc>
          <w:tcPr>
            <w:tcW w:w="4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r>
      <w:tr>
        <w:trPr>
          <w:trHeight w:val="189"/>
        </w:trPr>
        <w:tc>
          <w:tcPr>
            <w:tcW w:w="3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non-current liabilities</w:t>
            </w:r>
          </w:p>
        </w:tc>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w w:val="95"/>
              </w:rPr>
              <w:t>Obligations under operating leases,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Finance lease non-current liabilities</w:t>
            </w:r>
          </w:p>
        </w:tc>
        <w:tc>
          <w:tcPr>
            <w:tcW w:w="4740" w:type="dxa"/>
            <w:vAlign w:val="bottom"/>
          </w:tcPr>
          <w:p>
            <w:pPr>
              <w:ind w:left="380"/>
              <w:spacing w:after="0"/>
              <w:rPr>
                <w:sz w:val="20"/>
                <w:szCs w:val="20"/>
                <w:color w:val="auto"/>
              </w:rPr>
            </w:pPr>
            <w:r>
              <w:rPr>
                <w:rFonts w:ascii="Arial" w:cs="Arial" w:eastAsia="Arial" w:hAnsi="Arial"/>
                <w:sz w:val="18"/>
                <w:szCs w:val="18"/>
                <w:i w:val="1"/>
                <w:iCs w:val="1"/>
                <w:color w:val="auto"/>
                <w:w w:val="99"/>
              </w:rPr>
              <w:t>Obligations under finance leases, net of current portion</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5,854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5,696</w:t>
            </w:r>
          </w:p>
        </w:tc>
      </w:tr>
      <w:tr>
        <w:trPr>
          <w:trHeight w:val="27"/>
        </w:trPr>
        <w:tc>
          <w:tcPr>
            <w:tcW w:w="31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lease liabilities</w:t>
            </w:r>
          </w:p>
        </w:tc>
        <w:tc>
          <w:tcPr>
            <w:tcW w:w="4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26,279</w:t>
            </w:r>
          </w:p>
        </w:tc>
      </w:tr>
      <w:tr>
        <w:trPr>
          <w:trHeight w:val="270"/>
        </w:trPr>
        <w:tc>
          <w:tcPr>
            <w:tcW w:w="3140" w:type="dxa"/>
            <w:vAlign w:val="bottom"/>
            <w:tcBorders>
              <w:bottom w:val="single" w:sz="8" w:color="CCEEFF"/>
            </w:tcBorders>
          </w:tcPr>
          <w:p>
            <w:pPr>
              <w:spacing w:after="0"/>
              <w:rPr>
                <w:sz w:val="23"/>
                <w:szCs w:val="23"/>
                <w:color w:val="auto"/>
              </w:rPr>
            </w:pPr>
          </w:p>
        </w:tc>
        <w:tc>
          <w:tcPr>
            <w:tcW w:w="47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5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4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28,593</w:t>
            </w:r>
          </w:p>
        </w:tc>
      </w:tr>
      <w:tr>
        <w:trPr>
          <w:trHeight w:val="20"/>
        </w:trPr>
        <w:tc>
          <w:tcPr>
            <w:tcW w:w="3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average lease terms and discount rates as of June 30, 2020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Weighted-average</w:t>
            </w:r>
          </w:p>
        </w:tc>
        <w:tc>
          <w:tcPr>
            <w:tcW w:w="1860" w:type="dxa"/>
            <w:vAlign w:val="bottom"/>
          </w:tcPr>
          <w:p>
            <w:pPr>
              <w:spacing w:after="0"/>
              <w:rPr>
                <w:sz w:val="17"/>
                <w:szCs w:val="17"/>
                <w:color w:val="auto"/>
              </w:rPr>
            </w:pPr>
          </w:p>
        </w:tc>
      </w:tr>
      <w:tr>
        <w:trPr>
          <w:trHeight w:val="203"/>
        </w:trPr>
        <w:tc>
          <w:tcPr>
            <w:tcW w:w="7360" w:type="dxa"/>
            <w:vAlign w:val="bottom"/>
          </w:tcPr>
          <w:p>
            <w:pPr>
              <w:spacing w:after="0"/>
              <w:rPr>
                <w:sz w:val="17"/>
                <w:szCs w:val="17"/>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remaining lease term</w:t>
            </w:r>
          </w:p>
        </w:tc>
        <w:tc>
          <w:tcPr>
            <w:tcW w:w="1860" w:type="dxa"/>
            <w:vAlign w:val="bottom"/>
          </w:tcPr>
          <w:p>
            <w:pPr>
              <w:jc w:val="right"/>
              <w:ind w:right="215"/>
              <w:spacing w:after="0"/>
              <w:rPr>
                <w:sz w:val="20"/>
                <w:szCs w:val="20"/>
                <w:color w:val="auto"/>
              </w:rPr>
            </w:pPr>
            <w:r>
              <w:rPr>
                <w:rFonts w:ascii="Arial" w:cs="Arial" w:eastAsia="Arial" w:hAnsi="Arial"/>
                <w:sz w:val="16"/>
                <w:szCs w:val="16"/>
                <w:b w:val="1"/>
                <w:bCs w:val="1"/>
                <w:color w:val="auto"/>
              </w:rPr>
              <w:t>Weighted-average</w:t>
            </w:r>
          </w:p>
        </w:tc>
      </w:tr>
      <w:tr>
        <w:trPr>
          <w:trHeight w:val="210"/>
        </w:trPr>
        <w:tc>
          <w:tcPr>
            <w:tcW w:w="736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(years)</w:t>
            </w:r>
          </w:p>
        </w:tc>
        <w:tc>
          <w:tcPr>
            <w:tcW w:w="1860" w:type="dxa"/>
            <w:vAlign w:val="bottom"/>
          </w:tcPr>
          <w:p>
            <w:pPr>
              <w:jc w:val="right"/>
              <w:ind w:right="395"/>
              <w:spacing w:after="0"/>
              <w:rPr>
                <w:sz w:val="20"/>
                <w:szCs w:val="20"/>
                <w:color w:val="auto"/>
              </w:rPr>
            </w:pPr>
            <w:r>
              <w:rPr>
                <w:rFonts w:ascii="Arial" w:cs="Arial" w:eastAsia="Arial" w:hAnsi="Arial"/>
                <w:sz w:val="16"/>
                <w:szCs w:val="16"/>
                <w:b w:val="1"/>
                <w:bCs w:val="1"/>
                <w:color w:val="auto"/>
              </w:rPr>
              <w:t>discount rate</w:t>
            </w:r>
          </w:p>
        </w:tc>
      </w:tr>
      <w:tr>
        <w:trPr>
          <w:trHeight w:val="33"/>
        </w:trPr>
        <w:tc>
          <w:tcPr>
            <w:tcW w:w="73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18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future lease payments for operating and finance leases as of June 30, 2020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w:t>
            </w:r>
          </w:p>
        </w:tc>
        <w:tc>
          <w:tcPr>
            <w:tcW w:w="460" w:type="dxa"/>
            <w:vAlign w:val="bottom"/>
          </w:tcPr>
          <w:p>
            <w:pPr>
              <w:spacing w:after="0"/>
              <w:rPr>
                <w:sz w:val="18"/>
                <w:szCs w:val="18"/>
                <w:color w:val="auto"/>
              </w:rPr>
            </w:pPr>
          </w:p>
        </w:tc>
        <w:tc>
          <w:tcPr>
            <w:tcW w:w="1340" w:type="dxa"/>
            <w:vAlign w:val="bottom"/>
          </w:tcPr>
          <w:p>
            <w:pPr>
              <w:jc w:val="right"/>
              <w:ind w:right="351"/>
              <w:spacing w:after="0"/>
              <w:rPr>
                <w:sz w:val="20"/>
                <w:szCs w:val="20"/>
                <w:color w:val="auto"/>
              </w:rPr>
            </w:pPr>
            <w:r>
              <w:rPr>
                <w:rFonts w:ascii="Arial" w:cs="Arial" w:eastAsia="Arial" w:hAnsi="Arial"/>
                <w:sz w:val="16"/>
                <w:szCs w:val="16"/>
                <w:b w:val="1"/>
                <w:bCs w:val="1"/>
                <w:color w:val="auto"/>
              </w:rPr>
              <w:t>Finance</w:t>
            </w:r>
          </w:p>
        </w:tc>
      </w:tr>
      <w:tr>
        <w:trPr>
          <w:trHeight w:val="33"/>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payments due:</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Remainder of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428</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3,365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860</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3,262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791</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17,799</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33,292</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10,066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Interest</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22,591</w:t>
            </w:r>
          </w:p>
        </w:tc>
        <w:tc>
          <w:tcPr>
            <w:tcW w:w="2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6,002</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we had no additional significant operating or finance leases that had not yet commenced.</w:t>
      </w:r>
    </w:p>
    <w:p>
      <w:pPr>
        <w:spacing w:after="0" w:line="2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party to various litigation matters and proceedings. For each of our outstanding legal matters, we evaluate the merits of the case, our exposure to the matter, possible legal or settlement strategies, and the likelihood of an unfavorable outcome. If we determine that an unfavorable outcome is probable and can be reasonably estimated, we establish the necessary accruals. We hold certain insurance policies that may reduce cash outflows with respect to an adverse outcome of certain of these litigation matters.</w:t>
      </w:r>
    </w:p>
    <w:p>
      <w:pPr>
        <w:spacing w:after="0" w:line="79"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i w:val="1"/>
          <w:iCs w:val="1"/>
          <w:color w:val="auto"/>
        </w:rPr>
        <w:t xml:space="preserve">Faria, et al. v. Carriage Funeral Holdings, Inc., </w:t>
      </w:r>
      <w:r>
        <w:rPr>
          <w:rFonts w:ascii="Arial" w:cs="Arial" w:eastAsia="Arial" w:hAnsi="Arial"/>
          <w:sz w:val="18"/>
          <w:szCs w:val="18"/>
          <w:color w:val="auto"/>
        </w:rPr>
        <w:t>Superior Court of California, Contra Costa County, Case No. MSC18-00606. On March 26, 2018,</w:t>
      </w:r>
      <w:r>
        <w:rPr>
          <w:rFonts w:ascii="Arial" w:cs="Arial" w:eastAsia="Arial" w:hAnsi="Arial"/>
          <w:sz w:val="18"/>
          <w:szCs w:val="18"/>
          <w:i w:val="1"/>
          <w:iCs w:val="1"/>
          <w:color w:val="auto"/>
        </w:rPr>
        <w:t xml:space="preserve"> </w:t>
      </w:r>
      <w:r>
        <w:rPr>
          <w:rFonts w:ascii="Arial" w:cs="Arial" w:eastAsia="Arial" w:hAnsi="Arial"/>
          <w:sz w:val="18"/>
          <w:szCs w:val="18"/>
          <w:color w:val="auto"/>
        </w:rPr>
        <w:t>six Plaintiffs filed a putative class action against Carriage Funeral Holdings, Inc., our subsidiary, their alleged employer, on behalf of themselves and all similarly situated current and former employees. Plaintiffs seek monetary damages and claim that Carriage Funeral Holdings, Inc. failed to pay minimum wages, provide meal and rest breaks, provide accurately itemized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611"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7"/>
          <w:szCs w:val="17"/>
          <w:color w:val="auto"/>
        </w:rPr>
        <w:t>wage statements, reimburse employees for required expenses, and provide wages when due. Plaintiffs also claim that Carriage Funeral Holdings, Inc. violated California Business and Professions Code §17200 et seq. On June 5, 2018, Plaintiffs filed a First Amended Complaint to add a claim under the California Private Attorney General Act. On October 23, 2018, the parties mediated this matter and executed a Memorandum of Understanding for class settlement. In February 2019, a Class Action Settlement Agreement was fully executed and was approved by the Court in October 2019. We paid $0.7 million under the settlement agreement in November 2019. This case was formally closed on May 25, 2020.</w:t>
      </w:r>
    </w:p>
    <w:p>
      <w:pPr>
        <w:spacing w:after="0" w:line="226"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 xml:space="preserve">During the six months ended June 30, 2020, we issued restricted stock to certain employees totaling 10,200 shares that vest over a three-year period and had an aggregate grant date market value of approximately $0.3 million at a weighted average stock price of $25.00. We recorded stock-based compensation expense, which is included in </w:t>
      </w:r>
      <w:r>
        <w:rPr>
          <w:rFonts w:ascii="Arial" w:cs="Arial" w:eastAsia="Arial" w:hAnsi="Arial"/>
          <w:sz w:val="16"/>
          <w:szCs w:val="16"/>
          <w:i w:val="1"/>
          <w:iCs w:val="1"/>
          <w:color w:val="auto"/>
        </w:rPr>
        <w:t>General, administrative and other expenses</w:t>
      </w:r>
      <w:r>
        <w:rPr>
          <w:rFonts w:ascii="Arial" w:cs="Arial" w:eastAsia="Arial" w:hAnsi="Arial"/>
          <w:sz w:val="16"/>
          <w:szCs w:val="16"/>
          <w:color w:val="auto"/>
        </w:rPr>
        <w:t>, for restricted stock awards of $211,000 and $183,000, for the three months ended June 30, 2019 and 2020, respectively and $428,000 and $368,000 for the six months ended June 30, 2019 and 2020, respectively.</w:t>
      </w:r>
    </w:p>
    <w:p>
      <w:pPr>
        <w:spacing w:after="0" w:line="4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2020, we had $1.1 million of total unrecognized compensation costs related to unvested restricted stock awards, which are expected to be recognized over a weighted average period of approximately 1.4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During the six months ended June 30, 2020, we granted 20,000 options to a certain key employee at a weighted average price of $18.02. These options will vest in one-third increments over a three-year period and have a ten-year term. The fair value of these options was $0.1 million. On June 26, 2020, we cancelled 100,000 options in connection with the resignation of our President and Chief Operating Officer.</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 of the options granted were estimated on the date of grant using the Black-Scholes option pricing model with the following weighted-average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2540" w:type="dxa"/>
            <w:vAlign w:val="bottom"/>
          </w:tcPr>
          <w:p>
            <w:pPr>
              <w:jc w:val="right"/>
              <w:ind w:right="1012"/>
              <w:spacing w:after="0"/>
              <w:rPr>
                <w:sz w:val="20"/>
                <w:szCs w:val="20"/>
                <w:color w:val="auto"/>
              </w:rPr>
            </w:pPr>
            <w:r>
              <w:rPr>
                <w:rFonts w:ascii="Arial" w:cs="Arial" w:eastAsia="Arial" w:hAnsi="Arial"/>
                <w:sz w:val="16"/>
                <w:szCs w:val="16"/>
                <w:b w:val="1"/>
                <w:bCs w:val="1"/>
                <w:color w:val="auto"/>
              </w:rPr>
              <w:t>2020</w:t>
            </w:r>
          </w:p>
        </w:tc>
      </w:tr>
      <w:tr>
        <w:trPr>
          <w:trHeight w:val="33"/>
        </w:trPr>
        <w:tc>
          <w:tcPr>
            <w:tcW w:w="870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540" w:type="dxa"/>
            <w:vAlign w:val="bottom"/>
          </w:tcPr>
          <w:p>
            <w:pPr>
              <w:jc w:val="right"/>
              <w:spacing w:after="0"/>
              <w:rPr>
                <w:sz w:val="20"/>
                <w:szCs w:val="20"/>
                <w:color w:val="auto"/>
              </w:rPr>
            </w:pPr>
            <w:r>
              <w:rPr>
                <w:rFonts w:ascii="Arial" w:cs="Arial" w:eastAsia="Arial" w:hAnsi="Arial"/>
                <w:sz w:val="18"/>
                <w:szCs w:val="18"/>
                <w:color w:val="auto"/>
              </w:rPr>
              <w:t>38.54%</w:t>
            </w:r>
          </w:p>
        </w:tc>
      </w:tr>
      <w:tr>
        <w:trPr>
          <w:trHeight w:val="27"/>
        </w:trPr>
        <w:tc>
          <w:tcPr>
            <w:tcW w:w="870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Expected holding period (years)</w:t>
            </w:r>
          </w:p>
        </w:tc>
        <w:tc>
          <w:tcPr>
            <w:tcW w:w="2540" w:type="dxa"/>
            <w:vAlign w:val="bottom"/>
          </w:tcPr>
          <w:p>
            <w:pPr>
              <w:jc w:val="right"/>
              <w:ind w:right="92"/>
              <w:spacing w:after="0"/>
              <w:rPr>
                <w:sz w:val="20"/>
                <w:szCs w:val="20"/>
                <w:color w:val="auto"/>
              </w:rPr>
            </w:pPr>
            <w:r>
              <w:rPr>
                <w:rFonts w:ascii="Arial" w:cs="Arial" w:eastAsia="Arial" w:hAnsi="Arial"/>
                <w:sz w:val="18"/>
                <w:szCs w:val="18"/>
                <w:color w:val="auto"/>
              </w:rPr>
              <w:t>3.74</w:t>
            </w:r>
          </w:p>
        </w:tc>
      </w:tr>
      <w:tr>
        <w:trPr>
          <w:trHeight w:val="27"/>
        </w:trPr>
        <w:tc>
          <w:tcPr>
            <w:tcW w:w="870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Black-Scholes value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7"/>
        </w:trPr>
        <w:tc>
          <w:tcPr>
            <w:tcW w:w="87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for stock options of $149,000 and $122,000, for the three months ended June 30, 2019 and 2020, respectively and $353,000 and $337,000 for the six months ended June 30, 2019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May 19, 2020, we cancelled all Performance Award Agreements previously awarded to all individuals in 2019 and 2020. Concurrently with the cancellation, the Compensation Committee of the Board of Directors (the “Board”) approved a new performance award to be issued to certain employees. We granted 368,921 performance awards to certain eligible employees, payable in shares. These awards will vest (if at all) on December 31, 2024 provided that the Company’s common stock reaches one of five pre-determined growth targets for a sustained period beginning on the grant date of May 19, 2020 and ending on December 31, 2024. The new performance award was treated as a modification of the cancelled awards and resulted in an additional $1.7 million of incremental compensation costs, which are expected to be recognized over the remaining term of 54 months.</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On June 25, 2020, we granted an additional 13,974 performance awards to our Vice-President of Cemetery Sales and Marketing with the same vesting criteria described above with a fair value of $0.2 million. On June 26, 2020, we cancelled 33,538 performance awards in connection with the resignation of our President and Chief Operating Officer.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11" w:right="339" w:bottom="1440" w:gutter="0" w:footer="0" w:header="0"/>
        </w:sectPr>
      </w:pPr>
    </w:p>
    <w:bookmarkStart w:id="33" w:name="page34"/>
    <w:bookmarkEnd w:id="33"/>
    <w:p>
      <w:pPr>
        <w:jc w:val="both"/>
        <w:ind w:firstLine="432"/>
        <w:spacing w:after="0" w:line="277" w:lineRule="auto"/>
        <w:rPr>
          <w:sz w:val="20"/>
          <w:szCs w:val="20"/>
          <w:color w:val="auto"/>
        </w:rPr>
      </w:pPr>
      <w:r>
        <w:rPr>
          <w:rFonts w:ascii="Arial" w:cs="Arial" w:eastAsia="Arial" w:hAnsi="Arial"/>
          <w:sz w:val="18"/>
          <w:szCs w:val="18"/>
          <w:color w:val="auto"/>
        </w:rPr>
        <w:t>The fair values of the performance awards granted during the three months ended June 30, 2020 were determined by using the Monte-Carlo simulation pricing model with the following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300" w:type="dxa"/>
            <w:vAlign w:val="bottom"/>
            <w:gridSpan w:val="2"/>
          </w:tcPr>
          <w:p>
            <w:pPr>
              <w:ind w:left="600"/>
              <w:spacing w:after="0"/>
              <w:rPr>
                <w:sz w:val="20"/>
                <w:szCs w:val="20"/>
                <w:color w:val="auto"/>
              </w:rPr>
            </w:pPr>
            <w:r>
              <w:rPr>
                <w:rFonts w:ascii="Arial" w:cs="Arial" w:eastAsia="Arial" w:hAnsi="Arial"/>
                <w:sz w:val="16"/>
                <w:szCs w:val="16"/>
                <w:b w:val="1"/>
                <w:bCs w:val="1"/>
                <w:color w:val="auto"/>
              </w:rPr>
              <w:t>May 19, 2020</w:t>
            </w:r>
          </w:p>
        </w:tc>
        <w:tc>
          <w:tcPr>
            <w:tcW w:w="2080" w:type="dxa"/>
            <w:vAlign w:val="bottom"/>
          </w:tcPr>
          <w:p>
            <w:pPr>
              <w:jc w:val="right"/>
              <w:ind w:right="451"/>
              <w:spacing w:after="0"/>
              <w:rPr>
                <w:sz w:val="20"/>
                <w:szCs w:val="20"/>
                <w:color w:val="auto"/>
              </w:rPr>
            </w:pPr>
            <w:r>
              <w:rPr>
                <w:rFonts w:ascii="Arial" w:cs="Arial" w:eastAsia="Arial" w:hAnsi="Arial"/>
                <w:sz w:val="16"/>
                <w:szCs w:val="16"/>
                <w:b w:val="1"/>
                <w:bCs w:val="1"/>
                <w:color w:val="auto"/>
              </w:rPr>
              <w:t>June 25, 2020</w:t>
            </w:r>
          </w:p>
        </w:tc>
      </w:tr>
      <w:tr>
        <w:trPr>
          <w:trHeight w:val="33"/>
        </w:trPr>
        <w:tc>
          <w:tcPr>
            <w:tcW w:w="68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2"/>
        </w:trPr>
        <w:tc>
          <w:tcPr>
            <w:tcW w:w="686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May 19, 2020 -</w:t>
            </w:r>
          </w:p>
        </w:tc>
        <w:tc>
          <w:tcPr>
            <w:tcW w:w="2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June 25, 2020 -</w:t>
            </w: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period</w:t>
            </w:r>
          </w:p>
        </w:tc>
        <w:tc>
          <w:tcPr>
            <w:tcW w:w="23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December 31, 2024</w:t>
            </w:r>
          </w:p>
        </w:tc>
        <w:tc>
          <w:tcPr>
            <w:tcW w:w="2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December 31, 2024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Simulation period (years)</w:t>
            </w:r>
          </w:p>
        </w:tc>
        <w:tc>
          <w:tcPr>
            <w:tcW w:w="2080" w:type="dxa"/>
            <w:vAlign w:val="bottom"/>
          </w:tcPr>
          <w:p>
            <w:pPr>
              <w:jc w:val="right"/>
              <w:ind w:right="91"/>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21"/>
                <w:szCs w:val="21"/>
                <w:color w:val="auto"/>
              </w:rPr>
            </w:pPr>
          </w:p>
        </w:tc>
        <w:tc>
          <w:tcPr>
            <w:tcW w:w="2080" w:type="dxa"/>
            <w:vAlign w:val="bottom"/>
          </w:tcPr>
          <w:p>
            <w:pPr>
              <w:jc w:val="right"/>
              <w:ind w:right="91"/>
              <w:spacing w:after="0"/>
              <w:rPr>
                <w:sz w:val="20"/>
                <w:szCs w:val="20"/>
                <w:color w:val="auto"/>
              </w:rPr>
            </w:pPr>
            <w:r>
              <w:rPr>
                <w:rFonts w:ascii="Arial" w:cs="Arial" w:eastAsia="Arial" w:hAnsi="Arial"/>
                <w:sz w:val="18"/>
                <w:szCs w:val="18"/>
                <w:color w:val="auto"/>
              </w:rPr>
              <w:t>4.52</w:t>
            </w:r>
          </w:p>
        </w:tc>
      </w:tr>
      <w:tr>
        <w:trPr>
          <w:trHeight w:val="27"/>
        </w:trPr>
        <w:tc>
          <w:tcPr>
            <w:tcW w:w="6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price at grant date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080" w:type="dxa"/>
            <w:vAlign w:val="bottom"/>
          </w:tcPr>
          <w:p>
            <w:pPr>
              <w:jc w:val="right"/>
              <w:spacing w:after="0"/>
              <w:rPr>
                <w:sz w:val="20"/>
                <w:szCs w:val="20"/>
                <w:color w:val="auto"/>
              </w:rPr>
            </w:pPr>
            <w:r>
              <w:rPr>
                <w:rFonts w:ascii="Arial" w:cs="Arial" w:eastAsia="Arial" w:hAnsi="Arial"/>
                <w:sz w:val="18"/>
                <w:szCs w:val="18"/>
                <w:color w:val="auto"/>
              </w:rPr>
              <w:t>34.54%</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36.24%</w:t>
            </w:r>
          </w:p>
        </w:tc>
      </w:tr>
      <w:tr>
        <w:trPr>
          <w:trHeight w:val="27"/>
        </w:trPr>
        <w:tc>
          <w:tcPr>
            <w:tcW w:w="6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7"/>
        </w:trPr>
        <w:tc>
          <w:tcPr>
            <w:tcW w:w="68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for performance awards of $58,000 and $182,000 for the three months ended June 30, 2019 and 2020, respectively and $77,000 and $303,000 for the six months ended June 30, 2019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2020, employees purchased a total of 43,314 shares at a weighted average price of $14.39 per share. The fair value of the right (option) to purchase shares under the ESPP is estimated at the date of purchase with the four quarterly purchase dates using the following assumptions: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000" w:type="dxa"/>
            <w:vAlign w:val="bottom"/>
          </w:tcPr>
          <w:p>
            <w:pPr>
              <w:jc w:val="right"/>
              <w:ind w:right="1252"/>
              <w:spacing w:after="0"/>
              <w:rPr>
                <w:sz w:val="20"/>
                <w:szCs w:val="20"/>
                <w:color w:val="auto"/>
              </w:rPr>
            </w:pPr>
            <w:r>
              <w:rPr>
                <w:rFonts w:ascii="Arial" w:cs="Arial" w:eastAsia="Arial" w:hAnsi="Arial"/>
                <w:sz w:val="16"/>
                <w:szCs w:val="16"/>
                <w:b w:val="1"/>
                <w:bCs w:val="1"/>
                <w:color w:val="auto"/>
              </w:rPr>
              <w:t>2020</w:t>
            </w:r>
          </w:p>
        </w:tc>
      </w:tr>
      <w:tr>
        <w:trPr>
          <w:trHeight w:val="33"/>
        </w:trPr>
        <w:tc>
          <w:tcPr>
            <w:tcW w:w="824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000" w:type="dxa"/>
            <w:vAlign w:val="bottom"/>
          </w:tcPr>
          <w:p>
            <w:pPr>
              <w:jc w:val="right"/>
              <w:spacing w:after="0"/>
              <w:rPr>
                <w:sz w:val="20"/>
                <w:szCs w:val="20"/>
                <w:color w:val="auto"/>
              </w:rPr>
            </w:pPr>
            <w:r>
              <w:rPr>
                <w:rFonts w:ascii="Arial" w:cs="Arial" w:eastAsia="Arial" w:hAnsi="Arial"/>
                <w:sz w:val="18"/>
                <w:szCs w:val="18"/>
                <w:color w:val="auto"/>
              </w:rPr>
              <w:t>48.63%</w:t>
            </w:r>
          </w:p>
        </w:tc>
      </w:tr>
      <w:tr>
        <w:trPr>
          <w:trHeight w:val="27"/>
        </w:trPr>
        <w:tc>
          <w:tcPr>
            <w:tcW w:w="82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1.54%,1.57%,1.57%,1.56%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3000" w:type="dxa"/>
            <w:vAlign w:val="bottom"/>
          </w:tcPr>
          <w:p>
            <w:pPr>
              <w:jc w:val="right"/>
              <w:ind w:right="92"/>
              <w:spacing w:after="0"/>
              <w:rPr>
                <w:sz w:val="20"/>
                <w:szCs w:val="20"/>
                <w:color w:val="auto"/>
              </w:rPr>
            </w:pPr>
            <w:r>
              <w:rPr>
                <w:rFonts w:ascii="Arial" w:cs="Arial" w:eastAsia="Arial" w:hAnsi="Arial"/>
                <w:sz w:val="18"/>
                <w:szCs w:val="18"/>
                <w:color w:val="auto"/>
              </w:rPr>
              <w:t>0.25, 0.50, 0.75, 1.00</w:t>
            </w: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 and Regional and unallocated</w:t>
      </w:r>
      <w:r>
        <w:rPr>
          <w:rFonts w:ascii="Arial" w:cs="Arial" w:eastAsia="Arial" w:hAnsi="Arial"/>
          <w:sz w:val="18"/>
          <w:szCs w:val="18"/>
          <w:color w:val="auto"/>
        </w:rPr>
        <w:t xml:space="preserve"> </w:t>
      </w:r>
      <w:r>
        <w:rPr>
          <w:rFonts w:ascii="Arial" w:cs="Arial" w:eastAsia="Arial" w:hAnsi="Arial"/>
          <w:sz w:val="18"/>
          <w:szCs w:val="18"/>
          <w:i w:val="1"/>
          <w:iCs w:val="1"/>
          <w:color w:val="auto"/>
        </w:rPr>
        <w:t>funeral and cemetery costs</w:t>
      </w:r>
      <w:r>
        <w:rPr>
          <w:rFonts w:ascii="Arial" w:cs="Arial" w:eastAsia="Arial" w:hAnsi="Arial"/>
          <w:sz w:val="18"/>
          <w:szCs w:val="18"/>
          <w:color w:val="auto"/>
        </w:rPr>
        <w:t>, for the ESPP totaling $61,000 and $80,000 for the three months ended June 30, 2019 and 2020, respectively and $166,000 and</w:t>
      </w:r>
      <w:r>
        <w:rPr>
          <w:rFonts w:ascii="Arial" w:cs="Arial" w:eastAsia="Arial" w:hAnsi="Arial"/>
          <w:sz w:val="18"/>
          <w:szCs w:val="18"/>
          <w:i w:val="1"/>
          <w:iCs w:val="1"/>
          <w:color w:val="auto"/>
        </w:rPr>
        <w:t xml:space="preserve"> </w:t>
      </w:r>
      <w:r>
        <w:rPr>
          <w:rFonts w:ascii="Arial" w:cs="Arial" w:eastAsia="Arial" w:hAnsi="Arial"/>
          <w:sz w:val="18"/>
          <w:szCs w:val="18"/>
          <w:color w:val="auto"/>
        </w:rPr>
        <w:t>$244,000 for the six months ended June 30, 2019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to Great Incentive Program</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2020, we issued 17,991 shares of our common stock to certain employees, which were valued at approximately $0.4 million at a grant date stock price of $25.00.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February 19, 2020, our Board revised the Director Compensation Policy to provide that each independent director is entitled to a quarterly retainer of $35,000, payable at the end of the quarter. On April 23, 2020, as part of our broad-based effort to respond to COVID-19, the Board approved a temporary reduction of the quarterly retainer for our non-employee directors from $35,000 per quarter to $29,750 per quarter (or 15%) effective April 19, 2020. On June 26, 2020, the Board voted to reinstate the quarterly retainer back to 100% effective as of June 28, 2020.</w:t>
      </w:r>
    </w:p>
    <w:p>
      <w:pPr>
        <w:spacing w:after="0" w:line="6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the six months ended June 30, 2020, we granted an aggregate of 16,680 shares of our common stock to five of our non-employee directors, which were valued at $0.3 million at a weighted average stock price of $17.08.</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related to annual retainers and common stock awards of $114,000 and $201,000 for the three months ended June 30, 2019 and 2020, respectively and $228,000 and $402,000 for the six months ended June 30, 2019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six months ended June 30, 2020, we did not repurchase any shares of our common stock pursuant to our share repurchase program. At June 30, 2020, we had approximately $25.6 million available for repurchases under our share repurchase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6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Cash Dividends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May 19, 2020, the Board approved an increase of $0.05 to our annual dividend beginning with the next dividend declaration in the third quarter of 2020. During the six months ended June 30, 2019 and 2020, our Board declared the following dividends payable on the dates below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4"/>
          </w:tcPr>
          <w:p>
            <w:pPr>
              <w:ind w:left="7800"/>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110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333"/>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100" w:type="dxa"/>
            <w:vAlign w:val="bottom"/>
            <w:gridSpan w:val="4"/>
            <w:shd w:val="clear" w:color="auto" w:fill="CCEEFF"/>
          </w:tcPr>
          <w:p>
            <w:pPr>
              <w:ind w:left="40"/>
              <w:spacing w:after="0" w:line="263" w:lineRule="exact"/>
              <w:rPr>
                <w:sz w:val="20"/>
                <w:szCs w:val="20"/>
                <w:color w:val="auto"/>
              </w:rPr>
            </w:pPr>
            <w:r>
              <w:rPr>
                <w:rFonts w:ascii="Arial" w:cs="Arial" w:eastAsia="Arial" w:hAnsi="Arial"/>
                <w:sz w:val="18"/>
                <w:szCs w:val="18"/>
                <w:color w:val="auto"/>
              </w:rPr>
              <w:t>March 1</w:t>
            </w:r>
            <w:r>
              <w:rPr>
                <w:rFonts w:ascii="Arial" w:cs="Arial" w:eastAsia="Arial" w:hAnsi="Arial"/>
                <w:sz w:val="25"/>
                <w:szCs w:val="25"/>
                <w:color w:val="auto"/>
                <w:vertAlign w:val="superscript"/>
              </w:rPr>
              <w:t>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341"/>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June 1</w:t>
            </w:r>
            <w:r>
              <w:rPr>
                <w:rFonts w:ascii="Arial" w:cs="Arial" w:eastAsia="Arial" w:hAnsi="Arial"/>
                <w:sz w:val="25"/>
                <w:szCs w:val="25"/>
                <w:color w:val="auto"/>
                <w:vertAlign w:val="superscript"/>
              </w:rPr>
              <w:t>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0.075</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93"/>
        </w:trPr>
        <w:tc>
          <w:tcPr>
            <w:tcW w:w="8100" w:type="dxa"/>
            <w:vAlign w:val="bottom"/>
            <w:gridSpan w:val="4"/>
          </w:tcPr>
          <w:p>
            <w:pPr>
              <w:ind w:left="7800"/>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24"/>
                <w:szCs w:val="24"/>
                <w:color w:val="auto"/>
              </w:rPr>
            </w:pPr>
          </w:p>
        </w:tc>
        <w:tc>
          <w:tcPr>
            <w:tcW w:w="110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21"/>
        </w:trPr>
        <w:tc>
          <w:tcPr>
            <w:tcW w:w="41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100" w:type="dxa"/>
            <w:vAlign w:val="bottom"/>
            <w:gridSpan w:val="4"/>
            <w:shd w:val="clear" w:color="auto" w:fill="CCEEFF"/>
          </w:tcPr>
          <w:p>
            <w:pPr>
              <w:ind w:left="40"/>
              <w:spacing w:after="0" w:line="263" w:lineRule="exact"/>
              <w:rPr>
                <w:sz w:val="20"/>
                <w:szCs w:val="20"/>
                <w:color w:val="auto"/>
              </w:rPr>
            </w:pPr>
            <w:r>
              <w:rPr>
                <w:rFonts w:ascii="Arial" w:cs="Arial" w:eastAsia="Arial" w:hAnsi="Arial"/>
                <w:sz w:val="18"/>
                <w:szCs w:val="18"/>
                <w:color w:val="auto"/>
              </w:rPr>
              <w:t>March 1</w:t>
            </w:r>
            <w:r>
              <w:rPr>
                <w:rFonts w:ascii="Arial" w:cs="Arial" w:eastAsia="Arial" w:hAnsi="Arial"/>
                <w:sz w:val="25"/>
                <w:szCs w:val="25"/>
                <w:color w:val="auto"/>
                <w:vertAlign w:val="superscript"/>
              </w:rPr>
              <w:t>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341"/>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June 1</w:t>
            </w:r>
            <w:r>
              <w:rPr>
                <w:rFonts w:ascii="Arial" w:cs="Arial" w:eastAsia="Arial" w:hAnsi="Arial"/>
                <w:sz w:val="25"/>
                <w:szCs w:val="25"/>
                <w:color w:val="auto"/>
                <w:vertAlign w:val="superscript"/>
              </w:rPr>
              <w:t>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0.075</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577"/>
        </w:trPr>
        <w:tc>
          <w:tcPr>
            <w:tcW w:w="8100" w:type="dxa"/>
            <w:vAlign w:val="bottom"/>
            <w:gridSpan w:val="4"/>
          </w:tcPr>
          <w:p>
            <w:pPr>
              <w:spacing w:after="0"/>
              <w:rPr>
                <w:sz w:val="20"/>
                <w:szCs w:val="20"/>
                <w:color w:val="auto"/>
              </w:rPr>
            </w:pPr>
            <w:r>
              <w:rPr>
                <w:rFonts w:ascii="Arial" w:cs="Arial" w:eastAsia="Arial" w:hAnsi="Arial"/>
                <w:sz w:val="18"/>
                <w:szCs w:val="18"/>
                <w:i w:val="1"/>
                <w:iCs w:val="1"/>
                <w:color w:val="auto"/>
              </w:rPr>
              <w:t>Accumulated other comprehensive income</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4"/>
          </w:tcPr>
          <w:p>
            <w:pPr>
              <w:ind w:left="440"/>
              <w:spacing w:after="0"/>
              <w:rPr>
                <w:sz w:val="20"/>
                <w:szCs w:val="20"/>
                <w:color w:val="auto"/>
              </w:rPr>
            </w:pPr>
            <w:r>
              <w:rPr>
                <w:rFonts w:ascii="Arial" w:cs="Arial" w:eastAsia="Arial" w:hAnsi="Arial"/>
                <w:sz w:val="18"/>
                <w:szCs w:val="18"/>
                <w:color w:val="auto"/>
              </w:rPr>
              <w:t>Our components of accumulated other comprehensive income are as follows (in thousands):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0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 June 30, 2020</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4"/>
          </w:tcPr>
          <w:p>
            <w:pPr>
              <w:jc w:val="center"/>
              <w:ind w:right="293"/>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Comprehensive Income</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Net unrealized gains associated with available-for-sale securities of the trusts</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34,301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7"/>
              </w:rPr>
              <w:t xml:space="preserve">Reclassification of net unrealized gains activity attributable to the </w:t>
            </w:r>
            <w:r>
              <w:rPr>
                <w:rFonts w:ascii="Arial" w:cs="Arial" w:eastAsia="Arial" w:hAnsi="Arial"/>
                <w:sz w:val="18"/>
                <w:szCs w:val="18"/>
                <w:i w:val="1"/>
                <w:iCs w:val="1"/>
                <w:color w:val="auto"/>
                <w:w w:val="97"/>
              </w:rPr>
              <w:t>Deferred preneed funeral and cemetery receipts held in</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trust and Care trusts’ corpus</w:t>
            </w: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0" w:type="dxa"/>
            <w:vAlign w:val="bottom"/>
          </w:tcPr>
          <w:p>
            <w:pPr>
              <w:spacing w:after="0"/>
              <w:rPr>
                <w:sz w:val="1"/>
                <w:szCs w:val="1"/>
                <w:color w:val="auto"/>
              </w:rPr>
            </w:pPr>
          </w:p>
        </w:tc>
      </w:tr>
      <w:tr>
        <w:trPr>
          <w:trHeight w:val="237"/>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Balance at June 30, 2020</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Six months ended June 30, 2020</w:t>
            </w: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1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4"/>
          </w:tcPr>
          <w:p>
            <w:pPr>
              <w:jc w:val="center"/>
              <w:ind w:right="293"/>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Comprehensive Income</w:t>
            </w:r>
          </w:p>
        </w:tc>
        <w:tc>
          <w:tcPr>
            <w:tcW w:w="0" w:type="dxa"/>
            <w:vAlign w:val="bottom"/>
          </w:tcPr>
          <w:p>
            <w:pPr>
              <w:spacing w:after="0"/>
              <w:rPr>
                <w:sz w:val="1"/>
                <w:szCs w:val="1"/>
                <w:color w:val="auto"/>
              </w:rPr>
            </w:pPr>
          </w:p>
        </w:tc>
      </w:tr>
      <w:tr>
        <w:trPr>
          <w:trHeight w:val="33"/>
        </w:trPr>
        <w:tc>
          <w:tcPr>
            <w:tcW w:w="78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Net unrealized losses associated with available-for-sale securities of the trusts</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(10,803)</w:t>
            </w:r>
          </w:p>
        </w:tc>
        <w:tc>
          <w:tcPr>
            <w:tcW w:w="0" w:type="dxa"/>
            <w:vAlign w:val="bottom"/>
          </w:tcPr>
          <w:p>
            <w:pPr>
              <w:spacing w:after="0"/>
              <w:rPr>
                <w:sz w:val="1"/>
                <w:szCs w:val="1"/>
                <w:color w:val="auto"/>
              </w:rPr>
            </w:pPr>
          </w:p>
        </w:tc>
      </w:tr>
      <w:tr>
        <w:trPr>
          <w:trHeight w:val="27"/>
        </w:trPr>
        <w:tc>
          <w:tcPr>
            <w:tcW w:w="78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7"/>
              </w:rPr>
              <w:t xml:space="preserve">Reclassification of net unrealized losses activity attributable to the </w:t>
            </w:r>
            <w:r>
              <w:rPr>
                <w:rFonts w:ascii="Arial" w:cs="Arial" w:eastAsia="Arial" w:hAnsi="Arial"/>
                <w:sz w:val="18"/>
                <w:szCs w:val="18"/>
                <w:i w:val="1"/>
                <w:iCs w:val="1"/>
                <w:color w:val="auto"/>
                <w:w w:val="97"/>
              </w:rPr>
              <w:t>Deferred preneed funeral and cemetery receipts held in</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trust and Care trusts’ corpus</w:t>
            </w: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10,803</w:t>
            </w:r>
          </w:p>
        </w:tc>
        <w:tc>
          <w:tcPr>
            <w:tcW w:w="0" w:type="dxa"/>
            <w:vAlign w:val="bottom"/>
          </w:tcPr>
          <w:p>
            <w:pPr>
              <w:spacing w:after="0"/>
              <w:rPr>
                <w:sz w:val="1"/>
                <w:szCs w:val="1"/>
                <w:color w:val="auto"/>
              </w:rPr>
            </w:pPr>
          </w:p>
        </w:tc>
      </w:tr>
      <w:tr>
        <w:trPr>
          <w:trHeight w:val="237"/>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Balance at June 30, 2020</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gridSpan w:val="2"/>
            <w:vMerge w:val="restart"/>
          </w:tcPr>
          <w:p>
            <w:pPr>
              <w:ind w:left="542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8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5" w:name="page36"/>
    <w:bookmarkEnd w:id="35"/>
    <w:p>
      <w:pPr>
        <w:ind w:left="880" w:hanging="872"/>
        <w:spacing w:after="0"/>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sets forth the computation of the basic and diluted earnings per share for the three and six months ended June 30, 2019 and 2020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June 30,</w:t>
            </w:r>
          </w:p>
        </w:tc>
        <w:tc>
          <w:tcPr>
            <w:tcW w:w="160" w:type="dxa"/>
            <w:vAlign w:val="bottom"/>
          </w:tcPr>
          <w:p>
            <w:pPr>
              <w:spacing w:after="0"/>
              <w:rPr>
                <w:sz w:val="18"/>
                <w:szCs w:val="18"/>
                <w:color w:val="auto"/>
              </w:rPr>
            </w:pPr>
          </w:p>
        </w:tc>
        <w:tc>
          <w:tcPr>
            <w:tcW w:w="21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Numerator for basic and diluted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4,862</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6,397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Less: Earnings allocated to unvested restricted stock</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w:t>
            </w:r>
          </w:p>
        </w:tc>
        <w:tc>
          <w:tcPr>
            <w:tcW w:w="1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84"/>
        </w:trPr>
        <w:tc>
          <w:tcPr>
            <w:tcW w:w="4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 for basic earnings per common share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17,959</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8"/>
                <w:szCs w:val="18"/>
                <w:color w:val="auto"/>
              </w:rPr>
              <w:t>Denominator for diluted earnings per common share -</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17,988</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17,889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18,043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17,862</w:t>
            </w:r>
          </w:p>
        </w:tc>
        <w:tc>
          <w:tcPr>
            <w:tcW w:w="0" w:type="dxa"/>
            <w:vAlign w:val="bottom"/>
          </w:tcPr>
          <w:p>
            <w:pPr>
              <w:spacing w:after="0"/>
              <w:rPr>
                <w:sz w:val="1"/>
                <w:szCs w:val="1"/>
                <w:color w:val="auto"/>
              </w:rPr>
            </w:pPr>
          </w:p>
        </w:tc>
      </w:tr>
      <w:tr>
        <w:trPr>
          <w:trHeight w:val="277"/>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For the three and six months ended June 30, 2019 and 2020, there were no shares that would have been issued upon conversion of our Convertible Notes as a result of the application under the if-converted method prescribed by the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the fully diluted weighted average shares outstanding and the corresponding calculation of fully diluted earnings per share.</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June 30, 2019 and 2020, there were 1,094,070 and 1,017,383 stock options, respectively and 1,200,404 and 1,025,734 for the six months ended June 30, 2019 and 2020, respectively, excluded from the computation of diluted earnings per share because the inclusion of such stock options would result in an antidilutive effect. For the three and six months ended June 30, 2020, 349,357 performance awards have been excluded from the computation of diluted earnings per share as the performance criteria have not been met.</w:t>
      </w:r>
    </w:p>
    <w:p>
      <w:pPr>
        <w:spacing w:after="0" w:line="237" w:lineRule="exact"/>
        <w:rPr>
          <w:sz w:val="20"/>
          <w:szCs w:val="20"/>
          <w:color w:val="auto"/>
        </w:rPr>
      </w:pPr>
    </w:p>
    <w:p>
      <w:pPr>
        <w:ind w:left="880" w:hanging="872"/>
        <w:spacing w:after="0"/>
        <w:tabs>
          <w:tab w:leader="none" w:pos="8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disaggregated by major source for each of our reportable segments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June 30, 2020</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Funeral</w:t>
            </w:r>
          </w:p>
        </w:tc>
        <w:tc>
          <w:tcPr>
            <w:tcW w:w="460" w:type="dxa"/>
            <w:vAlign w:val="bottom"/>
          </w:tcPr>
          <w:p>
            <w:pPr>
              <w:spacing w:after="0"/>
              <w:rPr>
                <w:sz w:val="2"/>
                <w:szCs w:val="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Cemetery</w:t>
            </w:r>
          </w:p>
        </w:tc>
        <w:tc>
          <w:tcPr>
            <w:tcW w:w="540" w:type="dxa"/>
            <w:vAlign w:val="bottom"/>
          </w:tcPr>
          <w:p>
            <w:pPr>
              <w:spacing w:after="0"/>
              <w:rPr>
                <w:sz w:val="2"/>
                <w:szCs w:val="2"/>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35,653</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3,227</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38,880</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Merchandise</w:t>
            </w: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20,121</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2,512</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22,633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10,009</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Other revenue</w:t>
            </w: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3,347</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2,608</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59,121</w:t>
            </w:r>
          </w:p>
        </w:tc>
        <w:tc>
          <w:tcPr>
            <w:tcW w:w="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18,356</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77,477</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Funeral</w:t>
            </w:r>
          </w:p>
        </w:tc>
        <w:tc>
          <w:tcPr>
            <w:tcW w:w="460" w:type="dxa"/>
            <w:vAlign w:val="bottom"/>
          </w:tcPr>
          <w:p>
            <w:pPr>
              <w:spacing w:after="0"/>
              <w:rPr>
                <w:sz w:val="2"/>
                <w:szCs w:val="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Cemetery</w:t>
            </w:r>
          </w:p>
        </w:tc>
        <w:tc>
          <w:tcPr>
            <w:tcW w:w="540" w:type="dxa"/>
            <w:vAlign w:val="bottom"/>
          </w:tcPr>
          <w:p>
            <w:pPr>
              <w:spacing w:after="0"/>
              <w:rPr>
                <w:sz w:val="2"/>
                <w:szCs w:val="2"/>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31,931</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2,728</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34,659</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Merchandise</w:t>
            </w: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18,378</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1,953</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7"/>
        </w:trPr>
        <w:tc>
          <w:tcPr>
            <w:tcW w:w="58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8,546</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8,546</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Other revenue</w:t>
            </w: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2,198</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52,507</w:t>
            </w:r>
          </w:p>
        </w:tc>
        <w:tc>
          <w:tcPr>
            <w:tcW w:w="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15,245</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67,752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69"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5860" w:type="dxa"/>
            <w:vAlign w:val="bottom"/>
            <w:gridSpan w:val="2"/>
          </w:tcPr>
          <w:p>
            <w:pPr>
              <w:ind w:left="40"/>
              <w:spacing w:after="0"/>
              <w:rPr>
                <w:sz w:val="20"/>
                <w:szCs w:val="20"/>
                <w:color w:val="auto"/>
              </w:rPr>
            </w:pPr>
            <w:r>
              <w:rPr>
                <w:rFonts w:ascii="Arial" w:cs="Arial" w:eastAsia="Arial" w:hAnsi="Arial"/>
                <w:sz w:val="16"/>
                <w:szCs w:val="16"/>
                <w:b w:val="1"/>
                <w:bCs w:val="1"/>
                <w:color w:val="auto"/>
              </w:rPr>
              <w:t>Six months ended June 30, 2020</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Funeral</w:t>
            </w:r>
          </w:p>
        </w:tc>
        <w:tc>
          <w:tcPr>
            <w:tcW w:w="460" w:type="dxa"/>
            <w:vAlign w:val="bottom"/>
          </w:tcPr>
          <w:p>
            <w:pPr>
              <w:spacing w:after="0"/>
              <w:rPr>
                <w:sz w:val="2"/>
                <w:szCs w:val="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Cemetery</w:t>
            </w:r>
          </w:p>
        </w:tc>
        <w:tc>
          <w:tcPr>
            <w:tcW w:w="480" w:type="dxa"/>
            <w:vAlign w:val="bottom"/>
          </w:tcPr>
          <w:p>
            <w:pPr>
              <w:spacing w:after="0"/>
              <w:rPr>
                <w:sz w:val="2"/>
                <w:szCs w:val="2"/>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1"/>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73,212</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6,400</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79,612</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Merchandise</w:t>
            </w: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40,821</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4,798</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45,619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18,294</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18,294</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Other revenue</w:t>
            </w: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6,830</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4,612</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120,863</w:t>
            </w:r>
          </w:p>
        </w:tc>
        <w:tc>
          <w:tcPr>
            <w:tcW w:w="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34,104</w:t>
            </w:r>
          </w:p>
        </w:tc>
        <w:tc>
          <w:tcPr>
            <w:tcW w:w="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154,967</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Funeral</w:t>
            </w:r>
          </w:p>
        </w:tc>
        <w:tc>
          <w:tcPr>
            <w:tcW w:w="460" w:type="dxa"/>
            <w:vAlign w:val="bottom"/>
          </w:tcPr>
          <w:p>
            <w:pPr>
              <w:spacing w:after="0"/>
              <w:rPr>
                <w:sz w:val="2"/>
                <w:szCs w:val="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Cemetery</w:t>
            </w:r>
          </w:p>
        </w:tc>
        <w:tc>
          <w:tcPr>
            <w:tcW w:w="480" w:type="dxa"/>
            <w:vAlign w:val="bottom"/>
          </w:tcPr>
          <w:p>
            <w:pPr>
              <w:spacing w:after="0"/>
              <w:rPr>
                <w:sz w:val="2"/>
                <w:szCs w:val="2"/>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1"/>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65,908</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5,403</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71,311</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Merchandise</w:t>
            </w: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38,343</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3,731</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42,074</w:t>
            </w:r>
          </w:p>
        </w:tc>
        <w:tc>
          <w:tcPr>
            <w:tcW w:w="0" w:type="dxa"/>
            <w:vAlign w:val="bottom"/>
          </w:tcPr>
          <w:p>
            <w:pPr>
              <w:spacing w:after="0"/>
              <w:rPr>
                <w:sz w:val="1"/>
                <w:szCs w:val="1"/>
                <w:color w:val="auto"/>
              </w:rPr>
            </w:pPr>
          </w:p>
        </w:tc>
      </w:tr>
      <w:tr>
        <w:trPr>
          <w:trHeight w:val="27"/>
        </w:trPr>
        <w:tc>
          <w:tcPr>
            <w:tcW w:w="58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15,382</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Other revenue</w:t>
            </w: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4,419</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3,647</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108,670</w:t>
            </w:r>
          </w:p>
        </w:tc>
        <w:tc>
          <w:tcPr>
            <w:tcW w:w="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28,163</w:t>
            </w:r>
          </w:p>
        </w:tc>
        <w:tc>
          <w:tcPr>
            <w:tcW w:w="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136,833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conduct funeral and cemetery operations only in the United States. The following table presents Operating income (loss), Income (loss) before income taxes and Total assets by segment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ind w:left="480"/>
              <w:spacing w:after="0"/>
              <w:rPr>
                <w:sz w:val="20"/>
                <w:szCs w:val="20"/>
                <w:color w:val="auto"/>
              </w:rPr>
            </w:pPr>
            <w:r>
              <w:rPr>
                <w:rFonts w:ascii="Arial" w:cs="Arial" w:eastAsia="Arial" w:hAnsi="Arial"/>
                <w:sz w:val="14"/>
                <w:szCs w:val="14"/>
                <w:b w:val="1"/>
                <w:bCs w:val="1"/>
                <w:color w:val="auto"/>
              </w:rPr>
              <w:t>Funeral</w:t>
            </w:r>
          </w:p>
        </w:tc>
        <w:tc>
          <w:tcPr>
            <w:tcW w:w="42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Cemetery</w:t>
            </w:r>
          </w:p>
        </w:tc>
        <w:tc>
          <w:tcPr>
            <w:tcW w:w="420" w:type="dxa"/>
            <w:vAlign w:val="bottom"/>
          </w:tcPr>
          <w:p>
            <w:pPr>
              <w:spacing w:after="0"/>
              <w:rPr>
                <w:sz w:val="16"/>
                <w:szCs w:val="16"/>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Corporate</w:t>
            </w:r>
          </w:p>
        </w:tc>
        <w:tc>
          <w:tcPr>
            <w:tcW w:w="340" w:type="dxa"/>
            <w:vAlign w:val="bottom"/>
          </w:tcPr>
          <w:p>
            <w:pPr>
              <w:spacing w:after="0"/>
              <w:rPr>
                <w:sz w:val="16"/>
                <w:szCs w:val="16"/>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b w:val="1"/>
                <w:bCs w:val="1"/>
                <w:color w:val="auto"/>
              </w:rPr>
              <w:t>Consolidated</w:t>
            </w:r>
          </w:p>
        </w:tc>
      </w:tr>
      <w:tr>
        <w:trPr>
          <w:trHeight w:val="249"/>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Three months ended June 30, 2020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19,869</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5,291</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(6,894)</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18,266</w:t>
            </w:r>
          </w:p>
        </w:tc>
      </w:tr>
      <w:tr>
        <w:trPr>
          <w:trHeight w:val="27"/>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Three months ended June 30, 2019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4,626</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13,189</w:t>
            </w:r>
          </w:p>
        </w:tc>
      </w:tr>
      <w:tr>
        <w:trPr>
          <w:trHeight w:val="175"/>
        </w:trPr>
        <w:tc>
          <w:tcPr>
            <w:tcW w:w="4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Six months ended June 30, 2020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24,180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9,458</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20,416</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Six months ended June 30, 2019</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32,700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8,150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28,788</w:t>
            </w:r>
          </w:p>
        </w:tc>
      </w:tr>
      <w:tr>
        <w:trPr>
          <w:trHeight w:val="27"/>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Three months ended June 30, 2020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19,674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5,348</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9,846</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Three months ended June 30, 2019</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14,418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4,852</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7,008</w:t>
            </w:r>
          </w:p>
        </w:tc>
      </w:tr>
      <w:tr>
        <w:trPr>
          <w:trHeight w:val="27"/>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5"/>
        </w:trPr>
        <w:tc>
          <w:tcPr>
            <w:tcW w:w="4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Six months ended June 30, 2020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23,792</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9,453</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(29,746)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3,499</w:t>
            </w:r>
          </w:p>
        </w:tc>
      </w:tr>
      <w:tr>
        <w:trPr>
          <w:trHeight w:val="27"/>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Six months ended June 30, 2019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32,279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8,438</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16,209</w:t>
            </w:r>
          </w:p>
        </w:tc>
      </w:tr>
      <w:tr>
        <w:trPr>
          <w:trHeight w:val="243"/>
        </w:trPr>
        <w:tc>
          <w:tcPr>
            <w:tcW w:w="4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June 30, 2020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768,462</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341,522</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24,668</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1,134,652</w:t>
            </w:r>
          </w:p>
        </w:tc>
      </w:tr>
      <w:tr>
        <w:trPr>
          <w:trHeight w:val="27"/>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790,459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314,413</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24,883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1,129,755</w:t>
            </w:r>
          </w:p>
        </w:tc>
      </w:tr>
      <w:tr>
        <w:trPr>
          <w:trHeight w:val="648"/>
        </w:trPr>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312"/>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679" w:right="339" w:bottom="1440" w:gutter="0" w:footer="0" w:header="0"/>
        </w:sectPr>
      </w:pPr>
    </w:p>
    <w:bookmarkStart w:id="37" w:name="page38"/>
    <w:bookmarkEnd w:id="37"/>
    <w:p>
      <w:pPr>
        <w:ind w:left="880" w:hanging="872"/>
        <w:spacing w:after="0"/>
        <w:tabs>
          <w:tab w:leader="none" w:pos="8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certain balance sheet accounts as of December 31, 2019 and June 30,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1,596</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on pending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Federal income taxes receivable</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2,973</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prepaid and other current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10,667</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12,087</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debt and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Current portion of acquisition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finance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Current portion of operating lease obligations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portion of debt and lease obligations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Accrued salaries and wages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4,323</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incentive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9,199</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Accrued vacation</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2,880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ad valorem and franchise taxes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Employer payroll tax deferral</w:t>
            </w:r>
          </w:p>
        </w:tc>
        <w:tc>
          <w:tcPr>
            <w:tcW w:w="320" w:type="dxa"/>
            <w:vAlign w:val="bottom"/>
          </w:tcPr>
          <w:p>
            <w:pPr>
              <w:spacing w:after="0"/>
              <w:rPr>
                <w:sz w:val="21"/>
                <w:szCs w:val="21"/>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Perpetual care trust payable</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320" w:type="dxa"/>
            <w:vAlign w:val="bottom"/>
          </w:tcPr>
          <w:p>
            <w:pPr>
              <w:spacing w:after="0"/>
              <w:rPr>
                <w:sz w:val="21"/>
                <w:szCs w:val="21"/>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accrued and other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24,026</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23,267</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Incentive compensation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Total other long-term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1,737</w:t>
            </w:r>
          </w:p>
        </w:tc>
        <w:tc>
          <w:tcPr>
            <w:tcW w:w="2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19.</w:t>
            </w:r>
          </w:p>
        </w:tc>
        <w:tc>
          <w:tcPr>
            <w:tcW w:w="696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SUBSEQUENT EVENTS</w:t>
            </w: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240" w:type="dxa"/>
            <w:vAlign w:val="bottom"/>
            <w:vMerge w:val="continue"/>
          </w:tcPr>
          <w:p>
            <w:pPr>
              <w:spacing w:after="0"/>
              <w:rPr>
                <w:sz w:val="24"/>
                <w:szCs w:val="24"/>
                <w:color w:val="auto"/>
              </w:rPr>
            </w:pPr>
          </w:p>
        </w:tc>
        <w:tc>
          <w:tcPr>
            <w:tcW w:w="6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On July 2, 2020, we sold one funeral home business in Florida for $0.8 million.</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On July 10, 2020, we sold two funeral home businesses in Colorado for $3.2 million.</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960" w:type="dxa"/>
            <w:vAlign w:val="bottom"/>
          </w:tcPr>
          <w:p>
            <w:pPr>
              <w:ind w:left="518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In addition to historical information, this Quarterly Report on Form 10-Q contains certain statements and information that may constitute forward-looking statements within the safe harbor provisions of the Private Securities Litigation Reform Act of 1995. All statements, other than statements of historical information, should be deemed to be forward-looking statements. These statements include, but are not limited to, statements regarding any projections of earnings, revenue, asset sales, cash flow, debt levels or other financial items; any statements of the plans, strategies and objectives of management for future operations; any statements regarding future economic conditions or performance; any statements of belief; and any statements of assumptions underlying any of the foregoing and are based on our current expectations and beliefs concerning future developments and their potential effect on us. The words “may”, “will”, “estimate”, “intend”, “believe”, “expect”, “seek”, “project”, “forecast”, “foresee”, “should”, “would”, “could”, “plan”, “anticipate” and other similar words or expressions are intended to identify forward-looking statements, which are generally not historical in nature.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7"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execute our growth strategy;</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execution of our Standards Operating, 4E Leadership and Standard Acquisition Models;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number of deaths in our markets;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preneed sales;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investment performance of our funeral and cemetery trust funds;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 w:lineRule="exact"/>
        <w:rPr>
          <w:rFonts w:ascii="Arial" w:cs="Arial" w:eastAsia="Arial" w:hAnsi="Arial"/>
          <w:sz w:val="18"/>
          <w:szCs w:val="18"/>
          <w:color w:val="auto"/>
        </w:rPr>
      </w:pPr>
    </w:p>
    <w:p>
      <w:pPr>
        <w:ind w:left="540" w:right="20" w:hanging="316"/>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ind w:left="540" w:hanging="316"/>
        <w:spacing w:after="0" w:line="273"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meet the timing, objectives and cost saving expectations related to anticipated financing activities, including our deleveraging program, forecasts and planned uses of free cash flow, expected plans for refinancing our senior notes, and future capital allocation;</w:t>
      </w: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and full payment of death benefits related to preneed funeral contracts funded through life insurance contracts;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condition of third-party insurance companies that fund our preneed funeral contracts;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or unanticipated costs, such as insurance or taxes;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level of indebtedness and the cash required to service our indebtedness;</w:t>
      </w:r>
    </w:p>
    <w:p>
      <w:pPr>
        <w:spacing w:after="0" w:line="22" w:lineRule="exact"/>
        <w:rPr>
          <w:rFonts w:ascii="Arial" w:cs="Arial" w:eastAsia="Arial" w:hAnsi="Arial"/>
          <w:sz w:val="18"/>
          <w:szCs w:val="18"/>
          <w:color w:val="auto"/>
        </w:rPr>
      </w:pPr>
    </w:p>
    <w:p>
      <w:pPr>
        <w:ind w:left="540" w:hanging="316"/>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federal income tax laws and regulations and the implementation and interpretation of these laws and regulations by the Internal Revenue Service;</w:t>
      </w:r>
    </w:p>
    <w:p>
      <w:pPr>
        <w:ind w:left="540" w:hanging="316"/>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impact of epidemics and pandemics, including the COVID-19 coronavirus (“COVID-19”), on customer preferences and on our business;</w:t>
      </w: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effects of litigation and burial practice claims;</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effects of the application of other applicable laws and regulations, including changes in such regulations or the interpretation thereof;</w:t>
      </w:r>
    </w:p>
    <w:p>
      <w:pPr>
        <w:spacing w:after="0" w:line="22"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of the funeral and cemetery industry;</w:t>
      </w:r>
    </w:p>
    <w:p>
      <w:pPr>
        <w:spacing w:after="0" w:line="22" w:lineRule="exact"/>
        <w:rPr>
          <w:rFonts w:ascii="Arial" w:cs="Arial" w:eastAsia="Arial" w:hAnsi="Arial"/>
          <w:sz w:val="18"/>
          <w:szCs w:val="18"/>
          <w:color w:val="auto"/>
        </w:rPr>
      </w:pPr>
    </w:p>
    <w:p>
      <w:pPr>
        <w:ind w:left="540" w:hanging="316"/>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consummate the divestiture of low performing businesses as currently expected, if at all, including expected use of proceeds related thereto;</w:t>
      </w:r>
    </w:p>
    <w:p>
      <w:pPr>
        <w:ind w:left="540" w:hanging="316"/>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integrate acquired businesses with our existing businesses, including expected performance and financial improvements related thereto; and</w:t>
      </w: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and uncertainties inherent in the funeral and cemetery industry.</w:t>
      </w:r>
    </w:p>
    <w:p>
      <w:pPr>
        <w:spacing w:after="0" w:line="130" w:lineRule="exact"/>
        <w:rPr>
          <w:sz w:val="20"/>
          <w:szCs w:val="20"/>
          <w:color w:val="auto"/>
        </w:rPr>
      </w:pPr>
    </w:p>
    <w:p>
      <w:pPr>
        <w:jc w:val="both"/>
        <w:ind w:left="60" w:firstLine="405"/>
        <w:spacing w:after="0" w:line="263" w:lineRule="auto"/>
        <w:rPr>
          <w:sz w:val="20"/>
          <w:szCs w:val="20"/>
          <w:color w:val="auto"/>
        </w:rPr>
      </w:pPr>
      <w:r>
        <w:rPr>
          <w:rFonts w:ascii="Arial" w:cs="Arial" w:eastAsia="Arial" w:hAnsi="Arial"/>
          <w:sz w:val="18"/>
          <w:szCs w:val="18"/>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2019.</w:t>
      </w:r>
    </w:p>
    <w:p>
      <w:pPr>
        <w:spacing w:after="0" w:line="76" w:lineRule="exact"/>
        <w:rPr>
          <w:sz w:val="20"/>
          <w:szCs w:val="20"/>
          <w:color w:val="auto"/>
        </w:rPr>
      </w:pPr>
    </w:p>
    <w:p>
      <w:pPr>
        <w:jc w:val="both"/>
        <w:ind w:left="60" w:firstLine="405"/>
        <w:spacing w:after="0" w:line="263" w:lineRule="auto"/>
        <w:rPr>
          <w:sz w:val="20"/>
          <w:szCs w:val="20"/>
          <w:color w:val="auto"/>
        </w:rPr>
      </w:pPr>
      <w:r>
        <w:rPr>
          <w:rFonts w:ascii="Arial" w:cs="Arial" w:eastAsia="Arial" w:hAnsi="Arial"/>
          <w:sz w:val="18"/>
          <w:szCs w:val="18"/>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15" w:right="33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Carriage Services, Inc. (“Carriage,” the “Company,” “we,” “us,” or “our”) was incorporated in the State of Delaware in December 1993 and is a leading U.S. provider of funeral and cemetery services and merchandise. We operate in two business segments: Funeral Home Operations, which currently account for approximately 80% of our revenue, and Cemetery Operations, which currently account for approximately 20% of our revenue.</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June 30, 2020, we operated 186 funeral homes in 29 states and 32 cemeteries in 11 states. We compete with other publicly held and independent operators of funeral and cemetery companies. We believe we are a market leader in most of our markets.</w:t>
      </w:r>
    </w:p>
    <w:p>
      <w:pPr>
        <w:spacing w:after="0" w:line="62"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May 18, 2020, we received a waiver under our Credit Facility for the failure to comply with the Total Leverage Ratio covenant for the fiscal quarter ended March 31, 2020. In connection with the waiver, the Credit Facility was also amended to increase the interest rate margin applicable to borrowings by up to 0.625% at each pricing level based on the Total Leverage Ratio. We are in compliance with the total leverage ratio, fixed charge coverage ratio and senior secured leverage ratio covenants contained in our Credit Facility as of June 30, 2020.</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Dividend Increase</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May 19, 2020, the Board of Directors (the “Board”) approved an increase of $0.05 to our annual dividend beginning with the next dividend declaration in the third quarter. The annual dividend is now $0.35 per share.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Awards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May 19, 2020, we cancelled all the Performance Awards previously awarded to all individuals in 2019 and 2020 and the Compensation Committee of the Board approved a new Performance Award Agreement (the “New Agreement”) for certain eligible employees. Pursuant to the New Agreement, the target share awards for each of the eligible employees will vest on December 31, 2024 if the Company’s common stock reaches one of five pre-determined growth targets for a sustained period beginning on the grant date of May 19, 2020 and ending on December 31, 2024.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Executive Leadership Changes</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On June 25, 2020, William W. Goetz resigned as President and Chief Operating Officer effective June 26, 2020. Mr. Goetz further agreed to resign from his position as a director on the Board, also effective as of June 26, 2020. The resignation was not the result of any disagreement Mr. Goetz had with the Company on any matter relating to the Company’s operations, policies, and practices.</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June 25, 2020, Carlos Quezada joined the Company as Vice President of Cemetery Sales and Marketing. His primary responsibilities include building High Performance sales teams and standardized sales systems across our portfolio of cemetery businesses. Prior to joining Carriage, Mr. Quezada was a Managing Director for another publicly traded deathcare company. He also has held prior leadership roles in sales and operations in the deathcare and hospitality industries.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Executive Management reduction in base salaries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19, 2020, the Company initiated measures to address potential future challenges from the COVID-19 pandemic. These measures included cost reduction efforts, including, among other things, a temporary reduction in the base salaries for the Company’s executive officers. The Compensation Committee of the Board approved the temporary reductions in compensation.</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June 26, 2020, the Compensation Committee of the Board voted to reinstate the 2020 annual base salaries for the executive officers back to 100% due to the Company’s performance. The reinstatement of 2020 annual base salaries is effective as of June 28, 2020. The annual base salary reductions for the Company’s executive officers from April 19, 2020 through June 27, 2020 have been treated as a temporary pay cut, and the lost wages from that time period will not be paid.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99" w:right="33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i w:val="1"/>
          <w:iCs w:val="1"/>
          <w:color w:val="auto"/>
        </w:rPr>
        <w:t>Board of Directors reduction in retainer fees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April 23, 2020, the Board approved a temporary reduction of the quarterly retainer for our non-employee directors from $35,000 per quarter to $29,750 per quarter (or 15%) effective April 19, 2020.</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June 26, 2020, the Board voted to reinstate the compensation fees back to 100%, effective as of June 28, 2020.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Impact under the Macroeconomic Environment of COVID-19</w:t>
      </w:r>
    </w:p>
    <w:p>
      <w:pPr>
        <w:spacing w:after="0" w:line="11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March 11, 2020, COVID-19 was deemed a global pandemic and since then, the Company has continued to proactively monitor and assess the pandemic’s current and potential impact to the Company’s operations. Since early March, the Company’s senior leadership team has taken certain steps to assist our businesses in appropriately adjusting and adapting to the conditions resulting from the COVID-19 pandemic. Our businesses have been designated as essential services and, therefore, each one of the Company’s business locations remains open and ready to provide service to their communities in this time of need. While our businesses provide an essential public function, along with a critical responsibility to the communities and families they serve, the health and safety of our employees and the families we serve remain our top priority. The Company has taken additional steps during this time to continually review and update our processes and procedures to comply with all regulatory mandates and procure additional supplies to ensure that each of our businesses have appropriate personal protective equipment to provide these essential services. Additionally, in many of our business locations, we have also updated staffing and service guidelines, such as reducing the number of team members present for a service, restricting the size and number of attendees and adjusting other operating procedures. The Company has also implemented additional safety and precautionary measures as it concerns our businesses’ day-to-day interaction with the families and communities they serve.</w:t>
      </w:r>
    </w:p>
    <w:p>
      <w:pPr>
        <w:spacing w:after="0" w:line="6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overall impact of the macroeconomic environment to the deathcare industry from COVID-19 may provide varying results as compared to other industries. Our industry’s revenues are impacted by various factors, including the number of funeral services performed, the average price for a service and the mix of traditional burial versus cremation contracts. Changes in the macroeconomic environment as a result of the pandemic may not necessarily impact volume, but could create situations where people choose to spend less on funerals by purchasing less expensive caskets, minimize the scale of services and visitations, or elect not to make a preneed funeral or cemetery arrangement. During this time, our businesses have been focused on being innovative and resourceful, providing some type of immediate service as part of the grieving process. Gathering and travel restrictions across many areas of the country have limited our ability to provide large, in-person memorialization services and we have seen client families elect webcasting and livestreaming services, hold services with smaller attendance or rotating visitors, or in some cases, choose to delay services to a future date. We have also offered various incentives to our customers and sales counselors to continue to foster sales in our cemeteries.</w:t>
      </w:r>
    </w:p>
    <w:p>
      <w:pPr>
        <w:spacing w:after="0" w:line="5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Within our financial reporting environment, we have considered various areas that could affect the results of our operations, though the scope, severity and duration of these impacts remain uncertain at this time because the COVID-19 pandemic is continually evolving and the ultimate impact of COVID-19 remains uncertain. Certain estimates inherently involve assumptions about future events and annual results, making reliable estimates for those matters challenging in periods of economic instability. We do not believe we are vulnerable to certain concentrations, whether by geographic area, revenue for specific products or our relationships with our vendors. Our relationships with our vendors and suppliers have remained consistent and we continue to receive utmost service. Remote working arrangements have not adversely affected our ability to maintain and support operations, including financial reporting systems, internal controls over financial reporting, and disclosure controls and procedures.</w:t>
      </w:r>
    </w:p>
    <w:p>
      <w:pPr>
        <w:spacing w:after="0" w:line="6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believe our access to capital, the cost of our capital, or the sources and uses of our cash should be relatively consistent in the near term, but given the unprecedented nature of COVID-19, we also believe, it is prudent for us to take a broad-based approach to ensuring we maintain financial flexibility throughout the expected duration of the pandemic. We have, as part of a larger plan, taken steps to reduce overall expenses throughout the rest of 2020. For example, discretionary spending, such as growth capital expenditures (primarily cemetery inventory development) will be tightly managed and minimized during this time. Moreover, our executive officers and non-employee directors voluntarily agreed to temporary reductions in salary compensation from April 19, 2020 through June 28, 2020 (see above herein). While the expected duration of the pandemic is unknown, we have not currently experienced any material impacts to our liquidity position, access to capital, or cash flows as a result of COVID-19. See Liquidity within Item 2, Management’s Discussion and Analysis of Financial Condition and Results of Operations, for additional information related to our liquidity position.</w:t>
      </w:r>
    </w:p>
    <w:p>
      <w:pPr>
        <w:spacing w:after="0" w:line="5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have also applied certain measures of the Coronavirus Aid, Relief, and Economic Security Act (the “CARES Act”), which was enacted on March 27, 2020, which we anticipate should provide a cash benefit in the form of a tax payment refund, tax credits related to employee retention, cash deferral for the employer portion of the Social Security tax and anticipated minimal cash taxes for 2020. Although we expect to take advantage of certain tax relief provisions of the CARES Act, we do not believe it will have a significant impact on our short-term or long-term liquidity position. See Item 1, Financial Statements and Supplementary Data, Note 1 for additional information related to the CARES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584" w:right="339" w:bottom="1440" w:gutter="0" w:footer="0" w:header="0"/>
        </w:sectPr>
      </w:pPr>
    </w:p>
    <w:bookmarkStart w:id="41" w:name="page42"/>
    <w:bookmarkEnd w:id="41"/>
    <w:p>
      <w:pPr>
        <w:jc w:val="both"/>
        <w:ind w:firstLine="432"/>
        <w:spacing w:after="0" w:line="259" w:lineRule="auto"/>
        <w:rPr>
          <w:sz w:val="20"/>
          <w:szCs w:val="20"/>
          <w:color w:val="auto"/>
        </w:rPr>
      </w:pPr>
      <w:r>
        <w:rPr>
          <w:rFonts w:ascii="Arial" w:cs="Arial" w:eastAsia="Arial" w:hAnsi="Arial"/>
          <w:sz w:val="18"/>
          <w:szCs w:val="18"/>
          <w:color w:val="auto"/>
        </w:rPr>
        <w:t>The COVID-19 pandemic, and related gathering restrictions issued by state and local officials, did impact, while not material, aspects of our financial results in the second quarter and year to date, including revenue, volume, preneed cemetery sales, and average revenue per contract. We will continue to assess these impacts and implement appropriate procedures, plans, strategy, and issue any disclosures that may be required, as the situation surrounding the pandemic and related gathering restrictions evolves.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Funeral Home Operations</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Operations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business strategy is based on strong, local leadership with entrepreneurial principles that is focused on sustainable long-term market share, revenue, and profitability growth in each local business. We believe Carriage has the most innovative operating model in the funeral and cemetery industry, which we are able to achieve through a decentralized, high-performance culture and operating framework linked with incentive compensation programs that attract top-quality talent to our organization.</w:t>
      </w:r>
    </w:p>
    <w:p>
      <w:pPr>
        <w:spacing w:after="0" w:line="7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states that “we are committed to being the most professional, ethical and highest quality funeral and cemetery service organization in our industry” and our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state our core values, which are comprised of:</w:t>
      </w:r>
    </w:p>
    <w:p>
      <w:pPr>
        <w:spacing w:after="0" w:line="4" w:lineRule="exact"/>
        <w:rPr>
          <w:sz w:val="20"/>
          <w:szCs w:val="20"/>
          <w:color w:val="auto"/>
        </w:rPr>
      </w:pPr>
    </w:p>
    <w:p>
      <w:pPr>
        <w:ind w:left="1220" w:hanging="64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Honesty, Integrity and Quality in All That We Do</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Hard work, Pride of Accomplishment, and Shared Success Through Employee Ownership</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Belief in the Power of People Through Individual Initiative and Teamwork</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Outstanding Service and Profitability Go Hand-in-Hand</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Growth of the Company Is Driven by Decentralization and Partnership</w:t>
      </w:r>
    </w:p>
    <w:p>
      <w:pPr>
        <w:spacing w:after="0" w:line="167" w:lineRule="exact"/>
        <w:rPr>
          <w:sz w:val="20"/>
          <w:szCs w:val="20"/>
          <w:color w:val="auto"/>
        </w:rPr>
      </w:pPr>
    </w:p>
    <w:p>
      <w:pPr>
        <w:ind w:left="60" w:right="80" w:firstLine="405"/>
        <w:spacing w:after="0" w:line="282" w:lineRule="auto"/>
        <w:rPr>
          <w:sz w:val="20"/>
          <w:szCs w:val="20"/>
          <w:color w:val="auto"/>
        </w:rPr>
      </w:pPr>
      <w:r>
        <w:rPr>
          <w:rFonts w:ascii="Arial" w:cs="Arial" w:eastAsia="Arial" w:hAnsi="Arial"/>
          <w:sz w:val="18"/>
          <w:szCs w:val="18"/>
          <w:color w:val="auto"/>
        </w:rPr>
        <w:t xml:space="preserve">Our five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collectively embody our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high-performance culture, operating framework. Our operations and business strategy are built upon the execution of the following three models:</w:t>
      </w:r>
    </w:p>
    <w:p>
      <w:pPr>
        <w:spacing w:after="0" w:line="4" w:lineRule="exact"/>
        <w:rPr>
          <w:sz w:val="20"/>
          <w:szCs w:val="20"/>
          <w:color w:val="auto"/>
        </w:rPr>
      </w:pPr>
    </w:p>
    <w:p>
      <w:pPr>
        <w:ind w:left="1220" w:hanging="64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Standards Operating Model</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4E Leadership Model</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Acquisition Model</w:t>
      </w:r>
    </w:p>
    <w:p>
      <w:pPr>
        <w:spacing w:after="0" w:line="3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belief in our Mission Statement and Guiding Principles that define us and proper execution of the following three models that define our strategy, have given us the competitive advantage in any market in which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Standards Operating Model</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611"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earnings because we believe such performance is unsustainable and will ultimately stress the business, which very often leads to declining market share, revenue and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4E Leadership Model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4E Leadership Model requires strong local leadership in each business to grow an entrepreneurial, decentralized, high-value, personal service and sales business at sustainable profit margins. Our 4E Leadership Model is based upon principles established by the late Jack Welch during his tenure at General Electric, and is based upon 4E qualities essential to succeed in a high-performance culture: Energy to get the job done; the ability to Energize others; the Edge necessary to make difficult decisions; and the ability to Execute and produce results. To achieve a high level within our Standards in a business year after year, we require local Managing Partners that have the 4E Leadership skills to entrepreneurially grow the business by hiring, training and developing highly motivated and productive local teams.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 Model</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primary sources of liquidity and capital resources are internally generated cash flows from operating activities and availability under our Credit Facility.</w:t>
      </w:r>
    </w:p>
    <w:p>
      <w:pPr>
        <w:spacing w:after="0" w:line="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generate cash in our operations primarily from atneed sales and delivery of preneed sales. We also generate cash from earnings on our cemetery perpetual care trusts. Based on our recent operating results, current cash position, steps taken to reduce overall expenses throughout the rest of 2020, and anticipated future cash flows, we do not anticipate any significant liquidity constraints in the foreseeable future. However, if our capital expenditures, acquisition or divestiture plans, or business impacts from the pandemic change, we may need to access the capital markets to obtain additional funding.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(i) Part II, Item 1A “Risk Factors” in this Quarterly Report on Form 10-Q and (ii) Part I, Item 1A “Risk Factors” in our Annual Report on Form 10-K for the year ended December 31, 2019.</w:t>
      </w:r>
    </w:p>
    <w:p>
      <w:pPr>
        <w:spacing w:after="0" w:line="4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plan is to remain focused on integrating our newly acquired businesses and to use cash on hand and borrowings under our Credit Facility primarily for general corporate purposes and for payment of dividends and our debt obligations. Discretionary spending, such as internal growth projects and expenditures (primarily cemetery inventory development, along with funeral home expansion projects) will be tightly managed and minimized during the remainder of 2020. We also expect increased divestiture activity for the next 12-18 months which we anticipate will yield approximately $15 million of additional cash from the proceeds of the sale. From time to time we may also use available cash resources (including borrowings under our Credit Facility) to, subject to satisfying certain financial covenants in our Credit Facility, repurchase shares of our common stock and our remaining 2.75% convertible subordinated notes due 2021 (“Convertible Notes”) in open market or privately negotiated transactions. We have the ability to draw on our Credit Facility, subject to its customary terms and conditions.</w:t>
      </w:r>
    </w:p>
    <w:p>
      <w:pPr>
        <w:spacing w:after="0" w:line="4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of June 30, 2020, we have net unrealized losses of $10.8 million in our trusts. At June 30, 2020, these net unrealized losses represented 4% of our original cost basis of $242.1 million. The decline in fair value is largely due to changes in interest rates and other market conditions as a result of COVID-</w:t>
      </w:r>
    </w:p>
    <w:p>
      <w:pPr>
        <w:jc w:val="both"/>
        <w:ind w:firstLine="8"/>
        <w:spacing w:after="0" w:line="302" w:lineRule="auto"/>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Our investments are diversified across multiple industry segments using a balanced allocation strategy to minimize long-term risk. In addition, we do not intend to sell and it is likely that we will not be required to sell the securities prior to their anticipated recovery. Changes in unrealized gains and/or losses related to these securities are reflected in Other comprehensive income and offset by the </w:t>
      </w:r>
      <w:r>
        <w:rPr>
          <w:rFonts w:ascii="Arial" w:cs="Arial" w:eastAsia="Arial" w:hAnsi="Arial"/>
          <w:sz w:val="16"/>
          <w:szCs w:val="16"/>
          <w:i w:val="1"/>
          <w:iCs w:val="1"/>
          <w:color w:val="auto"/>
        </w:rPr>
        <w:t>Deferred preneed funeral and cemetery receipts held in</w:t>
      </w:r>
    </w:p>
    <w:p>
      <w:pPr>
        <w:spacing w:after="0" w:line="155" w:lineRule="exact"/>
        <w:rPr>
          <w:rFonts w:ascii="Arial" w:cs="Arial" w:eastAsia="Arial" w:hAnsi="Arial"/>
          <w:sz w:val="16"/>
          <w:szCs w:val="16"/>
          <w:color w:val="auto"/>
        </w:rPr>
      </w:pPr>
    </w:p>
    <w:p>
      <w:pPr>
        <w:ind w:left="5540" w:hanging="111"/>
        <w:spacing w:after="0"/>
        <w:tabs>
          <w:tab w:leader="none" w:pos="5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240"/>
          </w:cols>
          <w:pgMar w:left="320" w:top="611"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i w:val="1"/>
          <w:iCs w:val="1"/>
          <w:color w:val="auto"/>
        </w:rPr>
        <w:t xml:space="preserve">trust </w:t>
      </w:r>
      <w:r>
        <w:rPr>
          <w:rFonts w:ascii="Arial" w:cs="Arial" w:eastAsia="Arial" w:hAnsi="Arial"/>
          <w:sz w:val="18"/>
          <w:szCs w:val="18"/>
          <w:color w:val="auto"/>
        </w:rPr>
        <w:t>and</w:t>
      </w:r>
      <w:r>
        <w:rPr>
          <w:rFonts w:ascii="Arial" w:cs="Arial" w:eastAsia="Arial" w:hAnsi="Arial"/>
          <w:sz w:val="18"/>
          <w:szCs w:val="18"/>
          <w:i w:val="1"/>
          <w:iCs w:val="1"/>
          <w:color w:val="auto"/>
        </w:rPr>
        <w:t xml:space="preserve"> Care trusts’ corpus </w:t>
      </w:r>
      <w:r>
        <w:rPr>
          <w:rFonts w:ascii="Arial" w:cs="Arial" w:eastAsia="Arial" w:hAnsi="Arial"/>
          <w:sz w:val="18"/>
          <w:szCs w:val="18"/>
          <w:color w:val="auto"/>
        </w:rPr>
        <w:t>interests in those unrealized gains and/or losses. There is no impact on earnings until such time that the loss is realized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trusts, allocated to the preneed contracts and the services are performed or the merchandise is delivered, causing the contract to be withdrawn from the trust in accordance with state regulations.</w:t>
      </w:r>
    </w:p>
    <w:p>
      <w:pPr>
        <w:spacing w:after="0" w:line="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5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In light of recent developments relating to COVID-19, we believe that our existing and anticipated cash resources will be sufficient to meet our anticipated working capital requirements, capital expenditures, scheduled debt payments, commitments and dividends for the next 12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began 2020 with $0.7 million in cash and other liquid investments and ended the second quarter with $0.7 million. As of June 30, 2020, we had borrowings of $89.7 million outstanding on our Credit Facility compared to $83.8 million as of December 31, 2019.</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elements of cash flow for the six months ended June 30, 2019 and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8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r>
      <w:tr>
        <w:trPr>
          <w:trHeight w:val="189"/>
        </w:trPr>
        <w:tc>
          <w:tcPr>
            <w:tcW w:w="8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31,001</w:t>
            </w:r>
          </w:p>
        </w:tc>
      </w:tr>
      <w:tr>
        <w:trPr>
          <w:trHeight w:val="189"/>
        </w:trPr>
        <w:tc>
          <w:tcPr>
            <w:tcW w:w="8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proceeds from the sale of other assets</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(8,554)</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(33,719)</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8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borrowings (payments) on our Credit Facility, acquisition debt and finance lease obligations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5,221</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of the Convertibles Notes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Payment of debt issuance costs related to the Senior Notes</w:t>
            </w:r>
          </w:p>
        </w:tc>
        <w:tc>
          <w:tcPr>
            <w:tcW w:w="40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employee equity plans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Dividends paid on common stock</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financing costs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r>
      <w:tr>
        <w:trPr>
          <w:trHeight w:val="189"/>
        </w:trPr>
        <w:tc>
          <w:tcPr>
            <w:tcW w:w="8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8"/>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the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six months ended June 30, 2020, cash provided by operating activities was $31.0 million compared to $21.9 million for the six months ended June 30, 2019. The increase of $9.1 million is a reflection of the resilient cash generating ability of our portfolio of high-quality funeral home and cemetery operations. Our operating income (excluding the non-cash $14.7 million impairment charge of goodwill and tradenames recorded in the first quarter) increased $6.3 million in addition to other favorable working capital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investing activities, resulted in a net cash outflow of $33.7 million for the six months ended June 30, 2020 compared to $8.6 million for the six months ended June 30, 2019, an increase of $25.1 million.</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six months ended June 30, 2020, we acquired a funeral home and cemetery combination business in Lafayette, California for $33.0 million in cash, of which $5.0 million was deposited in escrow in 2019 and $28.0 million was paid at closing in 2020. We also paid an additional $0.2 million for our acquisition of the cemetery business in Fairfax, Virginia to reimburse the sellers for certain incremental taxes resulting from the 338(h)(10) election under the Internal Revenue Code, which was offset by the receipt of $0.2 million in cash related to the sellers closing all operating bank accounts in place prior to the acquisition.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84" w:right="339" w:bottom="1440" w:gutter="0" w:footer="0" w:header="0"/>
        </w:sectPr>
      </w:pPr>
    </w:p>
    <w:bookmarkStart w:id="44" w:name="page45"/>
    <w:bookmarkEnd w:id="44"/>
    <w:p>
      <w:pPr>
        <w:jc w:val="both"/>
        <w:ind w:firstLine="432"/>
        <w:spacing w:after="0" w:line="277" w:lineRule="auto"/>
        <w:rPr>
          <w:sz w:val="20"/>
          <w:szCs w:val="20"/>
          <w:color w:val="auto"/>
        </w:rPr>
      </w:pPr>
      <w:r>
        <w:rPr>
          <w:rFonts w:ascii="Arial" w:cs="Arial" w:eastAsia="Arial" w:hAnsi="Arial"/>
          <w:sz w:val="18"/>
          <w:szCs w:val="18"/>
          <w:color w:val="auto"/>
        </w:rPr>
        <w:t>For the six months ended June 30, 2020, capital expenditures totaled $5.8 million compared to $8.7 million for the six months ended June 30, 2019, a decrease of $2.9 million. The following tables present our growth and maintenance capital expenditures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Six months ended 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Growth</w:t>
            </w: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Cemetery development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2,673</w:t>
            </w:r>
          </w:p>
        </w:tc>
        <w:tc>
          <w:tcPr>
            <w:tcW w:w="22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Renovations at certain businesses</w:t>
            </w: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Live streaming equipment</w:t>
            </w:r>
          </w:p>
        </w:tc>
        <w:tc>
          <w:tcPr>
            <w:tcW w:w="5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growth expenditures</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4,479</w:t>
            </w:r>
          </w:p>
        </w:tc>
        <w:tc>
          <w:tcPr>
            <w:tcW w:w="22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Maintenance</w:t>
            </w: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repairs and improvements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Vehicles</w:t>
            </w:r>
          </w:p>
        </w:tc>
        <w:tc>
          <w:tcPr>
            <w:tcW w:w="5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equipment and furniture</w:t>
            </w: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1,545</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Paving roads and parking lots</w:t>
            </w:r>
          </w:p>
        </w:tc>
        <w:tc>
          <w:tcPr>
            <w:tcW w:w="5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maintenance expenditures</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4,175</w:t>
            </w:r>
          </w:p>
        </w:tc>
        <w:tc>
          <w:tcPr>
            <w:tcW w:w="22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44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capital expenditures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8,654</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i w:val="1"/>
                <w:iCs w:val="1"/>
                <w:color w:val="auto"/>
              </w:rPr>
              <w:t>Financing Activities</w:t>
            </w: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Our financing activities resulted in a net cash inflow of $2.7 million for the six months ended June 30, 2020 compared to a net cash outflow of $13.3 million for the six months ended June 30, 2019, an increase of $16.0 million. During the six months ended June 30, 2020, we had net borrowings on our Credit Facility of $5.9 million and payments on our acquisition debt and finance leases of $0.7 million and paid $2.7 million in dividends.</w:t>
      </w:r>
    </w:p>
    <w:p>
      <w:pPr>
        <w:spacing w:after="0" w:line="4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six months ended June 30, 2019, we had net payments on our Credit Facility of $2.5 million, payments on our acquisition debt and finance leases of $0.9 million, we paid $2.7 million in dividends and repurchased treasury stock for $7.8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2019 and 2020, our Board declared the following dividends payable on the dates below (in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7800"/>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1260" w:type="dxa"/>
            <w:vAlign w:val="bottom"/>
          </w:tcPr>
          <w:p>
            <w:pPr>
              <w:jc w:val="right"/>
              <w:ind w:right="336"/>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3"/>
        </w:trPr>
        <w:tc>
          <w:tcPr>
            <w:tcW w:w="8100" w:type="dxa"/>
            <w:vAlign w:val="bottom"/>
            <w:gridSpan w:val="3"/>
            <w:shd w:val="clear" w:color="auto" w:fill="CCEEFF"/>
          </w:tcPr>
          <w:p>
            <w:pPr>
              <w:ind w:left="40"/>
              <w:spacing w:after="0" w:line="263" w:lineRule="exact"/>
              <w:rPr>
                <w:sz w:val="20"/>
                <w:szCs w:val="20"/>
                <w:color w:val="auto"/>
              </w:rPr>
            </w:pPr>
            <w:r>
              <w:rPr>
                <w:rFonts w:ascii="Arial" w:cs="Arial" w:eastAsia="Arial" w:hAnsi="Arial"/>
                <w:sz w:val="18"/>
                <w:szCs w:val="18"/>
                <w:color w:val="auto"/>
              </w:rPr>
              <w:t>March 1</w:t>
            </w:r>
            <w:r>
              <w:rPr>
                <w:rFonts w:ascii="Arial" w:cs="Arial" w:eastAsia="Arial" w:hAnsi="Arial"/>
                <w:sz w:val="25"/>
                <w:szCs w:val="25"/>
                <w:color w:val="auto"/>
                <w:vertAlign w:val="superscript"/>
              </w:rPr>
              <w:t>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0.075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1,360</w:t>
            </w:r>
          </w:p>
        </w:tc>
      </w:tr>
      <w:tr>
        <w:trPr>
          <w:trHeight w:val="341"/>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June 1</w:t>
            </w:r>
            <w:r>
              <w:rPr>
                <w:rFonts w:ascii="Arial" w:cs="Arial" w:eastAsia="Arial" w:hAnsi="Arial"/>
                <w:sz w:val="25"/>
                <w:szCs w:val="25"/>
                <w:color w:val="auto"/>
                <w:vertAlign w:val="superscript"/>
              </w:rPr>
              <w:t>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0.075</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1,365</w:t>
            </w:r>
          </w:p>
        </w:tc>
      </w:tr>
      <w:tr>
        <w:trPr>
          <w:trHeight w:val="293"/>
        </w:trPr>
        <w:tc>
          <w:tcPr>
            <w:tcW w:w="8100" w:type="dxa"/>
            <w:vAlign w:val="bottom"/>
            <w:gridSpan w:val="3"/>
          </w:tcPr>
          <w:p>
            <w:pPr>
              <w:ind w:left="7800"/>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24"/>
                <w:szCs w:val="24"/>
                <w:color w:val="auto"/>
              </w:rPr>
            </w:pPr>
          </w:p>
        </w:tc>
        <w:tc>
          <w:tcPr>
            <w:tcW w:w="1260" w:type="dxa"/>
            <w:vAlign w:val="bottom"/>
          </w:tcPr>
          <w:p>
            <w:pPr>
              <w:jc w:val="right"/>
              <w:ind w:right="336"/>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3"/>
        </w:trPr>
        <w:tc>
          <w:tcPr>
            <w:tcW w:w="8100" w:type="dxa"/>
            <w:vAlign w:val="bottom"/>
            <w:gridSpan w:val="3"/>
            <w:shd w:val="clear" w:color="auto" w:fill="CCEEFF"/>
          </w:tcPr>
          <w:p>
            <w:pPr>
              <w:ind w:left="40"/>
              <w:spacing w:after="0" w:line="263" w:lineRule="exact"/>
              <w:rPr>
                <w:sz w:val="20"/>
                <w:szCs w:val="20"/>
                <w:color w:val="auto"/>
              </w:rPr>
            </w:pPr>
            <w:r>
              <w:rPr>
                <w:rFonts w:ascii="Arial" w:cs="Arial" w:eastAsia="Arial" w:hAnsi="Arial"/>
                <w:sz w:val="18"/>
                <w:szCs w:val="18"/>
                <w:color w:val="auto"/>
              </w:rPr>
              <w:t>March 1</w:t>
            </w:r>
            <w:r>
              <w:rPr>
                <w:rFonts w:ascii="Arial" w:cs="Arial" w:eastAsia="Arial" w:hAnsi="Arial"/>
                <w:sz w:val="25"/>
                <w:szCs w:val="25"/>
                <w:color w:val="auto"/>
                <w:vertAlign w:val="superscript"/>
              </w:rPr>
              <w:t>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0.075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1,339</w:t>
            </w:r>
          </w:p>
        </w:tc>
      </w:tr>
      <w:tr>
        <w:trPr>
          <w:trHeight w:val="341"/>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June 1</w:t>
            </w:r>
            <w:r>
              <w:rPr>
                <w:rFonts w:ascii="Arial" w:cs="Arial" w:eastAsia="Arial" w:hAnsi="Arial"/>
                <w:sz w:val="25"/>
                <w:szCs w:val="25"/>
                <w:color w:val="auto"/>
                <w:vertAlign w:val="superscript"/>
              </w:rPr>
              <w:t>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0.075</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1,343</w:t>
            </w:r>
          </w:p>
        </w:tc>
      </w:tr>
    </w:tbl>
    <w:p>
      <w:pPr>
        <w:spacing w:after="0" w:line="22" w:lineRule="exact"/>
        <w:rPr>
          <w:sz w:val="20"/>
          <w:szCs w:val="20"/>
          <w:color w:val="auto"/>
        </w:rPr>
      </w:pPr>
    </w:p>
    <w:p>
      <w:pPr>
        <w:ind w:right="200" w:firstLine="405"/>
        <w:spacing w:after="0" w:line="465" w:lineRule="auto"/>
        <w:rPr>
          <w:sz w:val="20"/>
          <w:szCs w:val="20"/>
          <w:color w:val="auto"/>
        </w:rPr>
      </w:pPr>
      <w:r>
        <w:rPr>
          <w:rFonts w:ascii="Arial" w:cs="Arial" w:eastAsia="Arial" w:hAnsi="Arial"/>
          <w:sz w:val="18"/>
          <w:szCs w:val="18"/>
          <w:color w:val="auto"/>
        </w:rPr>
        <w:t xml:space="preserve">On May 19, 2020, the Board approved an increase of $0.05 to our annual dividend beginning with the next dividend declaration in the third quarter. </w:t>
      </w:r>
      <w:r>
        <w:rPr>
          <w:rFonts w:ascii="Arial" w:cs="Arial" w:eastAsia="Arial" w:hAnsi="Arial"/>
          <w:sz w:val="18"/>
          <w:szCs w:val="18"/>
          <w:i w:val="1"/>
          <w:iCs w:val="1"/>
          <w:color w:val="auto"/>
        </w:rPr>
        <w:t>Share Repurchases</w:t>
      </w:r>
    </w:p>
    <w:p>
      <w:pPr>
        <w:spacing w:after="0" w:line="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six months ended June 30, 2020, we did not repurchase any shares of common stock pursuant to our share repurchase program. At June 30, 2020, we had approximately $25.6 million available for repurchases under our share repurchase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61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Credit Facility, Lease Obligations and Acquisition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outstanding principal of our Credit Facility, lease obligations and acquisition debt at June 30, 2020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9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89,700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5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6,002</w:t>
            </w:r>
          </w:p>
        </w:tc>
      </w:tr>
      <w:tr>
        <w:trPr>
          <w:trHeight w:val="27"/>
        </w:trPr>
        <w:tc>
          <w:tcPr>
            <w:tcW w:w="9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22,591</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Acquisition debt</w:t>
            </w:r>
          </w:p>
        </w:tc>
        <w:tc>
          <w:tcPr>
            <w:tcW w:w="5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6,427</w:t>
            </w:r>
          </w:p>
        </w:tc>
      </w:tr>
      <w:tr>
        <w:trPr>
          <w:trHeight w:val="27"/>
        </w:trPr>
        <w:tc>
          <w:tcPr>
            <w:tcW w:w="9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8"/>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124,720</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30, 2020, our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Facility is secured by a first-priority perfected security interest in and lien on substantially all of the Company’s personal property assets and those of the Credit Facility Guarantors.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June 30, 2020, we were subject to the following financial covenants under our Credit Facility: (A) a Total Leverage Ratio not to exceed, (i) 5.75 to 1.00 for the quarters ended March 31, 2020, June 30, 2020 and September 30, 2020 and (ii)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May 18, 2020, we received a waiver under our Credit Facility for the failure to comply with the Total Leverage Ratio covenant for the fiscal quarter ended March 31, 2020. In connection with the waiver, the Credit Facility was also amended to increase the interest rate margin applicable to borrowings by up to 0.625% at each pricing level based on the Total Leverage Ratio.</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in compliance with the total leverage ratio, fixed charge coverage ratio and senior secured leverage ratio covenants contained in our Credit Facility as of June 30, 2020.</w:t>
      </w:r>
    </w:p>
    <w:p>
      <w:pPr>
        <w:spacing w:after="0" w:line="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have one letter of credit outstanding under the Credit Facility issued on November 30, 2019 for approximately $2.0 million, which bears interest at 2.125% and will expire on November 25, 2020. The letter of credit automatically renews annually and secures our obligations under our various self-insured policies. Outstanding borrowings under our Credit Facility bear interest at either a prime rate or a LIBOR rate, plus an applicable margin based upon our leverage ratio. As of June 30, 2020, the prime rate margin was equivalent to 2.00% and the LIBOR rate margin was 3.00%. The weighted average interest rate on our Credit Facility was 3.6% and 3.9% for the three and six months ended June 30, 2020, respectively. The weighted average interest rate on our Credit Facility was 3.9% and 4.0% for the three and six months ended June 30, 2019, respectively.</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interest expense and amortization of debt issuance costs related to our Credit Facility during the three and six months ended June 30,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3"/>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4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4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45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interest expense</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Credit Facility amortization of debt issuance costs</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245</w:t>
            </w:r>
          </w:p>
        </w:tc>
      </w:tr>
      <w:tr>
        <w:trPr>
          <w:trHeight w:val="459"/>
        </w:trPr>
        <w:tc>
          <w:tcPr>
            <w:tcW w:w="4540" w:type="dxa"/>
            <w:vAlign w:val="bottom"/>
          </w:tcPr>
          <w:p>
            <w:pPr>
              <w:spacing w:after="0"/>
              <w:rPr>
                <w:sz w:val="24"/>
                <w:szCs w:val="24"/>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lease obligations consist of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w:t>
      </w:r>
    </w:p>
    <w:p>
      <w:pPr>
        <w:spacing w:after="0" w:line="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lease cost related to our operating leases and short-term leases and depreciation expense and interest expense related to our finance leases during the three and six months ended June 30,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96</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of lease right-of-use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Debt</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imputed interest expense related to our acquisition debt during the three and six months ended June 30,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5"/>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debt imputed 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251</w:t>
            </w:r>
          </w:p>
        </w:tc>
      </w:tr>
      <w:tr>
        <w:trPr>
          <w:trHeight w:val="27"/>
        </w:trPr>
        <w:tc>
          <w:tcPr>
            <w:tcW w:w="5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Subordinated Notes due 2021</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30, 2020, the principal amount of the liability component of our Convertible Notes was $6.3 million, the net carrying amount was $6.1 million and the carrying amount of the equity component was $0.8 million. The fair value of the Convertible Notes, which are Level 2 measurements, was $6.4 million at June 30, 2020. The Convertible Notes are due in March 2021 and bear interest at 2.75% per year, which is payable semi-annually in arrears on March 15 and September 15 of each year.</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interest expense and accretion of debt discount and debt issuance costs related to our Convertible Notes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2020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Convertible Notes accretion of debt discount</w:t>
            </w:r>
          </w:p>
        </w:tc>
        <w:tc>
          <w:tcPr>
            <w:tcW w:w="2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amortization of debt issuance costs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5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remaining unamortized debt discount and the remaining unamortized debt issuance costs are being amortized using the effective interest method over the remaining term of approximately eight months of the Convertible Notes. The effective interest rate on the unamortized debt discount for both the three and six months ended June 30, 2019 and 2020 was 11.4%. The effective interest rate on the debt issuance costs for both three and six months ended June 30, 2019 and 2020 was 3.2%.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71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June 30, 2020, the principal amount of our Senior Notes was $400.0 million. The fair value of the Senior Notes, which are Level 2 measurements, was $419.9 million at June 30, 2020. The Senior Notes are due on June 1, 2026 and bear interest at 6.625% per year, which is payable semi-annually in arrears on June 1 and December 1 of each year.</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interest expense and amortization of debt discount, debt premium and debt issuance costs related to our Senior Notes during the three and six months ended June 30,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Senior Notes amortization of debt discount</w:t>
            </w:r>
          </w:p>
        </w:tc>
        <w:tc>
          <w:tcPr>
            <w:tcW w:w="2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260</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amortization of debt premium</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Senior Notes amortization of debt issuance costs</w:t>
            </w:r>
          </w:p>
        </w:tc>
        <w:tc>
          <w:tcPr>
            <w:tcW w:w="2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136</w:t>
            </w:r>
          </w:p>
        </w:tc>
      </w:tr>
    </w:tbl>
    <w:p>
      <w:pPr>
        <w:spacing w:after="0" w:line="12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debt discount, the debt premium and the debt issuance costs are being amortized using the effective interest method over the remaining term of approximately 71 months of the Senior Notes. The effective interest rate on the unamortized debt discount and the unamortized debt issuance costs for the initial Senior Notes, which were issued in May 2018, for both the three and six months ended June 30, 2020 was 6.87% and 6.69%, respectively. The effective interest rate on the unamortized debt premium and the unamortized debt issuance costs for the additional Senior Notes, which were issued in December 2019, for both the three and six months ended June 30, 2020 was 6.20% and 6.90%, respectively.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are our financial highlights for the three months ended June 30, 2019 and 2020 (in thousands except for volumes and averages):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w w:val="99"/>
              </w:rPr>
              <w:t>Three months ended June 30,</w:t>
            </w:r>
          </w:p>
        </w:tc>
      </w:tr>
      <w:tr>
        <w:trPr>
          <w:trHeight w:val="33"/>
        </w:trPr>
        <w:tc>
          <w:tcPr>
            <w:tcW w:w="8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67,752</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77,477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Funeral contracts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9,366</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11,737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funeral contract</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5,557</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Preneed interment rights (property) sold</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2,056</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2,338</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preneed interment right sold</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3,660</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19,250</w:t>
            </w:r>
          </w:p>
        </w:tc>
        <w:tc>
          <w:tcPr>
            <w:tcW w:w="200" w:type="dxa"/>
            <w:vAlign w:val="bottom"/>
          </w:tcPr>
          <w:p>
            <w:pPr>
              <w:spacing w:after="0"/>
              <w:rPr>
                <w:sz w:val="21"/>
                <w:szCs w:val="21"/>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25,160</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4,862</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6,397</w:t>
            </w:r>
          </w:p>
        </w:tc>
      </w:tr>
      <w:tr>
        <w:trPr>
          <w:trHeight w:val="27"/>
        </w:trPr>
        <w:tc>
          <w:tcPr>
            <w:tcW w:w="8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Revenue for the three months ended June 30, 2020 increased $9.7 million compared to the three months ended June 30, 2019, as we experienced a 25.3% increase in total funeral contracts primarily due to the funeral home acquisitions made in the fourth quarter of 2019 and first quarter of 2020, offset by a decrease in the average revenue per funeral contract of 11.7%. In addition, we experienced an increase of 13.7% in the number of preneed interment rights (property) sold primarily due to the cemetery acquisitions made in the fourth quarter of 2019 and first quarter of 2020, as well as an increase in the average price per interment right sold of 9.0%.</w:t>
      </w:r>
    </w:p>
    <w:p>
      <w:pPr>
        <w:spacing w:after="0" w:line="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Gross profit for the three months ended June 30, 2020 increased $5.9 million compared to the three months ended June 30, 2019, primarily due to the increase in revenue from both our funeral home and cemetery segments due to the acquisitions made in the fourth quarter of 2019 and first quarter of 2020, as well as measures the Company has taken to control costs during the COVID-19 pandemic.</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income for the three months ended June 30, 2020 increased $1.5 million compared to the three months ended June 30, 2019, primarily due to the increase in gross profit, offset by the increase in interest expense related to our Senior Notes and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611" w:right="339" w:bottom="144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color w:val="auto"/>
        </w:rPr>
        <w:t>Below are our financial highlights for the six months ended June 30, 2019 and 2020 (in thousands except for volumes and averages):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6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8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136,833</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154,967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Funeral contracts</w:t>
            </w:r>
          </w:p>
        </w:tc>
        <w:tc>
          <w:tcPr>
            <w:tcW w:w="4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19,247</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23,230</w:t>
            </w:r>
          </w:p>
        </w:tc>
      </w:tr>
      <w:tr>
        <w:trPr>
          <w:trHeight w:val="27"/>
        </w:trPr>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funeral contract</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5,597</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5,069</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Preneed interment rights (property) sold</w:t>
            </w:r>
          </w:p>
        </w:tc>
        <w:tc>
          <w:tcPr>
            <w:tcW w:w="4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3,518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4,206</w:t>
            </w:r>
          </w:p>
        </w:tc>
      </w:tr>
      <w:tr>
        <w:trPr>
          <w:trHeight w:val="27"/>
        </w:trPr>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preneed interment right sold</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3,721</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40,850</w:t>
            </w:r>
          </w:p>
        </w:tc>
        <w:tc>
          <w:tcPr>
            <w:tcW w:w="200" w:type="dxa"/>
            <w:vAlign w:val="bottom"/>
          </w:tcPr>
          <w:p>
            <w:pPr>
              <w:spacing w:after="0"/>
              <w:rPr>
                <w:sz w:val="21"/>
                <w:szCs w:val="21"/>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48,331</w:t>
            </w:r>
          </w:p>
        </w:tc>
      </w:tr>
      <w:tr>
        <w:trPr>
          <w:trHeight w:val="27"/>
        </w:trPr>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11,387</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r>
      <w:tr>
        <w:trPr>
          <w:trHeight w:val="27"/>
        </w:trPr>
        <w:tc>
          <w:tcPr>
            <w:tcW w:w="8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Revenue for the six months ended June 30, 2020 increased $18.1 million compared to the six months ended June 30, 2019, as we experienced a 20.7% increase in total funeral contracts primarily due to the funeral home acquisitions made in the fourth quarter of 2019 and first quarter of 2020, offset by a decrease in the average revenue per funeral contract of 9.4%. In addition, we experienced an increase of 19.6% in the number of preneed interment rights (property) sold primarily due to the cemetery acquisitions made in the fourth quarter of 2019 and first quarter of 2020, as well as an increase of 4.7% in the average price per interment right sold.</w:t>
      </w:r>
    </w:p>
    <w:p>
      <w:pPr>
        <w:spacing w:after="0" w:line="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Gross profit for the six months ended June 30, 2020 increased $7.5 million compared to the six months ended June 30, 2019, primarily due to the increase in revenue from both our funeral home and cemetery segments due to the acquisitions made in the fourth quarter of 2019 and first quarter of 2020, as well as measures the Company has taken to control costs during the COVID-19 pandemic.</w:t>
      </w:r>
    </w:p>
    <w:p>
      <w:pPr>
        <w:spacing w:after="0" w:line="7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Net income for the six months ended June 30, 2020 decreased $9.2 million compared to the six months ended June 30, 2019, primarily due to the $14.7 million impairment of goodwill and tradenames recorded in the first quarter and $4.2 million increase in interest expense related to our Senior Notes and Credit facility, offset by the $7.5 million increase in gross profit.</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Further discussion of Revenue and the components of Gross profit for our funeral home and cemetery segments is presented herein under “– Results of Operations.”</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Further discussion of General, administrative and other expenses, Home office depreciation and amortization expense, Interest expense, Income taxes and other components of income and expenses are presented herein under “– Other Financial Statement Items.”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61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REPORTING AND NON-GAAP FINANCIAL MEASURES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present our financial performance in our “Operating and Financial Trend Report” (“Trend Report”) as reported in our earnings release for the three and six months ended June 30, 2020 dated July 28, 2020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is a reconciliation of Net income (a GAAP measure) to Adjusted net income (a non-GAAP measure)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2020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2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r>
      <w:tr>
        <w:trPr>
          <w:trHeight w:val="270"/>
        </w:trPr>
        <w:tc>
          <w:tcPr>
            <w:tcW w:w="5960" w:type="dxa"/>
            <w:vAlign w:val="bottom"/>
          </w:tcPr>
          <w:p>
            <w:pPr>
              <w:ind w:left="40"/>
              <w:spacing w:after="0" w:line="270" w:lineRule="exact"/>
              <w:rPr>
                <w:sz w:val="20"/>
                <w:szCs w:val="20"/>
                <w:color w:val="auto"/>
              </w:rPr>
            </w:pPr>
            <w:r>
              <w:rPr>
                <w:rFonts w:ascii="Arial" w:cs="Arial" w:eastAsia="Arial" w:hAnsi="Arial"/>
                <w:sz w:val="18"/>
                <w:szCs w:val="18"/>
                <w:color w:val="auto"/>
              </w:rPr>
              <w:t>Special items, net of tax</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and divestiture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Severance and separation costs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445</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Performance awards cancellation and exchange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70"/>
        </w:trPr>
        <w:tc>
          <w:tcPr>
            <w:tcW w:w="5960" w:type="dxa"/>
            <w:vAlign w:val="bottom"/>
          </w:tcPr>
          <w:p>
            <w:pPr>
              <w:ind w:left="280"/>
              <w:spacing w:after="0" w:line="270" w:lineRule="exact"/>
              <w:rPr>
                <w:sz w:val="20"/>
                <w:szCs w:val="20"/>
                <w:color w:val="auto"/>
              </w:rPr>
            </w:pPr>
            <w:r>
              <w:rPr>
                <w:rFonts w:ascii="Arial" w:cs="Arial" w:eastAsia="Arial" w:hAnsi="Arial"/>
                <w:sz w:val="18"/>
                <w:szCs w:val="18"/>
                <w:color w:val="auto"/>
              </w:rPr>
              <w:t>Accretion of discount on Convertible Notes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0"/>
        </w:trPr>
        <w:tc>
          <w:tcPr>
            <w:tcW w:w="59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Net impact of impairment of goodwill and other intangibles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9,808</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Litigation reserve</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disaster and pandemic costs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Other special items</w:t>
            </w: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line="26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5"/>
                <w:szCs w:val="25"/>
                <w:color w:val="auto"/>
                <w:vertAlign w:val="superscript"/>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14,118</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jc w:val="both"/>
        <w:ind w:left="380" w:right="20" w:hanging="345"/>
        <w:spacing w:after="0" w:line="273"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Special items are defined as charges or credits included in our GAAP financial statements that can vary from period to period and are not reflective of costs incurred in the ordinary course of our operations. Special Items are taxed at the federal statutory rate of 21% for the three and six months ended June 30, 2019 and 2020, except for the Accretion of the discount on the Convertible Notes, as this is a non-tax deductible item and the Net impact of impairment of goodwill and other intangibles (described below).</w:t>
      </w:r>
    </w:p>
    <w:p>
      <w:pPr>
        <w:spacing w:after="0" w:line="26" w:lineRule="exact"/>
        <w:rPr>
          <w:rFonts w:ascii="Arial" w:cs="Arial" w:eastAsia="Arial" w:hAnsi="Arial"/>
          <w:sz w:val="16"/>
          <w:szCs w:val="16"/>
          <w:color w:val="auto"/>
        </w:rPr>
      </w:pPr>
    </w:p>
    <w:p>
      <w:pPr>
        <w:ind w:left="380" w:hanging="345"/>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Net impact of impairment of goodwill and other intangibles special item is net of the operating tax rate of 33.3%.</w:t>
      </w:r>
    </w:p>
    <w:p>
      <w:pPr>
        <w:spacing w:after="0" w:line="72" w:lineRule="exact"/>
        <w:rPr>
          <w:rFonts w:ascii="Arial" w:cs="Arial" w:eastAsia="Arial" w:hAnsi="Arial"/>
          <w:sz w:val="16"/>
          <w:szCs w:val="16"/>
          <w:color w:val="auto"/>
        </w:rPr>
      </w:pPr>
    </w:p>
    <w:p>
      <w:pPr>
        <w:ind w:left="380" w:right="40" w:hanging="345"/>
        <w:spacing w:after="0" w:line="293"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8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Below is a reconciliation of Gross profit (a GAAP measure) to Operating profit (a non-GAAP measure) for the three and six months ended June 30, 2019 and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34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48,331</w:t>
            </w:r>
          </w:p>
        </w:tc>
      </w:tr>
      <w:tr>
        <w:trPr>
          <w:trHeight w:val="243"/>
        </w:trPr>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property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Field depreciation expense</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6,537</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and unallocated funeral and cemetery costs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6,473</w:t>
            </w:r>
          </w:p>
        </w:tc>
      </w:tr>
      <w:tr>
        <w:trPr>
          <w:trHeight w:val="263"/>
        </w:trPr>
        <w:tc>
          <w:tcPr>
            <w:tcW w:w="5940" w:type="dxa"/>
            <w:vAlign w:val="bottom"/>
          </w:tcPr>
          <w:p>
            <w:pPr>
              <w:ind w:left="40"/>
              <w:spacing w:after="0" w:line="263" w:lineRule="exact"/>
              <w:rPr>
                <w:sz w:val="20"/>
                <w:szCs w:val="20"/>
                <w:color w:val="auto"/>
              </w:rPr>
            </w:pPr>
            <w:r>
              <w:rPr>
                <w:rFonts w:ascii="Arial" w:cs="Arial" w:eastAsia="Arial" w:hAnsi="Arial"/>
                <w:sz w:val="18"/>
                <w:szCs w:val="18"/>
                <w:color w:val="auto"/>
              </w:rPr>
              <w:t>Operating profit</w:t>
            </w:r>
            <w:r>
              <w:rPr>
                <w:rFonts w:ascii="Arial" w:cs="Arial" w:eastAsia="Arial" w:hAnsi="Arial"/>
                <w:sz w:val="25"/>
                <w:szCs w:val="25"/>
                <w:color w:val="auto"/>
                <w:vertAlign w:val="superscript"/>
              </w:rPr>
              <w:t>(1)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27,100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33,221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55,423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63,315</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Operating profit is defined as Gross profit less Cemetery property amortization, Field depreciation expense and Regional and unallocated funeral and cemetery costs.</w:t>
      </w:r>
    </w:p>
    <w:p>
      <w:pPr>
        <w:spacing w:after="0" w:line="280" w:lineRule="exact"/>
        <w:rPr>
          <w:rFonts w:ascii="Arial" w:cs="Arial" w:eastAsia="Arial" w:hAnsi="Arial"/>
          <w:sz w:val="14"/>
          <w:szCs w:val="14"/>
          <w:color w:val="auto"/>
        </w:rPr>
      </w:pPr>
    </w:p>
    <w:p>
      <w:pPr>
        <w:ind w:left="5540" w:hanging="111"/>
        <w:spacing w:after="0"/>
        <w:tabs>
          <w:tab w:leader="none" w:pos="5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240"/>
          </w:cols>
          <w:pgMar w:left="320" w:top="769" w:right="339" w:bottom="1440" w:gutter="0" w:footer="0" w:header="0"/>
        </w:sectPr>
      </w:pPr>
    </w:p>
    <w:bookmarkStart w:id="50" w:name="page51"/>
    <w:bookmarkEnd w:id="50"/>
    <w:p>
      <w:pPr>
        <w:jc w:val="both"/>
        <w:ind w:right="20" w:firstLine="405"/>
        <w:spacing w:after="0" w:line="277" w:lineRule="auto"/>
        <w:rPr>
          <w:sz w:val="20"/>
          <w:szCs w:val="20"/>
          <w:color w:val="auto"/>
        </w:rPr>
      </w:pPr>
      <w:r>
        <w:rPr>
          <w:rFonts w:ascii="Arial" w:cs="Arial" w:eastAsia="Arial" w:hAnsi="Arial"/>
          <w:sz w:val="18"/>
          <w:szCs w:val="18"/>
          <w:color w:val="auto"/>
        </w:rPr>
        <w:t>Our operations are reported in two business segments: Funeral Home and Cemetery. Below is a breakdown of Operating profit (a non-GAAP measure) by Segment for the three and six months ended June 30, 2019 and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46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w w:val="96"/>
              </w:rPr>
              <w:t>Six months ended June 30,</w:t>
            </w:r>
          </w:p>
        </w:tc>
      </w:tr>
      <w:tr>
        <w:trPr>
          <w:trHeight w:val="33"/>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12"/>
              <w:spacing w:after="0"/>
              <w:rPr>
                <w:sz w:val="20"/>
                <w:szCs w:val="20"/>
                <w:color w:val="auto"/>
              </w:rPr>
            </w:pPr>
            <w:r>
              <w:rPr>
                <w:rFonts w:ascii="Arial" w:cs="Arial" w:eastAsia="Arial" w:hAnsi="Arial"/>
                <w:sz w:val="16"/>
                <w:szCs w:val="16"/>
                <w:b w:val="1"/>
                <w:bCs w:val="1"/>
                <w:color w:val="auto"/>
              </w:rPr>
              <w:t>2020</w:t>
            </w:r>
          </w:p>
        </w:tc>
      </w:tr>
      <w:tr>
        <w:trPr>
          <w:trHeight w:val="33"/>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Funeral Home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20,420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25,552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43,587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49,826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Cemetery</w:t>
            </w:r>
          </w:p>
        </w:tc>
        <w:tc>
          <w:tcPr>
            <w:tcW w:w="240" w:type="dxa"/>
            <w:vAlign w:val="bottom"/>
          </w:tcPr>
          <w:p>
            <w:pPr>
              <w:spacing w:after="0"/>
              <w:rPr>
                <w:sz w:val="21"/>
                <w:szCs w:val="21"/>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11,836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13,489</w:t>
            </w: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27,100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33,221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55,423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63,315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0"/>
        </w:trPr>
        <w:tc>
          <w:tcPr>
            <w:tcW w:w="5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profit margin</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Operating profit margin is defined as Operating profit as a percentage of Revenue.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Operating profit for our funeral home and cemetery segments is presented herein under “–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discussion of our results of operations for the three and six months ended June 30, 2020 and 2019.</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term “same store” refers to funeral homes and cemeteries acquired prior to January 1, 2016 and owned and operated for the entirety of each period being presented, excluding certain funeral home businesses that we intend to divest in the near future.</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term “acquired” refers to funeral homes and cemeteries purchased after December 31, 2015, excluding any funeral home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term “divested” when discussed in the Funeral Home Segment, refers to the three funeral home businesses whose building leases expired, one funeral home business we sold and a funeral home business we merged with a business in an existing market in 2019.</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“Planned divested” in the Funeral Home Segment refers to the funeral home businesses that we intend to divest in the near future.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“Ancillary” in the Funeral Home Segment represents our flower shop, pet cremation business and online cremation business in Texas.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61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Funeral Home Segment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certain information regarding our Revenue and Operating profit from our funeral home operations for the three months ended June 30, 2020 compared to the three months ended June 30,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6"/>
          </w:tcPr>
          <w:p>
            <w:pPr>
              <w:jc w:val="right"/>
              <w:ind w:right="451"/>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Same store operating revenue</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41,690</w:t>
            </w:r>
          </w:p>
        </w:tc>
        <w:tc>
          <w:tcPr>
            <w:tcW w:w="60" w:type="dxa"/>
            <w:vAlign w:val="bottom"/>
          </w:tcPr>
          <w:p>
            <w:pPr>
              <w:spacing w:after="0"/>
              <w:rPr>
                <w:sz w:val="21"/>
                <w:szCs w:val="21"/>
                <w:color w:val="auto"/>
              </w:rPr>
            </w:pPr>
          </w:p>
        </w:tc>
        <w:tc>
          <w:tcPr>
            <w:tcW w:w="108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42,664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operating revenue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11,337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Divested/planned divested revenue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funeral services revenue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Preneed funeral insurance commissions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funeral trust and insurance</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52,507</w:t>
            </w:r>
          </w:p>
        </w:tc>
        <w:tc>
          <w:tcPr>
            <w:tcW w:w="60" w:type="dxa"/>
            <w:vAlign w:val="bottom"/>
            <w:tcBorders>
              <w:top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59,121</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Same store operating profit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18,026</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Acquired operating profit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Divested/planned divested operating profit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Ancillary funeral services operating profit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funeral insurance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Preneed funeral trust and insurance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20,420</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25,552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5"/>
          </w:tcPr>
          <w:p>
            <w:pPr>
              <w:jc w:val="right"/>
              <w:spacing w:after="0"/>
              <w:rPr>
                <w:sz w:val="20"/>
                <w:szCs w:val="20"/>
                <w:color w:val="auto"/>
              </w:rPr>
            </w:pPr>
            <w:r>
              <w:rPr>
                <w:rFonts w:ascii="Arial" w:cs="Arial" w:eastAsia="Arial" w:hAnsi="Arial"/>
                <w:sz w:val="16"/>
                <w:szCs w:val="16"/>
                <w:b w:val="1"/>
                <w:bCs w:val="1"/>
                <w:color w:val="auto"/>
                <w:w w:val="97"/>
              </w:rPr>
              <w:t>Three months ended June 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11"/>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Contract volume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7,844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8,785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5,315</w:t>
            </w: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8"/>
              </w:rPr>
              <w:t>4,856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5,512</w:t>
            </w:r>
          </w:p>
        </w:tc>
        <w:tc>
          <w:tcPr>
            <w:tcW w:w="60" w:type="dxa"/>
            <w:vAlign w:val="bottom"/>
          </w:tcPr>
          <w:p>
            <w:pPr>
              <w:spacing w:after="0"/>
              <w:rPr>
                <w:sz w:val="21"/>
                <w:szCs w:val="21"/>
                <w:color w:val="auto"/>
              </w:rPr>
            </w:pPr>
          </w:p>
        </w:tc>
        <w:tc>
          <w:tcPr>
            <w:tcW w:w="108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5,037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Burial rate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Cremation rate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Acquired:</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volume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961</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8"/>
              </w:rPr>
              <w:t>2,350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6,554</w:t>
            </w:r>
          </w:p>
        </w:tc>
        <w:tc>
          <w:tcPr>
            <w:tcW w:w="60" w:type="dxa"/>
            <w:vAlign w:val="bottom"/>
          </w:tcPr>
          <w:p>
            <w:pPr>
              <w:spacing w:after="0"/>
              <w:rPr>
                <w:sz w:val="21"/>
                <w:szCs w:val="21"/>
                <w:color w:val="auto"/>
              </w:rPr>
            </w:pPr>
          </w:p>
        </w:tc>
        <w:tc>
          <w:tcPr>
            <w:tcW w:w="108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4,824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6,681</w:t>
            </w: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8"/>
              </w:rPr>
              <w:t>4,894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Burial rate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Cremation rate</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Funeral home same store operating revenue for the three months ended June 30, 2020 increased $1.0 million compared to the three months ended June 30, 2019. The increase in operating revenue is primarily due to a 12.0% same store contract volume increase in the three months ended June 30, 2020 compared to the same period in 2019. The increase was offset by a decrease in contract averages excluding preneed interest of 8.6%. The decrease in funeral contract averages for the three months ended June 30, 2020 compared to the same period in 2019 is primarily due to a 230 basis point decrease in the burial rate. In addition, in the three months ended June 30, 2020, we experienced a decrease in services performed due to the restrictions placed on gatherings mandated by state and local governments due to COVID-19. For both burial and cremation contracts for which memorial services were performed, we experienced a 940 and 1240 basis point decrease in the number of these contracts, respectively, in the three months ended June 30, 2020.</w:t>
      </w:r>
    </w:p>
    <w:p>
      <w:pPr>
        <w:spacing w:after="0" w:line="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Funeral same store operating profit for the three months ended June 30, 2020 increased $2.5 million when compared to the three months ended June 30, 2019, and the comparable operating profit margin increased 500 basis points to 42.3%. The increase in operating margin is primarily due to the increase in same store operating revenue and a 5.0% decrease in operating costs. Same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79" w:lineRule="auto"/>
        <w:rPr>
          <w:sz w:val="20"/>
          <w:szCs w:val="20"/>
          <w:color w:val="auto"/>
        </w:rPr>
      </w:pPr>
      <w:r>
        <w:rPr>
          <w:rFonts w:ascii="Arial" w:cs="Arial" w:eastAsia="Arial" w:hAnsi="Arial"/>
          <w:sz w:val="17"/>
          <w:szCs w:val="17"/>
          <w:color w:val="auto"/>
        </w:rPr>
        <w:t>store salaries and benefits for the three months ended June 30, 2020 had the largest decrease of $0.4 million or 1.6% compared to the three months ended June 30, 2019. The decrease in salaries and benefits was primarily due to the decrease in part-time funeral staff needed to assist with memorial services, offset by an increase in the demand for pickup and embalming services due to increased contracts. The decrease in other operating costs was a result of disciplined expense and cost management by local leaders at each business during the COVID-19 pandemic.</w:t>
      </w:r>
    </w:p>
    <w:p>
      <w:pPr>
        <w:spacing w:after="0" w:line="6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Funeral home acquired operating revenue for the three months ended June 30, 2020 increased $5.0 million, as our funeral home acquired portfolio for the three months ended June 30, 2020 included nine funeral home businesses added through four acquisitions in the fourth quarter of 2019 and one business acquired in the first quarter of 2020 not present in the three months ended June 30, 2019.</w:t>
      </w:r>
    </w:p>
    <w:p>
      <w:pPr>
        <w:spacing w:after="0" w:line="7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Acquired operating profit for the three months ended June 30, 2020 increased $2.2 million when compared to the three months ended June 30, 2019. Operating profit margin increased 240 basis points to 41.2% for the three months ended June 30, 2020 compared to the same period in 2019. The increase is primarily due to certain measures taken to control costs during the COVID-19 pandemic, slightly offset by lower margins for our most recent acquisition compared to our other acquired businesses, particularly with regard to higher salaries and benefits expenses. We expect the operating margins for our recently acquired business to improve as we focus on integrating this business into our high performance framework of the Standards Operating Model.</w:t>
      </w:r>
    </w:p>
    <w:p>
      <w:pPr>
        <w:spacing w:after="0" w:line="5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Ancillary funeral services revenue, which is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represents revenue from our flower shop, pet cremation business and online cremation business in Texas, which were acquired in the fourth quarter of 2019. Operating profit from our ancillary funeral service businesses was $0.3 million for the three months ended June 30, 2020, with an operating profit margin of 28.7%.</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Preneed funeral insurance commissions and preneed funeral trust and insurance, also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on a combined basis, remained flat for the three months ended June 30, 2020 compared to the same period in 2019. Operating profit for preneed funeral insurance commissions and preneed trust and insurance, on a combined basis, increased $0.1 million or 4.3% for the same comparative period in 2019 primarily due to a reduction in preneed trust and insurance expenses.</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certain information regarding our Revenue and Operating profit from our funeral home operations for the six months ended June 30, 2020 compared to the six months ended June 30,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Same store operating revenue</w:t>
            </w:r>
          </w:p>
        </w:tc>
        <w:tc>
          <w:tcPr>
            <w:tcW w:w="4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86,565</w:t>
            </w:r>
          </w:p>
        </w:tc>
        <w:tc>
          <w:tcPr>
            <w:tcW w:w="2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87,249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operating revenue</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13,032</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22,859</w:t>
            </w: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Divested/planned divested revenue</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4,780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funeral services revenue</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Preneed funeral insurance commissions</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funeral trust and insurance</w:t>
            </w:r>
          </w:p>
        </w:tc>
        <w:tc>
          <w:tcPr>
            <w:tcW w:w="37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3,605</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108,670</w:t>
            </w:r>
          </w:p>
        </w:tc>
        <w:tc>
          <w:tcPr>
            <w:tcW w:w="2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120,863</w:t>
            </w:r>
          </w:p>
        </w:tc>
        <w:tc>
          <w:tcPr>
            <w:tcW w:w="0" w:type="dxa"/>
            <w:vAlign w:val="bottom"/>
          </w:tcPr>
          <w:p>
            <w:pPr>
              <w:spacing w:after="0"/>
              <w:rPr>
                <w:sz w:val="1"/>
                <w:szCs w:val="1"/>
                <w:color w:val="auto"/>
              </w:rPr>
            </w:pPr>
          </w:p>
        </w:tc>
      </w:tr>
      <w:tr>
        <w:trPr>
          <w:trHeight w:val="67"/>
        </w:trPr>
        <w:tc>
          <w:tcPr>
            <w:tcW w:w="4400" w:type="dxa"/>
            <w:vAlign w:val="bottom"/>
            <w:tcBorders>
              <w:bottom w:val="single" w:sz="8" w:color="CCEEFF"/>
            </w:tcBorders>
          </w:tcPr>
          <w:p>
            <w:pPr>
              <w:spacing w:after="0"/>
              <w:rPr>
                <w:sz w:val="5"/>
                <w:szCs w:val="5"/>
                <w:color w:val="auto"/>
              </w:rPr>
            </w:pPr>
          </w:p>
        </w:tc>
        <w:tc>
          <w:tcPr>
            <w:tcW w:w="37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Same store operating profit</w:t>
            </w:r>
          </w:p>
        </w:tc>
        <w:tc>
          <w:tcPr>
            <w:tcW w:w="41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Acquired operating profit</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5,162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Divested/planned divested operating profit</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Ancillary funeral services operating profit</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funeral insurance commissions</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Preneed funeral trust and insurance</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1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43,587</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49,826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2190"/>
              <w:spacing w:after="0"/>
              <w:rPr>
                <w:sz w:val="20"/>
                <w:szCs w:val="20"/>
                <w:color w:val="auto"/>
              </w:rPr>
            </w:pPr>
            <w:r>
              <w:rPr>
                <w:rFonts w:ascii="Arial" w:cs="Arial" w:eastAsia="Arial" w:hAnsi="Arial"/>
                <w:sz w:val="18"/>
                <w:szCs w:val="18"/>
                <w:color w:val="auto"/>
              </w:rPr>
              <w:t>-53-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70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jc w:val="right"/>
              <w:ind w:right="91"/>
              <w:spacing w:after="0"/>
              <w:rPr>
                <w:sz w:val="20"/>
                <w:szCs w:val="20"/>
                <w:color w:val="auto"/>
              </w:rPr>
            </w:pPr>
            <w:r>
              <w:rPr>
                <w:rFonts w:ascii="Arial" w:cs="Arial" w:eastAsia="Arial" w:hAnsi="Arial"/>
                <w:sz w:val="16"/>
                <w:szCs w:val="16"/>
                <w:b w:val="1"/>
                <w:bCs w:val="1"/>
                <w:color w:val="auto"/>
              </w:rPr>
              <w:t>2020</w:t>
            </w:r>
          </w:p>
        </w:tc>
      </w:tr>
      <w:tr>
        <w:trPr>
          <w:trHeight w:val="33"/>
        </w:trPr>
        <w:tc>
          <w:tcPr>
            <w:tcW w:w="7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Contract volume</w:t>
            </w:r>
          </w:p>
        </w:tc>
        <w:tc>
          <w:tcPr>
            <w:tcW w:w="4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16,113</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w w:val="90"/>
              </w:rPr>
              <w:t>17,508</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5,372</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4,983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5,565</w:t>
            </w:r>
          </w:p>
        </w:tc>
        <w:tc>
          <w:tcPr>
            <w:tcW w:w="22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5,170</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Burial rate</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Cremation rate</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7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Acquired:</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volume</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1,966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4,516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6,629</w:t>
            </w:r>
          </w:p>
        </w:tc>
        <w:tc>
          <w:tcPr>
            <w:tcW w:w="22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5,062</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6,757</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5,131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Burial rate</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Cremation rate</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7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Funeral home same store operating revenue for the six months ended June 30, 2020 increased $0.7 million compared to the six months ended June 30, 2019. The increase in operating revenue is due to an 8.7% same store contract volume increase in the six months ended June 30, 2020 compared to the same period in 2019. The increase was offset by a decrease in contract averages excluding preneed interest of 7.2%. The decrease in funeral contract averages for the six months ended June 30, 2020 compared to the same period in 2019 is primarily due to a 250 basis point decrease in the burial rate. Beginning in the latter half of March 2020, we saw a decrease in services performed due to the restrictions placed on gatherings mandated by state and local governments as the COVID-19 pandemic became more prominent and individuals began to practice social distancing to comply with applicable shelter in place and related orders. For both burial and cremation contracts for which memorial services were performed, we experienced a 580 and 820 basis point decrease in the number of these contracts, respectively, in the six months ended June 30, 2020.</w:t>
      </w:r>
    </w:p>
    <w:p>
      <w:pPr>
        <w:spacing w:after="0" w:line="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Funeral same store operating profit for the six months ended June 30, 2020 increased $1.6 million when compared to the six months ended June 30, 2019, and the comparable operating profit margin increased 150 basis points to 40.3%. The increase in operating margin is due to the increase in same store operating revenue and a 1.5% decrease in operating costs. Same store promotional costs for the six months ended June 30, 2020 had the largest decrease of $0.4 million or 0.5% compared to the six months ended June 30, 2019. The decrease in promotional costs and other operating costs resulted from cost control measures undertaken during the COVID-19 pandemic.</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Funeral home acquired operating revenue for the six months ended June 30, 2020 increased $9.8 million, as our funeral home acquired portfolio for the six months ended June 30, 2020 included nine funeral home businesses added through four acquisitions in the fourth quarter of 2019 and one business acquired in the first quarter of 2020 not present in the six months ended June 30, 2019.</w:t>
      </w:r>
    </w:p>
    <w:p>
      <w:pPr>
        <w:spacing w:after="0" w:line="7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Acquired operating profit for the six months ended June 30, 2020 increased $3.7 million when compared to the six months ended June 30, 2019. Operating profit margin decreased 70 basis points to 38.9% for the six months ended June 30, 2020 compared to the same period in 2019. The decrease is primarily due to the recently acquired businesses (discussed above), as operating profit margins for these businesses were lower compared to our other acquired businesses, particularly with regard to higher salaries and benefits expenses. However, the operating margins for our 2019 acquired businesses have increased 440 basis points in the second quarter of 2020 compared to the first quarter of 2020 and we expect continuous improvement as we focus on integrating all of our newly acquired businesses into our high performance framework of the Standards Operating Model.</w:t>
      </w:r>
    </w:p>
    <w:p>
      <w:pPr>
        <w:spacing w:after="0" w:line="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Ancillary funeral services revenue, which is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represents revenue from our flower shop, pet cremation business and online cremation business in Texas, which were acquired in the fourth quarter of 2019. Operating profit from our ancillary funeral service businesses was $0.6 million for the six months ended June 30, 2020, with an operating profit margin of 27.2%.</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 xml:space="preserve">Preneed funeral insurance commissions and preneed funeral trust and insurance, also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on a combined basis, increased $0.1 million or 3.1% for the six months ended June 30, 2020 compared to the same period in 2019. The increase is due to the increase in preneed trust and insurance. Operating profit for preneed funeral insurance commissions and preneed trust and insurance, on a combined basis, increased $0.2 million or 5.3% for the same comparative period in 2019, primarily due to the increase in revenue and reduction of preneed trust and insurance expenses.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61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Cemetery Segment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certain information regarding our Revenue and Operating profit from our cemetery operations for the three months ended June 30, 2020 compared to the three months ended June 30,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6"/>
          </w:tcPr>
          <w:p>
            <w:pPr>
              <w:jc w:val="right"/>
              <w:ind w:right="451"/>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Same store operating revenue</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13,227</w:t>
            </w:r>
          </w:p>
        </w:tc>
        <w:tc>
          <w:tcPr>
            <w:tcW w:w="60" w:type="dxa"/>
            <w:vAlign w:val="bottom"/>
          </w:tcPr>
          <w:p>
            <w:pPr>
              <w:spacing w:after="0"/>
              <w:rPr>
                <w:sz w:val="21"/>
                <w:szCs w:val="21"/>
                <w:color w:val="auto"/>
              </w:rPr>
            </w:pPr>
          </w:p>
        </w:tc>
        <w:tc>
          <w:tcPr>
            <w:tcW w:w="108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11,694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operating revenue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Preneed cemetery trust and insurance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cemetery finance charges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15,245</w:t>
            </w:r>
          </w:p>
        </w:tc>
        <w:tc>
          <w:tcPr>
            <w:tcW w:w="60" w:type="dxa"/>
            <w:vAlign w:val="bottom"/>
            <w:tcBorders>
              <w:top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18,356</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Same store operating profit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Acquired operating profit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cemetery trust and insurance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Preneed cemetery finance charges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5"/>
          </w:tcPr>
          <w:p>
            <w:pPr>
              <w:jc w:val="right"/>
              <w:spacing w:after="0"/>
              <w:rPr>
                <w:sz w:val="20"/>
                <w:szCs w:val="20"/>
                <w:color w:val="auto"/>
              </w:rPr>
            </w:pPr>
            <w:r>
              <w:rPr>
                <w:rFonts w:ascii="Arial" w:cs="Arial" w:eastAsia="Arial" w:hAnsi="Arial"/>
                <w:sz w:val="16"/>
                <w:szCs w:val="16"/>
                <w:b w:val="1"/>
                <w:bCs w:val="1"/>
                <w:color w:val="auto"/>
                <w:w w:val="97"/>
              </w:rPr>
              <w:t>Three months ended June 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Preneed revenue as a percentage of operating revenue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revenue (in thousands)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8,455</w:t>
            </w: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8"/>
              </w:rPr>
              <w:t>7,089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Atneed revenue (in thousands)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4,772</w:t>
            </w:r>
          </w:p>
        </w:tc>
        <w:tc>
          <w:tcPr>
            <w:tcW w:w="60" w:type="dxa"/>
            <w:vAlign w:val="bottom"/>
          </w:tcPr>
          <w:p>
            <w:pPr>
              <w:spacing w:after="0"/>
              <w:rPr>
                <w:sz w:val="21"/>
                <w:szCs w:val="21"/>
                <w:color w:val="auto"/>
              </w:rPr>
            </w:pPr>
          </w:p>
        </w:tc>
        <w:tc>
          <w:tcPr>
            <w:tcW w:w="108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4,605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preneed interment rights sold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2,056</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8"/>
              </w:rPr>
              <w:t>1,786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price per interment right sold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3,660</w:t>
            </w:r>
          </w:p>
        </w:tc>
        <w:tc>
          <w:tcPr>
            <w:tcW w:w="60" w:type="dxa"/>
            <w:vAlign w:val="bottom"/>
          </w:tcPr>
          <w:p>
            <w:pPr>
              <w:spacing w:after="0"/>
              <w:rPr>
                <w:sz w:val="21"/>
                <w:szCs w:val="21"/>
                <w:color w:val="auto"/>
              </w:rPr>
            </w:pPr>
          </w:p>
        </w:tc>
        <w:tc>
          <w:tcPr>
            <w:tcW w:w="108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3,900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Preneed revenue as a percentage of operating revenue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revenue (in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CCEEFF"/>
            </w:tcBorders>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8"/>
              </w:rPr>
              <w:t>2,522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Atneed revenue (in thousands)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08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1,533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preneed interment rights sold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price per interment right sold</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08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4,273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Cemetery same store preneed revenue for the three months ended June 30, 2020 decreased $1.4 million due to the decrease in cemetery property revenue as we experienced a 13.1% decrease in the number of preneed interment rights sold, offset by a 6.6% increase in the average price per interment right sold. The decrease in the number of preneed interment rights sold is primarily due to the COVID-19 pandemic as individuals began practicing social distancing to comply with applicable shelter in place and related orders, which resulted in our preneed sales personnel being unable to meet with families at our businesses, in certain areas of the country, during this time. In addition, these restrictions impacted our ability to host annual events at certain cemeteries notably the Ching Ming festival during April and Memorial Day festivities during May. Cemetery same store atneed revenue, which represents 39.0% of our same store operating revenue decreased $0.2 million, as we experienced a 3.1% decrease in the average sale per contract, while the number of atneed contracts sold remained flat.</w:t>
      </w:r>
    </w:p>
    <w:p>
      <w:pPr>
        <w:spacing w:after="0" w:line="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Cemetery same store operating profit for the three months ended June 30, 2020 decreased $1.1 million from the same period in 2019. The comparable operating profit margin decreased 490 basis points to 31.4% for the three months ended June 30, 2020 from 36.3% in the same period in 2019. The decrease in operating profit margin is the result of an 11.6% decrease in operating revenue, offset by a 4.8% decrease in operating costs. Operating expense as a percent of operating revenue increased in two categories for the three months ended June 30, 2020 compared to the same period in 2019. Most notably, salaries and benefits increased 1.2% as a percentage of revenue and the allowance for credit losses expense increased 2.4% as a percentage of revenue.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665"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The increase in salaries and benefits is due to additional support staff hired in the latter half of 2019. The increase in the allowance for credit losses is due to slower payments on financed receivables particularly in the states most affected by COVID-19.</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acquired cemetery portfolio includes two businesses acquired during the fourth quarter of 2019 and one business acquired during the first quarter of 2020. These three businesses contributed $4.1 million in operating revenue and $1.4 million in operating profit for the three months ended June 30, 2020.</w:t>
      </w:r>
    </w:p>
    <w:p>
      <w:pPr>
        <w:spacing w:after="0" w:line="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Preneed cemetery trust and insurance and preneed cemetery finance charges, which are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on a combined basis increased $0.6 million for the three months ended June 30, 2020 compared to the same period in 2019. Earnings in our perpetual care trust fund increased $0.6 million due to our acquisitions. Operating profit for the two categories of </w:t>
      </w:r>
      <w:r>
        <w:rPr>
          <w:rFonts w:ascii="Arial" w:cs="Arial" w:eastAsia="Arial" w:hAnsi="Arial"/>
          <w:sz w:val="17"/>
          <w:szCs w:val="17"/>
          <w:i w:val="1"/>
          <w:iCs w:val="1"/>
          <w:color w:val="auto"/>
        </w:rPr>
        <w:t>Other revenue</w:t>
      </w:r>
      <w:r>
        <w:rPr>
          <w:rFonts w:ascii="Arial" w:cs="Arial" w:eastAsia="Arial" w:hAnsi="Arial"/>
          <w:sz w:val="17"/>
          <w:szCs w:val="17"/>
          <w:color w:val="auto"/>
        </w:rPr>
        <w:t>, on a combined basis, increased $0.7 million for the three months ended June 30, 2020 compared to the same period in 2019, primarily due to the increase in perpetual care trust fund revenue. The increase in our trust fund income is primarily due to our major capital deployment during and after the COVID-19 market crash in March 2020, which we expect will produce sustainable increases in both revenue and operating profit throughout the year.</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certain information regarding our Revenue and Operating profit from our cemetery operations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compared to the six months ended June 30, 2019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6"/>
          </w:tcPr>
          <w:p>
            <w:pPr>
              <w:jc w:val="right"/>
              <w:ind w:right="55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Same store operating revenue</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24,516</w:t>
            </w:r>
          </w:p>
        </w:tc>
        <w:tc>
          <w:tcPr>
            <w:tcW w:w="80" w:type="dxa"/>
            <w:vAlign w:val="bottom"/>
          </w:tcPr>
          <w:p>
            <w:pPr>
              <w:spacing w:after="0"/>
              <w:rPr>
                <w:sz w:val="21"/>
                <w:szCs w:val="21"/>
                <w:color w:val="auto"/>
              </w:rPr>
            </w:pPr>
          </w:p>
        </w:tc>
        <w:tc>
          <w:tcPr>
            <w:tcW w:w="9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operating revenue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Preneed cemetery trust and insurance</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cemetery finance charges</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28,163</w:t>
            </w:r>
          </w:p>
        </w:tc>
        <w:tc>
          <w:tcPr>
            <w:tcW w:w="80" w:type="dxa"/>
            <w:vAlign w:val="bottom"/>
            <w:tcBorders>
              <w:top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34,104</w:t>
            </w:r>
          </w:p>
        </w:tc>
        <w:tc>
          <w:tcPr>
            <w:tcW w:w="0" w:type="dxa"/>
            <w:vAlign w:val="bottom"/>
          </w:tcPr>
          <w:p>
            <w:pPr>
              <w:spacing w:after="0"/>
              <w:rPr>
                <w:sz w:val="1"/>
                <w:szCs w:val="1"/>
                <w:color w:val="auto"/>
              </w:rPr>
            </w:pPr>
          </w:p>
        </w:tc>
      </w:tr>
      <w:tr>
        <w:trPr>
          <w:trHeight w:val="67"/>
        </w:trPr>
        <w:tc>
          <w:tcPr>
            <w:tcW w:w="79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Same store operating profit</w:t>
            </w:r>
          </w:p>
        </w:tc>
        <w:tc>
          <w:tcPr>
            <w:tcW w:w="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Acquired operating profit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cemetery trust and insurance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Preneed cemetery finance charges</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gridSpan w:val="5"/>
          </w:tcPr>
          <w:p>
            <w:pPr>
              <w:jc w:val="right"/>
              <w:spacing w:after="0"/>
              <w:rPr>
                <w:sz w:val="20"/>
                <w:szCs w:val="20"/>
                <w:color w:val="auto"/>
              </w:rPr>
            </w:pPr>
            <w:r>
              <w:rPr>
                <w:rFonts w:ascii="Arial" w:cs="Arial" w:eastAsia="Arial" w:hAnsi="Arial"/>
                <w:sz w:val="16"/>
                <w:szCs w:val="16"/>
                <w:b w:val="1"/>
                <w:bCs w:val="1"/>
                <w:color w:val="auto"/>
                <w:w w:val="99"/>
              </w:rPr>
              <w:t>Six months ended June 30,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jc w:val="right"/>
              <w:ind w:right="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Preneed revenue as a percentage of operating revenue</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revenue (in thousands)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15,114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0"/>
              </w:rPr>
              <w:t>13,400</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Atneed revenue (in thousands)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9,402</w:t>
            </w:r>
          </w:p>
        </w:tc>
        <w:tc>
          <w:tcPr>
            <w:tcW w:w="80" w:type="dxa"/>
            <w:vAlign w:val="bottom"/>
          </w:tcPr>
          <w:p>
            <w:pPr>
              <w:spacing w:after="0"/>
              <w:rPr>
                <w:sz w:val="21"/>
                <w:szCs w:val="21"/>
                <w:color w:val="auto"/>
              </w:rPr>
            </w:pPr>
          </w:p>
        </w:tc>
        <w:tc>
          <w:tcPr>
            <w:tcW w:w="98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9,239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preneed interment rights sold</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Average price per interment right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3,721</w:t>
            </w:r>
          </w:p>
        </w:tc>
        <w:tc>
          <w:tcPr>
            <w:tcW w:w="80" w:type="dxa"/>
            <w:vAlign w:val="bottom"/>
          </w:tcPr>
          <w:p>
            <w:pPr>
              <w:spacing w:after="0"/>
              <w:rPr>
                <w:sz w:val="21"/>
                <w:szCs w:val="21"/>
                <w:color w:val="auto"/>
              </w:rPr>
            </w:pPr>
          </w:p>
        </w:tc>
        <w:tc>
          <w:tcPr>
            <w:tcW w:w="98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Preneed revenue as a percentage of operating revenue</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revenue (in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CCEEFF"/>
            </w:tcBorders>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Atneed revenue (in thousands)</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98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preneed interment rights sold</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Average price per interment right sold</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98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459"/>
        </w:trPr>
        <w:tc>
          <w:tcPr>
            <w:tcW w:w="7960" w:type="dxa"/>
            <w:vAlign w:val="bottom"/>
          </w:tcPr>
          <w:p>
            <w:pPr>
              <w:ind w:left="54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56" w:name="page57"/>
    <w:bookmarkEnd w:id="56"/>
    <w:p>
      <w:pPr>
        <w:jc w:val="both"/>
        <w:ind w:firstLine="405"/>
        <w:spacing w:after="0" w:line="254" w:lineRule="auto"/>
        <w:rPr>
          <w:sz w:val="20"/>
          <w:szCs w:val="20"/>
          <w:color w:val="auto"/>
        </w:rPr>
      </w:pPr>
      <w:r>
        <w:rPr>
          <w:rFonts w:ascii="Arial" w:cs="Arial" w:eastAsia="Arial" w:hAnsi="Arial"/>
          <w:sz w:val="18"/>
          <w:szCs w:val="18"/>
          <w:color w:val="auto"/>
        </w:rPr>
        <w:t>Cemetery same store preneed revenue for the six months ended June 30, 2020 decreased $1.7 million due to the decrease in cemetery property revenue as we experienced a 4.7% decrease in the number of preneed interments sold compared to the same period in 2019, offset slightly by a 1.1% increase in the average price per interment right sold. The decrease in the number of preneed interment rights sold is primarily due to the COVID-19 pandemic as individuals began practicing social distancing to comply with applicable shelter in place and related orders, which resulted in our preneed sales personnel being unable to meet with families at our businesses, in certain areas of the country, during this time. Cemetery same store atneed revenue, which represents 41% of our same store operating revenue, decreased $0.2 million as we experienced a 1.3% decrease in the average sale per contract, while the number of atneed contracts sold remained flat.</w:t>
      </w:r>
    </w:p>
    <w:p>
      <w:pPr>
        <w:spacing w:after="0" w:line="8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Cemetery same store operating profit for the six months ended June 30, 2020 decreased $1.6 million from the same period in 2019. The comparable operating profit margin decreased 440 basis points to 30.1% for the six months ended June 30, 2020 from 34.5% in the same period in 2019. The decrease in operating profit margin is a result of a 7.7% decrease in operating revenue and a 1.5% decrease in operating costs. Operating expense as a percent of operating revenue increased in three categories in the six months ended June 30, 2020 compared to the same period in 2019. Our allowance for credit losses expense increased 1.7%, promotional expense increased 1.2% and salaries and wages increased 1.0% as a percentage of revenue. The increase in the allowance for credit losses is due to slower payments on financed receivables particularly in the states most affected by COVID-19. The increase in promotional expenses is due to the addition of marketing personnel and increased counselor bonuses at certain cemeteries. Salaries and benefits related to the beautification and maintenance of our cemetery grounds were fairly flat but increased as a percentage of revenue.</w:t>
      </w:r>
    </w:p>
    <w:p>
      <w:pPr>
        <w:spacing w:after="0" w:line="5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acquired cemetery portfolio includes two businesses acquired during the fourth quarter of 2019 and one business acquired during the first quarter of 2020. These three businesses contributed $6.9 million in operating revenue and $2.3 million in operating profit for the six months ended June 30, 2020.</w:t>
      </w:r>
    </w:p>
    <w:p>
      <w:pPr>
        <w:spacing w:after="0" w:line="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Preneed cemetery trust and insurance and preneed cemetery finance charges, which are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xml:space="preserve">, on a combined basis increased $1.0 million for the six months ended June 30, 2020 compared to the same period in 2019. Earnings in our perpetual care trust fund increased $1.4 million primarily from acquisitions and an increase in realized gains and was partially offset by $0.3 million decrease in finance charge revenue. The decrease in finance charge revenue is due to our enhanced preneed cemetery property sales strategy of reducing interest rates on preneed contracts. Operating profit for the two categories of </w:t>
      </w:r>
      <w:r>
        <w:rPr>
          <w:rFonts w:ascii="Arial" w:cs="Arial" w:eastAsia="Arial" w:hAnsi="Arial"/>
          <w:sz w:val="16"/>
          <w:szCs w:val="16"/>
          <w:i w:val="1"/>
          <w:iCs w:val="1"/>
          <w:color w:val="auto"/>
        </w:rPr>
        <w:t>Other revenue</w:t>
      </w:r>
      <w:r>
        <w:rPr>
          <w:rFonts w:ascii="Arial" w:cs="Arial" w:eastAsia="Arial" w:hAnsi="Arial"/>
          <w:sz w:val="16"/>
          <w:szCs w:val="16"/>
          <w:color w:val="auto"/>
        </w:rPr>
        <w:t>, on a combined basis, also increased $1.0 million for the six months ended June 30, 2020 compared to the same period in 2019 due to the increase in revenue. The increase in our trust fund income is primarily due to our major capital deployment during and after the COVID-19 market crash in March 2020, which we expect will produce sustainable increases in both revenue and operating profit throughout the year.</w:t>
      </w:r>
    </w:p>
    <w:p>
      <w:pPr>
        <w:spacing w:after="0" w:line="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Cemetery property amortization</w:t>
      </w:r>
      <w:r>
        <w:rPr>
          <w:rFonts w:ascii="Arial" w:cs="Arial" w:eastAsia="Arial" w:hAnsi="Arial"/>
          <w:sz w:val="18"/>
          <w:szCs w:val="18"/>
          <w:color w:val="auto"/>
        </w:rPr>
        <w:t>. Cemetery property amortization totaled $1.1 million for the three months ended June 30, 2020, a decrease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the three months ended June 30, 2019. Cemetery property amortization remained flat at $2.0 million for the six months ended June 30, 2020 compared to the six months ended June 30, 2019.</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Field depreciation. </w:t>
      </w:r>
      <w:r>
        <w:rPr>
          <w:rFonts w:ascii="Arial" w:cs="Arial" w:eastAsia="Arial" w:hAnsi="Arial"/>
          <w:sz w:val="18"/>
          <w:szCs w:val="18"/>
          <w:color w:val="auto"/>
        </w:rPr>
        <w:t>Depreciation expense for our field businesses increased $0.2 million for the three months ended June 30,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2019. Depreciation expense for our field businesses increased $0.4 million for the six months ended June 30, 2020 compared to the six months ended June 30, 2019. The increase was primarily attributable to additional depreciation expense from the assets acquired through our 2019 and first quarter 2020 acquisitions.</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Regional and unallocated funeral and cemetery costs. </w:t>
      </w:r>
      <w:r>
        <w:rPr>
          <w:rFonts w:ascii="Arial" w:cs="Arial" w:eastAsia="Arial" w:hAnsi="Arial"/>
          <w:sz w:val="18"/>
          <w:szCs w:val="18"/>
          <w:color w:val="auto"/>
        </w:rPr>
        <w:t>Regional and unallocated funeral and cemetery costs consist of salaries and benefits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management, field incentive compensation and other related costs for field infrastructure. Regional and unallocated funeral and cemetery costs totaled $3.7 million for the three months ended June 30, 2020, an increase of $0.1 million primarily due to a $0.4 million increase related to a state audit assessment, a $0.3 million increase in expenses related to the COVID-19 pandemic and a $0.1 million increase in other general and administrative costs, offset by a $0.7 million decrease in severance expense.</w:t>
      </w:r>
    </w:p>
    <w:p>
      <w:pPr>
        <w:spacing w:after="0" w:line="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Regional and unallocated funeral and cemetery costs totaled $6.5 million for the six months ended June 30, 2020, an increase of $0.1 million primarily due to a $0.4 million increase related to a state audit assessment, a $0.4 million increase in expenses due to the COVID-19 pandemic, offset by a $0.6 million decrease in severance expense and a $0.1 million decrease in other general administrative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Statement Items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General, administrative and other. </w:t>
      </w:r>
      <w:r>
        <w:rPr>
          <w:rFonts w:ascii="Arial" w:cs="Arial" w:eastAsia="Arial" w:hAnsi="Arial"/>
          <w:sz w:val="18"/>
          <w:szCs w:val="18"/>
          <w:color w:val="auto"/>
        </w:rPr>
        <w:t>General, administrative and other expenses totaled $6.5 million for the three months ended June 30,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$0.8 million compared to the three months ended June 30, 2019. The increase was primarily attributable to a $0.6 million increase in incentive compensation, a $0.3 million increase in public company costs, a $0.2 million increase in litigation reserve, offset by a $0.2 million decrease in other general administrative costs and a $0.1 million decrease in acquisition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611" w:right="339" w:bottom="1440" w:gutter="0" w:footer="0" w:header="0"/>
        </w:sectPr>
      </w:pPr>
    </w:p>
    <w:bookmarkStart w:id="57" w:name="page58"/>
    <w:bookmarkEnd w:id="57"/>
    <w:p>
      <w:pPr>
        <w:jc w:val="both"/>
        <w:ind w:firstLine="432"/>
        <w:spacing w:after="0" w:line="279" w:lineRule="auto"/>
        <w:rPr>
          <w:sz w:val="20"/>
          <w:szCs w:val="20"/>
          <w:color w:val="auto"/>
        </w:rPr>
      </w:pPr>
      <w:r>
        <w:rPr>
          <w:rFonts w:ascii="Arial" w:cs="Arial" w:eastAsia="Arial" w:hAnsi="Arial"/>
          <w:sz w:val="17"/>
          <w:szCs w:val="17"/>
          <w:color w:val="auto"/>
        </w:rPr>
        <w:t>General, administrative and other expenses totaled $12.5 million for the six months ended June 30, 2020, an increase of $1.2 million compared to the six months ended June 30, 2019. The increase was primarily attributable to a $0.5 million increase in salaries, benefits and severance costs, a $0.4 million increase in incentive and equity compensation, a $0.3 million increase in public company costs, a $0.3 million increase in litigation reserve and a $0.1 million increase in acquisition expenses, offset by a $0.4 million decrease in other general administrative costs.</w:t>
      </w:r>
    </w:p>
    <w:p>
      <w:pPr>
        <w:spacing w:after="0" w:line="11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Home office depreciation and amortization. </w:t>
      </w:r>
      <w:r>
        <w:rPr>
          <w:rFonts w:ascii="Arial" w:cs="Arial" w:eastAsia="Arial" w:hAnsi="Arial"/>
          <w:sz w:val="17"/>
          <w:szCs w:val="17"/>
          <w:color w:val="auto"/>
        </w:rPr>
        <w:t>Home office depreciation and amortization expense remained flat at $0.4 million and $0.7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six months ended June 30, 2020, compared to the three and six months ended June 30, 2019 primarily due to machinery and equipment at the home office becoming fully depreciated in 2019, offset by additional software assets purchased in the latter half of 2019.</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Impairment of goodwill and other intangibles</w:t>
      </w:r>
      <w:r>
        <w:rPr>
          <w:rFonts w:ascii="Arial" w:cs="Arial" w:eastAsia="Arial" w:hAnsi="Arial"/>
          <w:sz w:val="17"/>
          <w:szCs w:val="17"/>
          <w:color w:val="auto"/>
        </w:rPr>
        <w:t>. As a result of the economic conditions caused by the response to COVID-19, we performed a</w:t>
      </w:r>
      <w:r>
        <w:rPr>
          <w:rFonts w:ascii="Arial" w:cs="Arial" w:eastAsia="Arial" w:hAnsi="Arial"/>
          <w:sz w:val="17"/>
          <w:szCs w:val="17"/>
          <w:i w:val="1"/>
          <w:iCs w:val="1"/>
          <w:color w:val="auto"/>
        </w:rPr>
        <w:t xml:space="preserve"> </w:t>
      </w:r>
      <w:r>
        <w:rPr>
          <w:rFonts w:ascii="Arial" w:cs="Arial" w:eastAsia="Arial" w:hAnsi="Arial"/>
          <w:sz w:val="17"/>
          <w:szCs w:val="17"/>
          <w:color w:val="auto"/>
        </w:rPr>
        <w:t>quantitative assessment of our goodwill and indefinite-lived intangible assets at March 31, 2020. We recorded a goodwill impairment of $13.6 million related to our funeral homes in the Eastern Reporting Unit as the carrying value of goodwill exceeded the fair value at March 31, 2020. We also recorded a $1.1 million impairment charge to certain of our tradenames as the carrying amount of these tradenames exceeded the fair value.</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totaled $8.4 million for the three months ended June 30, 2020, an increase of $2.1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Interest expense totaled $16.8 million for the six months ended June 30, 2020, an increase of $4.2 million compared to the six months ended June 30, 2019. The increase was primarily due to increased borrowings on our Credit Facility and the $75.0 million of additional Senior Notes we issued on December 19, 2019.</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Accretion of discount on convertible subordinated notes</w:t>
      </w:r>
      <w:r>
        <w:rPr>
          <w:rFonts w:ascii="Arial" w:cs="Arial" w:eastAsia="Arial" w:hAnsi="Arial"/>
          <w:sz w:val="18"/>
          <w:szCs w:val="18"/>
          <w:color w:val="auto"/>
        </w:rPr>
        <w:t>. We recognized accretion of the discount on our Convertible Notes of $0.1 million for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2020 and 2019 and $0.1 million for both the six months ended June 30, 2020 and 2019.</w:t>
      </w:r>
    </w:p>
    <w:p>
      <w:pPr>
        <w:spacing w:after="0" w:line="116"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calculate our quarterly income tax expense using a forecasted annual effective tax rate and we adjust for any discrete items arising</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quarter. Our income tax expense was $3.4 million and $2.1 million for the three months ended June 30, 2020 and 2019, respectively and $1.3 million and $4.8 million for the six months ended June 30, 2020 and 2019, respectively. Our operating tax rate before discrete items was 33.5% and 29.2% for the three months ended June 30, 2020 and 2019, and 33.3% and 28.5% for the six months ended June 30, 2020 and 2019, respectively.</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our overall effective tax rate is due to the unfavorable tax impact of impairment of goodwill and other intangibles recorded in the first quarter of 2020 for businesses that were previously acquired through stock acquisitions.</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connection with the CARES Act, we expect to file a claim for a refund during 2020 to carryback the net operating losses generated in the tax years ending December 31, 2018 and 2019 and have included the anticipated impact in our current provision. In an effort to maximize the expected benefits afforded by the CARES Act we plan to amend our 2018 tax return to include the additional first year depreciation deduction for qualified improvement property. The majority of the net operating losses generated in 2018 are the result of filing non-automatic accounting method changes relating to the recognition of revenue from our cemetery property and merchandise and services sales. Due to the uncertainty of the timing of receiving Internal Revenue Service approval for non-automatic accounting method changes, a reserve has been recorded against the benefit derived from this carrying back that the net operating losses generated.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CRITICAL ACCOUNTING POLICIES AND ESTIMATES</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the Consolidated Financial Statements requires us to make estimates and judgments that affect the amounts reported in the unaudited consolidated financial statements and accompanying notes.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that our margins, operating income and net income, as a percentage of revenue, will be consistent from year to year.</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(“MD&amp;A”) is based upon our Consolidated Financial Statements presented herewith, which have been prepared in accordance with GAAP. Our critical accounting policies are discussed in MD&amp;A in our Annual Report on Form 10-K for the year ended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66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business can be affected by seasonal fluctuations in the death rate. Generally, the death rate is higher during the winter months because the incidences of death from influenza and pneumonia are higher during this period than other periods of the year.</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COVID-19 which are described in more detail in Item 1A - Risk Factors below.</w:t>
      </w:r>
    </w:p>
    <w:p>
      <w:pPr>
        <w:spacing w:after="0" w:line="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following quantitative and qualitative information is provided about financial instruments to which we are a party at June 30, 2020 and from which we may incur future gains or losses from changes in market conditions. We do not enter into derivative or other financial instruments for speculative or trading purposes.</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about our market-sensitive financial instruments constitutes a “forward-looking statement.”</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as of June 30, 2020 are presented in Item 1, “Condensed Notes to Consolidated Financial Statements,” Notes 6 and 7 to our Consolidated Financial Statements in this Quarterly Report on Form 10-Q. The sensitivity of the fixed income securities is such that a 0.25% change in interest rates causes an approximate 1.59% change in the value of the fixed income securities.</w:t>
      </w:r>
    </w:p>
    <w:p>
      <w:pPr>
        <w:spacing w:after="0" w:line="8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monitor current and forecasted interest rate risk in the ordinary course of business and seek to maintain optimal financial flexibility, quality and solvency. As of June 30, 2020, we had outstanding borrowings under the Credit Facility of $89.7 million. Any further borrowings or voluntary prepayments against the Credit Facility or any change in the floating rate would cause a change in interest expense. We have the option to pay interest under the Credit Facility at either prime rate or the LIBOR rate plus a margin. At June 30, 2020, the prime rate margin was equivalent to 2.00% and the LIBOR rate margin was 3.00%. Assuming the outstanding balance remains unchanged, a change of 100 basis points in our borrowing rate would result in a change in income before taxes of $0.9 million. We have not entered into interest rate hedging arrangements in the past. Management continually evaluates the cost and potential benefits of interest rate hedging arrangements.</w:t>
      </w:r>
    </w:p>
    <w:p>
      <w:pPr>
        <w:spacing w:after="0" w:line="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Convertible Notes bear interest at the fixed annual rate of 2.75%. The Convertible Notes do not contain a call feature. At June 30, 2020, the carrying value of the Convertible Notes on our Consolidated Balance Sheet was $6.1 million and the fair value of the Convertible Notes was $6.4 million based on the last traded or broker quoted price, as reported by the Financial Industry Regulatory Authority, Inc. (“FINRA)”. Increases in market interest rates may cause the value of the Convertible Notes to decrease, but such changes will not affect our interest costs.</w:t>
      </w:r>
    </w:p>
    <w:p>
      <w:pPr>
        <w:spacing w:after="0" w:line="6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Senior Notes bear interest at the fixed annual rate of 6.625%. 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governing the Senior Notes, plus accrued and unpaid interest, if any, to the date of redemption. At June 30, 2020, the carrying value of the Senior Notes on our Consolidated Balance Sheet was $395.7 million and the fair value of the Senior Notes was $419.9 million based on the last traded or broker quoted price, as reported by FINRA. Increases in market interest rates may cause the value of the Senior Notes to decrease, but such changes will not affect our interest costs.</w:t>
      </w:r>
    </w:p>
    <w:p>
      <w:pPr>
        <w:spacing w:after="0" w:line="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769" w:right="339" w:bottom="1440" w:gutter="0" w:footer="0" w:header="0"/>
        </w:sectPr>
      </w:pPr>
    </w:p>
    <w:bookmarkStart w:id="59" w:name="page60"/>
    <w:bookmarkEnd w:id="59"/>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as of June 30, 2020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769"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7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 Item 1, Financial Statements and Supplementary Data, Note 14 for additional information related to our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 Update</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light of the rapidly evolving COVID-19 outbreak, we are also supplementing the risk factors set out under “Item 1A. Risk Factors” in our Annual Report on Form 10-K for the fiscal year ended December 31, 2019 (the “2019 Form 10-K”) with the new risk factor set out below. The risk factors below should be read in conjunction with the risk factors set out in our 2019 Form 10-K:</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Unfavorable economic conditions, including as a result of health and safety concerns, could adversely affect our business, financial condition or results of operations.</w:t>
      </w:r>
    </w:p>
    <w:p>
      <w:pPr>
        <w:spacing w:after="0" w:line="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Our business and operational results could be adversely affected by general conditions in the U.S. economy, including conditions that are outside of our control, such as the impact of health and safety concerns from the COVID-19 pandemic. The most recent U.S. and global economic and financial conditions related to COVID-19 resulted in extreme volatility and disruptions in the capital and credit markets. A severe or prolonged economic downturn, and the related adverse economic and health consequences could result in a variety of risks to our business, financial condition or results from operations, including weakened demand from our client families, decreased preneed sales, increased preneed installment contract defaults, increased cremation rates, reduced access to capital and credit markets or delays in obtaining client family payments. A weak or declining economy could also strain our supply partners. Additionally, our business relies heavily on our employees, including key employees due to the localized and personal nature of our business, and adverse events such as health-related concerns, the inability to travel and other matters affecting the general work environment could harm our business. In the event of a major disruption caused by the outbreak of pandemic diseases such as COVID-19, we may lose the services of a number of our key employees or experience system interruptions, which could lead to impacts to our regular business operations, inefficiencies and reputational harm. Due to the uncertainty around the ultimate impact of COVID-19 to our business and operations, the impact on our business and operational results cannot be reasonably estimated at this time. Any of the foregoing could harm our business and we cannot anticipate all the ways in which the current COVID-19 pandemic and financial market conditions could adversely impact our business.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Covenant restrictions in our debt instruments may limit our flexibility to operate and grow our business, and if we are not able to comply with such covenants, our lenders could accelerate our indebtedness, proceed against certain collateral or exercise other remedies, which could have a material adverse effect on us.</w:t>
      </w:r>
    </w:p>
    <w:p>
      <w:pPr>
        <w:spacing w:after="0" w:line="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covenants in our Credit Facility and the indenture governing our Senior Notes contain a number of provisions that impose operating and financial restrictions which, subject to certain exceptions, limit our ability and the ability of our subsidiaries to, among other things: incur additional indebtedness (including guarantees); pay dividends or make distributions or redeem or repurchase our common stock; make investments; grant liens on assets; make capital expenditures; enter into transactions with affiliates; enter into sale-leaseback transactions; sell or dispose assets; and acquire the assets of, or merge or consolidate with, other companies.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required to comply with certain financial covenants in our Credit Facility. Complying with these financial covenants and other restrictive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Our failure to comply with any of these covenants or restrictions could result in a default under any future debt instrument, which could lead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99" w:right="339" w:bottom="1440" w:gutter="0" w:footer="0" w:header="0"/>
        </w:sectPr>
      </w:pPr>
    </w:p>
    <w:bookmarkStart w:id="61" w:name="page62"/>
    <w:bookmarkEnd w:id="61"/>
    <w:p>
      <w:pPr>
        <w:jc w:val="both"/>
        <w:spacing w:after="0" w:line="275" w:lineRule="auto"/>
        <w:rPr>
          <w:sz w:val="20"/>
          <w:szCs w:val="20"/>
          <w:color w:val="auto"/>
        </w:rPr>
      </w:pPr>
      <w:r>
        <w:rPr>
          <w:rFonts w:ascii="Arial" w:cs="Arial" w:eastAsia="Arial" w:hAnsi="Arial"/>
          <w:sz w:val="17"/>
          <w:szCs w:val="17"/>
          <w:color w:val="auto"/>
        </w:rPr>
        <w:t>an acceleration of the debt under that instrument and, in some cases, the acceleration of debt under other instruments that contain cross-default or cross-acceleration provisions, each of which could have a material adverse effect on us.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choose to exercise their remedies in respect of the collateral, including a foreclosure of their lien which results in a sale of certain of our funeral assets to satisfy our obligations under the Credit Facility.</w:t>
      </w:r>
    </w:p>
    <w:p>
      <w:pPr>
        <w:spacing w:after="0" w:line="68"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Pursuant to the terms of our Credit Facility, we must comply with, amongst other things, a maximum Total Leverage Ratio covenant which is measured quarterly. If we are unable to comply with the maximum Total Leverage Ratio, we will be in immediate default under the Credit Facility. The COVID-19 pandemic may have a future impact on our business which could result in our inability to comply with this Total Leverage Ratio covenant and other covenants in our Credit Facility. There can be no assurance that the lenders will agree to amend the Credit Facility in the future to adjust or eliminate this covenant or whether the lenders may agree to waive any non-compliance with this financial covenant or any other covenant in the future.</w:t>
      </w:r>
    </w:p>
    <w:p>
      <w:pPr>
        <w:spacing w:after="0" w:line="53"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Moreover, if we do not maintain compliance with our continuing obligations or any covenants, terms and conditions of the Credit Facility, we could be in default and required to repay outstanding borrowings on an accelerated basis, which could subject us to decreased liquidity and other negative impacts on our business, results of operations and financial condition. It may be difficult for us to find an alternative lending source under these circumstances. Without access to borrowings under the Credit Facility, our liquidity would be adversely affected and we would lack sufficient working capital to operate our business as presently conducted. Any disruption in access to credit could force us to take measures to conserve cash.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revised tax regulations could have a material effect on our financial statements</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amended, or applied in a manner that has a material effect on us, which could materially impact our business and financial condition. For example, on March 27, 2020, the CARES Act was enacted in response to the macroeconomic environment conditions posed by COVID-19. The CARES Act is a sweeping stimulus bill intended to bolster the U.S. economy, among other things, and provide emergency assistance to qualifying businesses and individuals. Based on available guidance, we anticipate that the legislative changes will have a positive impact on our earnings and cash flow. We have conducted an initial analysis into determining the impact of the legislative changes on our provision for income taxes. As the enacted legislation includes provisions that would expire after certain periods of time, the fact that our business has the potential to change its operating situation, and the existence of potential changes by state tax authorities related to conformity with federal tax regulations, the possibility exists that the future benefit of the legislation could change. In addition, it is uncertain if, and to what extent, various states will conform to the CARES Act, or any newly enacted or revised federal tax legislation. Under the CARES Act, the primary areas that should be considered for future earnings and cash impact are the changes to the interest expense limitation threshold and the technical correction to the Tax Cuts and Jobs Act regarding the qualified improvement property now being eligible for full expensing. We continue to work to determine the full impact that the recent tax legislation as a whole will have on us.</w:t>
      </w:r>
    </w:p>
    <w:p>
      <w:pPr>
        <w:spacing w:after="0" w:line="17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Please also refer to the complete set of Risk Factors under Item 1A in the Company’s 2019 Form 10-K, filed with the U.S. Securities and Exchange Commission on February 28, 2020, for additional risks and uncertainties to the Company that may have an adverse effect on the Company’s business, financial condition and results of operations.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certain information with respect to repurchases of our common stock during the quarter ended June 30,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22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5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35"/>
              <w:spacing w:after="0"/>
              <w:rPr>
                <w:sz w:val="20"/>
                <w:szCs w:val="20"/>
                <w:color w:val="auto"/>
              </w:rPr>
            </w:pPr>
            <w:r>
              <w:rPr>
                <w:rFonts w:ascii="Arial" w:cs="Arial" w:eastAsia="Arial" w:hAnsi="Arial"/>
                <w:sz w:val="16"/>
                <w:szCs w:val="16"/>
                <w:b w:val="1"/>
                <w:bCs w:val="1"/>
                <w:color w:val="auto"/>
                <w:w w:val="94"/>
              </w:rPr>
              <w:t>Shares Purchased</w:t>
            </w:r>
          </w:p>
        </w:tc>
        <w:tc>
          <w:tcPr>
            <w:tcW w:w="22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5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6"/>
                <w:szCs w:val="16"/>
                <w:b w:val="1"/>
                <w:bCs w:val="1"/>
                <w:color w:val="auto"/>
                <w:w w:val="96"/>
              </w:rPr>
              <w:t>as Part of Publicly</w:t>
            </w:r>
          </w:p>
        </w:tc>
        <w:tc>
          <w:tcPr>
            <w:tcW w:w="22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5420" w:type="dxa"/>
            <w:vAlign w:val="bottom"/>
          </w:tcPr>
          <w:p>
            <w:pPr>
              <w:spacing w:after="0"/>
              <w:rPr>
                <w:sz w:val="17"/>
                <w:szCs w:val="17"/>
                <w:color w:val="auto"/>
              </w:rPr>
            </w:pPr>
          </w:p>
        </w:tc>
        <w:tc>
          <w:tcPr>
            <w:tcW w:w="1360" w:type="dxa"/>
            <w:vAlign w:val="bottom"/>
          </w:tcPr>
          <w:p>
            <w:pPr>
              <w:ind w:left="120"/>
              <w:spacing w:after="0"/>
              <w:rPr>
                <w:sz w:val="20"/>
                <w:szCs w:val="20"/>
                <w:color w:val="auto"/>
              </w:rPr>
            </w:pPr>
            <w:r>
              <w:rPr>
                <w:rFonts w:ascii="Arial" w:cs="Arial" w:eastAsia="Arial" w:hAnsi="Arial"/>
                <w:sz w:val="16"/>
                <w:szCs w:val="16"/>
                <w:b w:val="1"/>
                <w:bCs w:val="1"/>
                <w:color w:val="auto"/>
                <w:w w:val="99"/>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 Price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Announced</w:t>
            </w:r>
          </w:p>
        </w:tc>
        <w:tc>
          <w:tcPr>
            <w:tcW w:w="22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Under the</w:t>
            </w:r>
          </w:p>
        </w:tc>
      </w:tr>
      <w:tr>
        <w:trPr>
          <w:trHeight w:val="243"/>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1360" w:type="dxa"/>
            <w:vAlign w:val="bottom"/>
          </w:tcPr>
          <w:p>
            <w:pPr>
              <w:ind w:left="60"/>
              <w:spacing w:after="0"/>
              <w:rPr>
                <w:sz w:val="20"/>
                <w:szCs w:val="20"/>
                <w:color w:val="auto"/>
              </w:rPr>
            </w:pPr>
            <w:r>
              <w:rPr>
                <w:rFonts w:ascii="Arial" w:cs="Arial" w:eastAsia="Arial" w:hAnsi="Arial"/>
                <w:sz w:val="16"/>
                <w:szCs w:val="16"/>
                <w:b w:val="1"/>
                <w:bCs w:val="1"/>
                <w:color w:val="auto"/>
                <w:w w:val="91"/>
              </w:rPr>
              <w:t>Shares Purchased</w:t>
            </w:r>
          </w:p>
        </w:tc>
        <w:tc>
          <w:tcPr>
            <w:tcW w:w="120" w:type="dxa"/>
            <w:vAlign w:val="bottom"/>
          </w:tcPr>
          <w:p>
            <w:pPr>
              <w:spacing w:after="0"/>
              <w:rPr>
                <w:sz w:val="21"/>
                <w:szCs w:val="21"/>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Paid Per Share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Program</w:t>
            </w:r>
          </w:p>
        </w:tc>
        <w:tc>
          <w:tcPr>
            <w:tcW w:w="220" w:type="dxa"/>
            <w:vAlign w:val="bottom"/>
          </w:tcPr>
          <w:p>
            <w:pPr>
              <w:spacing w:after="0"/>
              <w:rPr>
                <w:sz w:val="21"/>
                <w:szCs w:val="21"/>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Program</w:t>
            </w:r>
            <w:r>
              <w:rPr>
                <w:rFonts w:ascii="Arial" w:cs="Arial" w:eastAsia="Arial" w:hAnsi="Arial"/>
                <w:sz w:val="21"/>
                <w:szCs w:val="21"/>
                <w:b w:val="1"/>
                <w:bCs w:val="1"/>
                <w:color w:val="auto"/>
                <w:w w:val="89"/>
                <w:vertAlign w:val="superscript"/>
              </w:rPr>
              <w:t>(1)</w:t>
            </w:r>
          </w:p>
        </w:tc>
      </w:tr>
      <w:tr>
        <w:trPr>
          <w:trHeight w:val="169"/>
        </w:trPr>
        <w:tc>
          <w:tcPr>
            <w:tcW w:w="5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2020 - April 30, 2020</w:t>
            </w: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25,601,446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May 1, 2020 - May 31, 2020</w:t>
            </w: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25,601,446</w:t>
            </w:r>
          </w:p>
        </w:tc>
      </w:tr>
      <w:tr>
        <w:trPr>
          <w:trHeight w:val="27"/>
        </w:trPr>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2020 - June 30, 2020</w:t>
            </w: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25,601,446</w:t>
            </w:r>
          </w:p>
        </w:tc>
      </w:tr>
      <w:tr>
        <w:trPr>
          <w:trHeight w:val="257"/>
        </w:trPr>
        <w:tc>
          <w:tcPr>
            <w:tcW w:w="5420" w:type="dxa"/>
            <w:vAlign w:val="bottom"/>
          </w:tcPr>
          <w:p>
            <w:pPr>
              <w:ind w:left="40"/>
              <w:spacing w:after="0"/>
              <w:rPr>
                <w:sz w:val="20"/>
                <w:szCs w:val="20"/>
                <w:color w:val="auto"/>
              </w:rPr>
            </w:pPr>
            <w:r>
              <w:rPr>
                <w:rFonts w:ascii="Arial" w:cs="Arial" w:eastAsia="Arial" w:hAnsi="Arial"/>
                <w:sz w:val="18"/>
                <w:szCs w:val="18"/>
                <w:color w:val="auto"/>
              </w:rPr>
              <w:t>Total for quarter ended June 30, 2020</w:t>
            </w: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8" w:lineRule="exact"/>
        <w:rPr>
          <w:sz w:val="20"/>
          <w:szCs w:val="20"/>
          <w:color w:val="auto"/>
        </w:rPr>
      </w:pPr>
    </w:p>
    <w:p>
      <w:pPr>
        <w:ind w:left="520" w:hanging="458"/>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Note 15 to the Consolidated Financial Statements included herein for additional information on our publicly announced share repurchase program.</w:t>
      </w:r>
    </w:p>
    <w:p>
      <w:pPr>
        <w:spacing w:after="0" w:line="257" w:lineRule="exact"/>
        <w:rPr>
          <w:rFonts w:ascii="Arial" w:cs="Arial" w:eastAsia="Arial" w:hAnsi="Arial"/>
          <w:sz w:val="16"/>
          <w:szCs w:val="16"/>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240"/>
          </w:cols>
          <w:pgMar w:left="320" w:top="611" w:right="339" w:bottom="1440" w:gutter="0" w:footer="0" w:header="0"/>
        </w:sectPr>
      </w:pPr>
    </w:p>
    <w:bookmarkStart w:id="62" w:name="page63"/>
    <w:bookmarkEnd w:id="62"/>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r>
        <w:rPr>
          <w:rFonts w:ascii="Arial" w:cs="Arial" w:eastAsia="Arial" w:hAnsi="Arial"/>
          <w:sz w:val="15"/>
          <w:szCs w:val="15"/>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exhibits required to be filed pursuant to the requirements of Item 601 of Regulation S-K are set forth in the Exhibit Index accompanying this Quarterly Report on Form 10-Q and are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715"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CARRIAGE SERVICES, INC.</w:t>
      </w:r>
    </w:p>
    <w:p>
      <w:pPr>
        <w:spacing w:after="0" w:line="63" w:lineRule="exact"/>
        <w:rPr>
          <w:sz w:val="20"/>
          <w:szCs w:val="20"/>
          <w:color w:val="auto"/>
        </w:rPr>
      </w:pPr>
    </w:p>
    <w:p>
      <w:pPr>
        <w:ind w:left="40"/>
        <w:spacing w:after="0"/>
        <w:tabs>
          <w:tab w:leader="none" w:pos="700" w:val="left"/>
          <w:tab w:leader="none" w:pos="4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r>
        <w:rPr>
          <w:sz w:val="20"/>
          <w:szCs w:val="20"/>
          <w:color w:val="auto"/>
        </w:rPr>
        <w:tab/>
      </w:r>
      <w:r>
        <w:rPr>
          <w:rFonts w:ascii="Arial" w:cs="Arial" w:eastAsia="Arial" w:hAnsi="Arial"/>
          <w:sz w:val="17"/>
          <w:szCs w:val="17"/>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3985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5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Viki K. Blinderman</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Senior Vice President, Chief Accounting Officer and Secretary</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99" w:right="339" w:bottom="1440" w:gutter="0" w:footer="0" w:header="0"/>
        </w:sectPr>
      </w:pPr>
    </w:p>
    <w:bookmarkStart w:id="64" w:name="page65"/>
    <w:bookmarkEnd w:id="64"/>
    <w:tbl>
      <w:tblPr>
        <w:tblLayout w:type="fixed"/>
        <w:tblInd w:w="5"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4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99"/>
              </w:rPr>
              <w:t>CARRIAGE SERVICES, INC.</w:t>
            </w:r>
          </w:p>
        </w:tc>
      </w:tr>
      <w:tr>
        <w:trPr>
          <w:trHeight w:val="378"/>
        </w:trPr>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40" w:type="dxa"/>
            <w:vAlign w:val="bottom"/>
            <w:gridSpan w:val="4"/>
          </w:tcPr>
          <w:p>
            <w:pPr>
              <w:jc w:val="center"/>
              <w:ind w:right="2760"/>
              <w:spacing w:after="0"/>
              <w:rPr>
                <w:sz w:val="20"/>
                <w:szCs w:val="20"/>
                <w:color w:val="auto"/>
              </w:rPr>
            </w:pPr>
            <w:r>
              <w:rPr>
                <w:rFonts w:ascii="Arial" w:cs="Arial" w:eastAsia="Arial" w:hAnsi="Arial"/>
                <w:sz w:val="18"/>
                <w:szCs w:val="18"/>
                <w:b w:val="1"/>
                <w:bCs w:val="1"/>
                <w:color w:val="auto"/>
              </w:rPr>
              <w:t>INDEX OF EXHIBITS</w:t>
            </w:r>
          </w:p>
        </w:tc>
      </w:tr>
      <w:tr>
        <w:trPr>
          <w:trHeight w:val="364"/>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132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8440" w:type="dxa"/>
            <w:vAlign w:val="bottom"/>
            <w:gridSpan w:val="4"/>
          </w:tcPr>
          <w:p>
            <w:pPr>
              <w:spacing w:after="0"/>
              <w:rPr>
                <w:sz w:val="24"/>
                <w:szCs w:val="24"/>
                <w:color w:val="auto"/>
              </w:rPr>
            </w:pPr>
          </w:p>
        </w:tc>
      </w:tr>
      <w:tr>
        <w:trPr>
          <w:trHeight w:val="223"/>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10.1</w:t>
            </w:r>
          </w:p>
        </w:tc>
        <w:tc>
          <w:tcPr>
            <w:tcW w:w="9160" w:type="dxa"/>
            <w:vAlign w:val="bottom"/>
            <w:tcBorders>
              <w:bottom w:val="single" w:sz="8" w:color="0000FF"/>
            </w:tcBorders>
            <w:gridSpan w:val="6"/>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Limited Waiver and Fourth Amendment to Credit Agreement, dated as of May 18, 2020, by and among Carriage Services,</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60" w:type="dxa"/>
            <w:vAlign w:val="bottom"/>
            <w:gridSpan w:val="6"/>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Inc., the financial institutions party thereto, as lenders, and Bank of America, as administrative agent, swing line lender and</w:t>
              </w:r>
            </w:hyperlink>
          </w:p>
        </w:tc>
      </w:tr>
      <w:tr>
        <w:trPr>
          <w:trHeight w:val="237"/>
        </w:trPr>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tcBorders>
              <w:top w:val="single" w:sz="8" w:color="0000FF"/>
            </w:tcBorders>
            <w:gridSpan w:val="5"/>
          </w:tcPr>
          <w:p>
            <w:pPr>
              <w:spacing w:after="0"/>
              <w:rPr>
                <w:rFonts w:ascii="Arial" w:cs="Arial" w:eastAsia="Arial" w:hAnsi="Arial"/>
                <w:sz w:val="18"/>
                <w:szCs w:val="18"/>
                <w:u w:val="single" w:color="auto"/>
                <w:color w:val="0000FF"/>
                <w:w w:val="94"/>
              </w:rPr>
            </w:pPr>
            <w:hyperlink r:id="rId22">
              <w:r>
                <w:rPr>
                  <w:rFonts w:ascii="Arial" w:cs="Arial" w:eastAsia="Arial" w:hAnsi="Arial"/>
                  <w:sz w:val="18"/>
                  <w:szCs w:val="18"/>
                  <w:u w:val="single" w:color="auto"/>
                  <w:color w:val="0000FF"/>
                  <w:w w:val="94"/>
                </w:rPr>
                <w:t>L/C issuer. Incorporated by reference to exhibit 10.1 to the Company's Current Report on Form 8-K filed on May 22, 2020.</w:t>
              </w:r>
            </w:hyperlink>
          </w:p>
        </w:tc>
        <w:tc>
          <w:tcPr>
            <w:tcW w:w="20" w:type="dxa"/>
            <w:vAlign w:val="bottom"/>
          </w:tcPr>
          <w:p>
            <w:pPr>
              <w:spacing w:after="0"/>
              <w:rPr>
                <w:sz w:val="20"/>
                <w:szCs w:val="20"/>
                <w:color w:val="auto"/>
              </w:rPr>
            </w:pPr>
          </w:p>
        </w:tc>
      </w:tr>
      <w:tr>
        <w:trPr>
          <w:trHeight w:val="459"/>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10.2</w:t>
            </w:r>
          </w:p>
        </w:tc>
        <w:tc>
          <w:tcPr>
            <w:tcW w:w="9160" w:type="dxa"/>
            <w:vAlign w:val="bottom"/>
            <w:tcBorders>
              <w:bottom w:val="single" w:sz="8" w:color="0000FF"/>
            </w:tcBorders>
            <w:gridSpan w:val="6"/>
          </w:tcPr>
          <w:p>
            <w:pPr>
              <w:spacing w:after="0"/>
              <w:rPr>
                <w:rFonts w:ascii="Arial" w:cs="Arial" w:eastAsia="Arial" w:hAnsi="Arial"/>
                <w:sz w:val="18"/>
                <w:szCs w:val="18"/>
                <w:color w:val="0000FF"/>
                <w:w w:val="98"/>
              </w:rPr>
            </w:pPr>
            <w:hyperlink r:id="rId23">
              <w:r>
                <w:rPr>
                  <w:rFonts w:ascii="Arial" w:cs="Arial" w:eastAsia="Arial" w:hAnsi="Arial"/>
                  <w:sz w:val="18"/>
                  <w:szCs w:val="18"/>
                  <w:color w:val="0000FF"/>
                  <w:w w:val="98"/>
                </w:rPr>
                <w:t>Form of Performance Award Agreement under Carriage Services, Inc. 2017 Omnibus Incentive Plan. Incorporated by</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60" w:type="dxa"/>
            <w:vAlign w:val="bottom"/>
            <w:gridSpan w:val="6"/>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reference to exhibit 10.2 to the Company's Current Report on Form 8-K filed on May 22, 2020.</w:t>
              </w:r>
            </w:hyperlink>
          </w:p>
        </w:tc>
      </w:tr>
      <w:tr>
        <w:trPr>
          <w:trHeight w:val="20"/>
        </w:trPr>
        <w:tc>
          <w:tcPr>
            <w:tcW w:w="202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*31.1</w:t>
            </w:r>
          </w:p>
        </w:tc>
        <w:tc>
          <w:tcPr>
            <w:tcW w:w="916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66">
              <w:r>
                <w:rPr>
                  <w:rFonts w:ascii="Arial" w:cs="Arial" w:eastAsia="Arial" w:hAnsi="Arial"/>
                  <w:sz w:val="18"/>
                  <w:szCs w:val="18"/>
                  <w:color w:val="0000FF"/>
                  <w:w w:val="95"/>
                </w:rPr>
                <w:t>Certification of Periodic Financial Reports by Melvin C. Payne in satisfaction of Section 302 of the Sarbanes-Oxley Act of</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66">
              <w:r>
                <w:rPr>
                  <w:rFonts w:ascii="Arial" w:cs="Arial" w:eastAsia="Arial" w:hAnsi="Arial"/>
                  <w:sz w:val="18"/>
                  <w:szCs w:val="18"/>
                  <w:color w:val="0000FF"/>
                  <w:w w:val="84"/>
                </w:rPr>
                <w:t>2002.</w:t>
              </w:r>
            </w:hyperlink>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9"/>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*31.2</w:t>
            </w:r>
          </w:p>
        </w:tc>
        <w:tc>
          <w:tcPr>
            <w:tcW w:w="916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67">
              <w:r>
                <w:rPr>
                  <w:rFonts w:ascii="Arial" w:cs="Arial" w:eastAsia="Arial" w:hAnsi="Arial"/>
                  <w:sz w:val="18"/>
                  <w:szCs w:val="18"/>
                  <w:color w:val="0000FF"/>
                  <w:w w:val="93"/>
                </w:rPr>
                <w:t>Certification of Periodic Financial Reports by Viki K. Blinderman in satisfaction of Section 302 of the Sarbanes-Oxley Act of</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67">
              <w:r>
                <w:rPr>
                  <w:rFonts w:ascii="Arial" w:cs="Arial" w:eastAsia="Arial" w:hAnsi="Arial"/>
                  <w:sz w:val="18"/>
                  <w:szCs w:val="18"/>
                  <w:color w:val="0000FF"/>
                  <w:w w:val="84"/>
                </w:rPr>
                <w:t>2002.</w:t>
              </w:r>
            </w:hyperlink>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rPr>
              <w:t>**32</w:t>
            </w:r>
          </w:p>
        </w:tc>
        <w:tc>
          <w:tcPr>
            <w:tcW w:w="9160" w:type="dxa"/>
            <w:vAlign w:val="bottom"/>
            <w:gridSpan w:val="6"/>
          </w:tcPr>
          <w:p>
            <w:pPr>
              <w:spacing w:after="0"/>
              <w:rPr>
                <w:rFonts w:ascii="Arial" w:cs="Arial" w:eastAsia="Arial" w:hAnsi="Arial"/>
                <w:sz w:val="18"/>
                <w:szCs w:val="18"/>
                <w:color w:val="0000FF"/>
                <w:w w:val="95"/>
              </w:rPr>
            </w:pPr>
            <w:hyperlink w:anchor="page68">
              <w:r>
                <w:rPr>
                  <w:rFonts w:ascii="Arial" w:cs="Arial" w:eastAsia="Arial" w:hAnsi="Arial"/>
                  <w:sz w:val="18"/>
                  <w:szCs w:val="18"/>
                  <w:color w:val="0000FF"/>
                  <w:w w:val="95"/>
                </w:rPr>
                <w:t>Certification of Periodic Financial Reports by Melvin C. Payne and Viki K. Blinderman in satisfaction of Section 906 of the</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8">
              <w:r>
                <w:rPr>
                  <w:rFonts w:ascii="Arial" w:cs="Arial" w:eastAsia="Arial" w:hAnsi="Arial"/>
                  <w:sz w:val="18"/>
                  <w:szCs w:val="18"/>
                  <w:color w:val="0000FF"/>
                </w:rPr>
                <w:t>Sarbanes-Oxley Act of 2002 and 18 U.S.C. Section 1350.</w:t>
              </w:r>
            </w:hyperlink>
          </w:p>
        </w:tc>
        <w:tc>
          <w:tcPr>
            <w:tcW w:w="20" w:type="dxa"/>
            <w:vAlign w:val="bottom"/>
          </w:tcPr>
          <w:p>
            <w:pPr>
              <w:spacing w:after="0"/>
              <w:rPr>
                <w:sz w:val="17"/>
                <w:szCs w:val="17"/>
                <w:color w:val="auto"/>
              </w:rPr>
            </w:pPr>
          </w:p>
        </w:tc>
      </w:tr>
      <w:tr>
        <w:trPr>
          <w:trHeight w:val="480"/>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*101</w:t>
            </w:r>
          </w:p>
        </w:tc>
        <w:tc>
          <w:tcPr>
            <w:tcW w:w="41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Interactive Data Files.</w:t>
            </w:r>
          </w:p>
        </w:tc>
        <w:tc>
          <w:tcPr>
            <w:tcW w:w="5020" w:type="dxa"/>
            <w:vAlign w:val="bottom"/>
            <w:gridSpan w:val="3"/>
          </w:tcPr>
          <w:p>
            <w:pPr>
              <w:spacing w:after="0"/>
              <w:rPr>
                <w:sz w:val="24"/>
                <w:szCs w:val="24"/>
                <w:color w:val="auto"/>
              </w:rPr>
            </w:pPr>
          </w:p>
        </w:tc>
      </w:tr>
    </w:tbl>
    <w:p>
      <w:pPr>
        <w:spacing w:after="0" w:line="301"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w:t>
      </w:r>
    </w:p>
    <w:p>
      <w:pPr>
        <w:spacing w:after="0" w:line="163" w:lineRule="exact"/>
        <w:rPr>
          <w:sz w:val="20"/>
          <w:szCs w:val="20"/>
          <w:color w:val="auto"/>
        </w:rPr>
      </w:pPr>
    </w:p>
    <w:p>
      <w:pPr>
        <w:ind w:left="685" w:hanging="685"/>
        <w:spacing w:after="0"/>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685" w:hanging="685"/>
        <w:spacing w:after="0"/>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6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5"/>
          </w:cols>
          <w:pgMar w:left="355" w:top="499"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9"/>
          <w:szCs w:val="19"/>
          <w:b w:val="1"/>
          <w:bCs w:val="1"/>
          <w:color w:val="auto"/>
        </w:rPr>
        <w:t>EXHIBIT 31.1</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 Melvin C. Payne, certify that:</w:t>
      </w:r>
    </w:p>
    <w:p>
      <w:pPr>
        <w:spacing w:after="0" w:line="63" w:lineRule="exact"/>
        <w:rPr>
          <w:sz w:val="20"/>
          <w:szCs w:val="20"/>
          <w:color w:val="auto"/>
        </w:rPr>
      </w:pPr>
    </w:p>
    <w:p>
      <w:pPr>
        <w:ind w:left="1220" w:hanging="645"/>
        <w:spacing w:after="0"/>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 have reviewed this report on Form 10-Q of Carriage Services, Inc. (the “registrant”);</w:t>
      </w:r>
    </w:p>
    <w:p>
      <w:pPr>
        <w:spacing w:after="0" w:line="7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9"/>
          <w:szCs w:val="19"/>
          <w:color w:val="auto"/>
        </w:rPr>
      </w:pPr>
    </w:p>
    <w:p>
      <w:pPr>
        <w:jc w:val="both"/>
        <w:ind w:left="2520" w:hanging="487"/>
        <w:spacing w:after="0" w:line="249"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9"/>
          <w:szCs w:val="19"/>
          <w:color w:val="auto"/>
        </w:rPr>
      </w:pPr>
    </w:p>
    <w:p>
      <w:pPr>
        <w:jc w:val="both"/>
        <w:ind w:left="1220" w:right="20" w:hanging="645"/>
        <w:spacing w:after="0" w:line="249"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9"/>
          <w:szCs w:val="19"/>
          <w:color w:val="auto"/>
        </w:rPr>
      </w:pPr>
    </w:p>
    <w:p>
      <w:pPr>
        <w:jc w:val="both"/>
        <w:ind w:left="2520" w:hanging="487"/>
        <w:spacing w:after="0" w:line="249"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9"/>
          <w:szCs w:val="19"/>
          <w:color w:val="auto"/>
        </w:rPr>
      </w:pPr>
    </w:p>
    <w:p>
      <w:pPr>
        <w:ind w:left="2520" w:hanging="487"/>
        <w:spacing w:after="0" w:line="261"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820" w:val="left"/>
          <w:tab w:leader="none" w:pos="496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August 4, 2020</w:t>
      </w:r>
      <w:r>
        <w:rPr>
          <w:sz w:val="20"/>
          <w:szCs w:val="20"/>
          <w:color w:val="auto"/>
        </w:rPr>
        <w:tab/>
      </w:r>
      <w:r>
        <w:rPr>
          <w:rFonts w:ascii="Arial" w:cs="Arial" w:eastAsia="Arial" w:hAnsi="Arial"/>
          <w:sz w:val="17"/>
          <w:szCs w:val="17"/>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29845</wp:posOffset>
            </wp:positionV>
            <wp:extent cx="3985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4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Melvin C. Payne</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Chief Executive Officer and Chairman of the Board</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11240"/>
          </w:cols>
          <w:pgMar w:left="320" w:top="54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9"/>
          <w:szCs w:val="19"/>
          <w:b w:val="1"/>
          <w:bCs w:val="1"/>
          <w:color w:val="auto"/>
        </w:rPr>
        <w:t>EXHIBIT 31.2</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 Viki K Blinderman, certify that:</w:t>
      </w:r>
    </w:p>
    <w:p>
      <w:pPr>
        <w:spacing w:after="0" w:line="63" w:lineRule="exact"/>
        <w:rPr>
          <w:sz w:val="20"/>
          <w:szCs w:val="20"/>
          <w:color w:val="auto"/>
        </w:rPr>
      </w:pPr>
    </w:p>
    <w:p>
      <w:pPr>
        <w:ind w:left="1220" w:hanging="645"/>
        <w:spacing w:after="0"/>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 have reviewed this report on Form 10-Q of Carriage Services, Inc. (the “registrant”);</w:t>
      </w:r>
    </w:p>
    <w:p>
      <w:pPr>
        <w:spacing w:after="0" w:line="7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9"/>
          <w:szCs w:val="19"/>
          <w:color w:val="auto"/>
        </w:rPr>
      </w:pPr>
    </w:p>
    <w:p>
      <w:pPr>
        <w:jc w:val="both"/>
        <w:ind w:left="2520" w:hanging="487"/>
        <w:spacing w:after="0" w:line="249"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9"/>
          <w:szCs w:val="19"/>
          <w:color w:val="auto"/>
        </w:rPr>
      </w:pPr>
    </w:p>
    <w:p>
      <w:pPr>
        <w:jc w:val="both"/>
        <w:ind w:left="1220" w:right="20" w:hanging="645"/>
        <w:spacing w:after="0" w:line="249"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9"/>
          <w:szCs w:val="19"/>
          <w:color w:val="auto"/>
        </w:rPr>
      </w:pPr>
    </w:p>
    <w:p>
      <w:pPr>
        <w:jc w:val="both"/>
        <w:ind w:left="2520" w:hanging="487"/>
        <w:spacing w:after="0" w:line="249"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9"/>
          <w:szCs w:val="19"/>
          <w:color w:val="auto"/>
        </w:rPr>
      </w:pPr>
    </w:p>
    <w:p>
      <w:pPr>
        <w:ind w:left="2520" w:hanging="487"/>
        <w:spacing w:after="0" w:line="261"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820" w:val="left"/>
          <w:tab w:leader="none" w:pos="496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August 4, 2020</w:t>
      </w:r>
      <w:r>
        <w:rPr>
          <w:sz w:val="20"/>
          <w:szCs w:val="20"/>
          <w:color w:val="auto"/>
        </w:rPr>
        <w:tab/>
      </w:r>
      <w:r>
        <w:rPr>
          <w:rFonts w:ascii="Arial" w:cs="Arial" w:eastAsia="Arial" w:hAnsi="Arial"/>
          <w:sz w:val="18"/>
          <w:szCs w:val="18"/>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29845</wp:posOffset>
            </wp:positionV>
            <wp:extent cx="3985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4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Viki K. Blinderman</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Senior Vice President, Chief Accounting Officer and Secretary</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(Principal Financial Officer)</w:t>
      </w:r>
    </w:p>
    <w:p>
      <w:pPr>
        <w:sectPr>
          <w:pgSz w:w="11900" w:h="16838" w:orient="portrait"/>
          <w:cols w:equalWidth="0" w:num="1">
            <w:col w:w="11240"/>
          </w:cols>
          <w:pgMar w:left="320" w:top="543"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9"/>
          <w:szCs w:val="19"/>
          <w:b w:val="1"/>
          <w:bCs w:val="1"/>
          <w:color w:val="auto"/>
        </w:rPr>
        <w:t>EXHIBIT 32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Chief Executive Officer and Chief Financial Officer</w:t>
      </w:r>
    </w:p>
    <w:p>
      <w:pPr>
        <w:jc w:val="center"/>
        <w:spacing w:after="0" w:line="237" w:lineRule="auto"/>
        <w:rPr>
          <w:sz w:val="20"/>
          <w:szCs w:val="20"/>
          <w:color w:val="auto"/>
        </w:rPr>
      </w:pPr>
      <w:r>
        <w:rPr>
          <w:rFonts w:ascii="Arial" w:cs="Arial" w:eastAsia="Arial" w:hAnsi="Arial"/>
          <w:sz w:val="19"/>
          <w:szCs w:val="19"/>
          <w:b w:val="1"/>
          <w:bCs w:val="1"/>
          <w:color w:val="auto"/>
        </w:rPr>
        <w:t>under Section 906 of the</w:t>
      </w:r>
    </w:p>
    <w:p>
      <w:pPr>
        <w:jc w:val="center"/>
        <w:spacing w:after="0"/>
        <w:rPr>
          <w:sz w:val="20"/>
          <w:szCs w:val="20"/>
          <w:color w:val="auto"/>
        </w:rPr>
      </w:pPr>
      <w:r>
        <w:rPr>
          <w:rFonts w:ascii="Arial" w:cs="Arial" w:eastAsia="Arial" w:hAnsi="Arial"/>
          <w:sz w:val="19"/>
          <w:szCs w:val="19"/>
          <w:b w:val="1"/>
          <w:bCs w:val="1"/>
          <w:color w:val="auto"/>
        </w:rPr>
        <w:t>Sarbanes Oxley Act of 2002, 18 U.S.C. § 1350</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connection with the Quarterly Report on Form 10-Q of Carriage Services, Inc. (the “Company”), as filed with the Securities and Exchange Commission on the date hereof (the “Report”), Melvin C. Payne, Chief Executive Officer of the Company, and Viki K. Blinderman, Senior Vice President, Principal Financial Officer, Chief Accounting Officer and Secretary of the Company, each certify, pursuant to 18 U.S.C. Section 1350, as adopted pursuant to Section 906 of the Sarbanes-Oxley Act of 2002, that, to his knowledge:</w:t>
      </w:r>
    </w:p>
    <w:p>
      <w:pPr>
        <w:spacing w:after="0" w:line="188" w:lineRule="exact"/>
        <w:rPr>
          <w:sz w:val="20"/>
          <w:szCs w:val="20"/>
          <w:color w:val="auto"/>
        </w:rPr>
      </w:pPr>
    </w:p>
    <w:p>
      <w:pPr>
        <w:ind w:left="1220" w:hanging="645"/>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220" w:hanging="645"/>
        <w:spacing w:after="0" w:line="261" w:lineRule="auto"/>
        <w:tabs>
          <w:tab w:leader="none" w:pos="12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19" w:lineRule="exact"/>
        <w:rPr>
          <w:sz w:val="20"/>
          <w:szCs w:val="20"/>
          <w:color w:val="auto"/>
        </w:rPr>
      </w:pPr>
    </w:p>
    <w:p>
      <w:pPr>
        <w:ind w:left="40"/>
        <w:spacing w:after="0"/>
        <w:tabs>
          <w:tab w:leader="none" w:pos="920" w:val="left"/>
          <w:tab w:leader="none" w:pos="496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August 4, 2020</w:t>
      </w:r>
      <w:r>
        <w:rPr>
          <w:sz w:val="20"/>
          <w:szCs w:val="20"/>
          <w:color w:val="auto"/>
        </w:rPr>
        <w:tab/>
      </w:r>
      <w:r>
        <w:rPr>
          <w:rFonts w:ascii="Arial" w:cs="Arial" w:eastAsia="Arial" w:hAnsi="Arial"/>
          <w:sz w:val="17"/>
          <w:szCs w:val="17"/>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29845</wp:posOffset>
            </wp:positionV>
            <wp:extent cx="3985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4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Melvin C. Payne</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Chief Executive Officer and Chairman of the Board</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29845</wp:posOffset>
            </wp:positionV>
            <wp:extent cx="3985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4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Viki K. Blinderman</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Senior Vice President, Chief Accounting Officer and Secretary</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(Principal Financial Officer)</w:t>
      </w:r>
    </w:p>
    <w:sectPr>
      <w:pgSz w:w="11900" w:h="16838" w:orient="portrait"/>
      <w:cols w:equalWidth="0" w:num="1">
        <w:col w:w="11240"/>
      </w:cols>
      <w:pgMar w:left="320" w:top="5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lowerRoman"/>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5"/>
    </w:lvl>
  </w:abstractNum>
  <w:abstractNum w:abstractNumId="18">
    <w:nsid w:val="B03E0C6"/>
    <w:multiLevelType w:val="hybridMultilevel"/>
    <w:lvl w:ilvl="0">
      <w:lvlJc w:val="left"/>
      <w:lvlText w:val="%1."/>
      <w:numFmt w:val="decimal"/>
      <w:start w:val="16"/>
    </w:lvl>
  </w:abstractNum>
  <w:abstractNum w:abstractNumId="19">
    <w:nsid w:val="189A769B"/>
    <w:multiLevelType w:val="hybridMultilevel"/>
    <w:lvl w:ilvl="0">
      <w:lvlJc w:val="left"/>
      <w:lvlText w:val="%1."/>
      <w:numFmt w:val="decimal"/>
      <w:start w:val="17"/>
    </w:lvl>
  </w:abstractNum>
  <w:abstractNum w:abstractNumId="20">
    <w:nsid w:val="54E49EB4"/>
    <w:multiLevelType w:val="hybridMultilevel"/>
    <w:lvl w:ilvl="0">
      <w:lvlJc w:val="left"/>
      <w:lvlText w:val="%1."/>
      <w:numFmt w:val="decimal"/>
      <w:start w:val="18"/>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9"/>
    </w:lvl>
    <w:lvl w:ilvl="1">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lvl w:ilvl="1">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2" Type="http://schemas.openxmlformats.org/officeDocument/2006/relationships/hyperlink" Target="http://www.sec.gov/Archives/edgar/data/1016281/000101628120000103/ex101-creditfacilitywaiver.htm" TargetMode="External"/><Relationship Id="rId23" Type="http://schemas.openxmlformats.org/officeDocument/2006/relationships/hyperlink" Target="http://www.sec.gov/Archives/edgar/data/1016281/000101628120000103/ex102-formofperformanc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2020-08-04T15:33:31Z</dcterms:created>
  <dcterms:modified xsi:type="dcterms:W3CDTF">2020-08-04T15:33:31Z</dcterms:modified>
</cp:coreProperties>
</file>