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April 25, 2025 was 15,692,935.</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pPr>
      <w:r>
        <w:rPr>
          <w:rFonts w:ascii="Times New Roman;sans-serif" w:hAnsi="Times New Roman;sans-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3512"/>
        <w:gridCol w:w="3084"/>
        <w:gridCol w:w="3097"/>
        <w:gridCol w:w="149"/>
        <w:gridCol w:w="149"/>
        <w:gridCol w:w="214"/>
      </w:tblGrid>
      <w:tr>
        <w:trPr/>
        <w:tc>
          <w:tcPr>
            <w:tcW w:w="3512"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959">
              <w:r>
                <w:rPr>
                  <w:rStyle w:val="InternetLink"/>
                  <w:rFonts w:ascii="Times New Roman;sans-serif" w:hAnsi="Times New Roman;sans-serif"/>
                  <w:b/>
                  <w:color w:val="0000FF"/>
                  <w:sz w:val="20"/>
                  <w:u w:val="single"/>
                </w:rPr>
                <w:t>PART I – FINANCIAL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4443665aa8f84fa09ac7bee378fd43ca_4988">
              <w:r>
                <w:rPr>
                  <w:rStyle w:val="InternetLink"/>
                  <w:rFonts w:ascii="Times New Roman;sans-serif" w:hAnsi="Times New Roman;sans-serif"/>
                  <w:b/>
                  <w:color w:val="0000FF"/>
                  <w:sz w:val="20"/>
                  <w:u w:val="single"/>
                </w:rPr>
                <w:t>Item 1.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988">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3">
              <w:r>
                <w:rPr>
                  <w:rStyle w:val="InternetLink"/>
                  <w:rFonts w:ascii="Times New Roman;sans-serif" w:hAnsi="Times New Roman;sans-serif"/>
                  <w:b w:val="false"/>
                  <w:color w:val="0000FF"/>
                  <w:sz w:val="20"/>
                  <w:u w:val="single"/>
                </w:rPr>
                <w:t>Unaudited Consolidated Balance Sheets as of March 31, 2025 and December 31,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3">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6">
              <w:r>
                <w:rPr>
                  <w:rStyle w:val="InternetLink"/>
                  <w:rFonts w:ascii="Times New Roman;sans-serif" w:hAnsi="Times New Roman;sans-serif"/>
                  <w:b w:val="false"/>
                  <w:color w:val="0000FF"/>
                  <w:sz w:val="20"/>
                  <w:u w:val="single"/>
                </w:rPr>
                <w:t>Unaudited Consolidated Statements of Operations for the Three Months ended March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6">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2">
              <w:r>
                <w:rPr>
                  <w:rStyle w:val="InternetLink"/>
                  <w:rFonts w:ascii="Times New Roman;sans-serif" w:hAnsi="Times New Roman;sans-serif"/>
                  <w:b w:val="false"/>
                  <w:color w:val="0000FF"/>
                  <w:sz w:val="20"/>
                  <w:u w:val="single"/>
                </w:rPr>
                <w:t>Unaudited Consolidated Statements of Cash Flows for the Three Months ended March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2">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9">
              <w:r>
                <w:rPr>
                  <w:rStyle w:val="InternetLink"/>
                  <w:rFonts w:ascii="Times New Roman;sans-serif" w:hAnsi="Times New Roman;sans-serif"/>
                  <w:b w:val="false"/>
                  <w:color w:val="0000FF"/>
                  <w:sz w:val="20"/>
                  <w:u w:val="single"/>
                </w:rPr>
                <w:t>Unaudited Consolidated Statements of Changes in Stockholders' Equity for the Three Months ended March 31,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9">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5">
              <w:r>
                <w:rPr>
                  <w:rStyle w:val="InternetLink"/>
                  <w:rFonts w:ascii="Times New Roman;sans-serif" w:hAnsi="Times New Roman;sans-serif"/>
                  <w:b w:val="false"/>
                  <w:color w:val="0000FF"/>
                  <w:sz w:val="20"/>
                  <w:u w:val="single"/>
                </w:rPr>
                <w:t>Condensed 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5">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75">
              <w:r>
                <w:rPr>
                  <w:rStyle w:val="InternetLink"/>
                  <w:rFonts w:ascii="Times New Roman;sans-serif" w:hAnsi="Times New Roman;sans-serif"/>
                  <w:b w:val="false"/>
                  <w:color w:val="0000FF"/>
                  <w:sz w:val="20"/>
                  <w:u w:val="single"/>
                </w:rPr>
                <w:t>Cautionary Statement on Forward–Looking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75">
              <w:r>
                <w:rPr>
                  <w:rStyle w:val="InternetLink"/>
                  <w:rFonts w:ascii="Times New Roman;sans-serif" w:hAnsi="Times New Roman;sans-serif"/>
                  <w:b w:val="false"/>
                  <w:color w:val="0000FF"/>
                  <w:sz w:val="20"/>
                  <w:u w:val="singl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3">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
              <w:r>
                <w:rPr>
                  <w:rStyle w:val="InternetLink"/>
                  <w:rFonts w:ascii="Times New Roman;sans-serif" w:hAnsi="Times New Roman;sans-serif"/>
                  <w:b w:val="false"/>
                  <w:color w:val="0000FF"/>
                  <w:sz w:val="20"/>
                  <w:u w:val="singl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
              <w:r>
                <w:rPr>
                  <w:rStyle w:val="InternetLink"/>
                  <w:rFonts w:ascii="Times New Roman;sans-serif" w:hAnsi="Times New Roman;sans-serif"/>
                  <w:b/>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58">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5">
              <w:r>
                <w:rPr>
                  <w:rStyle w:val="InternetLink"/>
                  <w:rFonts w:ascii="Times New Roman;sans-serif" w:hAnsi="Times New Roman;sans-serif"/>
                  <w:b/>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5">
              <w:r>
                <w:rPr>
                  <w:rStyle w:val="InternetLink"/>
                  <w:rFonts w:ascii="Times New Roman;sans-serif" w:hAnsi="Times New Roman;sans-serif"/>
                  <w:b w:val="false"/>
                  <w:color w:val="0000FF"/>
                  <w:sz w:val="20"/>
                  <w:u w:val="single"/>
                </w:rPr>
                <w:t>47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997">
              <w:r>
                <w:rPr>
                  <w:rStyle w:val="InternetLink"/>
                  <w:rFonts w:ascii="Times New Roman;sans-serif" w:hAnsi="Times New Roman;sans-serif"/>
                  <w:b/>
                  <w:color w:val="0000FF"/>
                  <w:sz w:val="20"/>
                  <w:u w:val="single"/>
                </w:rPr>
                <w:t>PART II – OTHER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07">
              <w:r>
                <w:rPr>
                  <w:rStyle w:val="InternetLink"/>
                  <w:rFonts w:ascii="Times New Roman;sans-serif" w:hAnsi="Times New Roman;sans-serif"/>
                  <w:b/>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07">
              <w:r>
                <w:rPr>
                  <w:rStyle w:val="InternetLink"/>
                  <w:rFonts w:ascii="Times New Roman;sans-serif" w:hAnsi="Times New Roman;sans-serif"/>
                  <w:b w:val="false"/>
                  <w:color w:val="0000FF"/>
                  <w:sz w:val="20"/>
                  <w:u w:val="single"/>
                </w:rPr>
                <w:t>48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0">
              <w:r>
                <w:rPr>
                  <w:rStyle w:val="InternetLink"/>
                  <w:rFonts w:ascii="Times New Roman;sans-serif" w:hAnsi="Times New Roman;sans-serif"/>
                  <w:b/>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0">
              <w:r>
                <w:rPr>
                  <w:rStyle w:val="InternetLink"/>
                  <w:rFonts w:ascii="Times New Roman;sans-serif" w:hAnsi="Times New Roman;sans-serif"/>
                  <w:b w:val="false"/>
                  <w:color w:val="0000FF"/>
                  <w:sz w:val="20"/>
                  <w:u w:val="single"/>
                </w:rPr>
                <w:t>48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9">
              <w:r>
                <w:rPr>
                  <w:rStyle w:val="InternetLink"/>
                  <w:rFonts w:ascii="Times New Roman;sans-serif" w:hAnsi="Times New Roman;sans-serif"/>
                  <w:b/>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9">
              <w:r>
                <w:rPr>
                  <w:rStyle w:val="InternetLink"/>
                  <w:rFonts w:ascii="Times New Roman;sans-serif" w:hAnsi="Times New Roman;sans-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38">
              <w:r>
                <w:rPr>
                  <w:rStyle w:val="InternetLink"/>
                  <w:rFonts w:ascii="Times New Roman;sans-serif" w:hAnsi="Times New Roman;sans-serif"/>
                  <w:b/>
                  <w:color w:val="0000FF"/>
                  <w:sz w:val="20"/>
                  <w:u w:val="singl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38">
              <w:r>
                <w:rPr>
                  <w:rStyle w:val="InternetLink"/>
                  <w:rFonts w:ascii="Times New Roman;sans-serif" w:hAnsi="Times New Roman;sans-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47">
              <w:r>
                <w:rPr>
                  <w:rStyle w:val="InternetLink"/>
                  <w:rFonts w:ascii="Times New Roman;sans-serif" w:hAnsi="Times New Roman;sans-serif"/>
                  <w:b/>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47">
              <w:r>
                <w:rPr>
                  <w:rStyle w:val="InternetLink"/>
                  <w:rFonts w:ascii="Times New Roman;sans-serif" w:hAnsi="Times New Roman;sans-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56">
              <w:r>
                <w:rPr>
                  <w:rStyle w:val="InternetLink"/>
                  <w:rFonts w:ascii="Times New Roman;sans-serif" w:hAnsi="Times New Roman;sans-serif"/>
                  <w:b/>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56">
              <w:r>
                <w:rPr>
                  <w:rStyle w:val="InternetLink"/>
                  <w:rFonts w:ascii="Times New Roman;sans-serif" w:hAnsi="Times New Roman;sans-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64">
              <w:r>
                <w:rPr>
                  <w:rStyle w:val="InternetLink"/>
                  <w:rFonts w:ascii="Times New Roman;sans-serif" w:hAnsi="Times New Roman;sans-serif"/>
                  <w:b/>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64">
              <w:r>
                <w:rPr>
                  <w:rStyle w:val="InternetLink"/>
                  <w:rFonts w:ascii="Times New Roman;sans-serif" w:hAnsi="Times New Roman;sans-serif"/>
                  <w:b w:val="false"/>
                  <w:color w:val="0000FF"/>
                  <w:sz w:val="20"/>
                  <w:u w:val="single"/>
                </w:rPr>
                <w:t>49</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6">
              <w:r>
                <w:rPr>
                  <w:rStyle w:val="InternetLink"/>
                  <w:rFonts w:ascii="Times New Roman;sans-serif" w:hAnsi="Times New Roman;sans-serif"/>
                  <w:b/>
                  <w:color w:val="0000FF"/>
                  <w:sz w:val="20"/>
                  <w:u w:val="single"/>
                </w:rPr>
                <w:t>SIGNATURE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6">
              <w:r>
                <w:rPr>
                  <w:rStyle w:val="InternetLink"/>
                  <w:rFonts w:ascii="Times New Roman;sans-serif" w:hAnsi="Times New Roman;sans-serif"/>
                  <w:b w:val="false"/>
                  <w:color w:val="0000FF"/>
                  <w:sz w:val="20"/>
                  <w:u w:val="single"/>
                </w:rPr>
                <w:t>50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146825585829">
              <w:r>
                <w:rPr>
                  <w:rStyle w:val="InternetLink"/>
                  <w:rFonts w:ascii="Times New Roman;sans-serif" w:hAnsi="Times New Roman;sans-serif"/>
                  <w:b/>
                  <w:color w:val="0000FF"/>
                  <w:sz w:val="20"/>
                  <w:u w:val="single"/>
                </w:rPr>
                <w:t>INDEX OF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146825585829">
              <w:r>
                <w:rPr>
                  <w:rStyle w:val="InternetLink"/>
                  <w:rFonts w:ascii="Times New Roman;sans-serif" w:hAnsi="Times New Roman;sans-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702"/>
        <w:gridCol w:w="2243"/>
        <w:gridCol w:w="2185"/>
        <w:gridCol w:w="211"/>
        <w:gridCol w:w="976"/>
        <w:gridCol w:w="109"/>
        <w:gridCol w:w="109"/>
        <w:gridCol w:w="109"/>
        <w:gridCol w:w="109"/>
        <w:gridCol w:w="211"/>
        <w:gridCol w:w="976"/>
        <w:gridCol w:w="109"/>
        <w:gridCol w:w="156"/>
      </w:tblGrid>
      <w:tr>
        <w:trPr/>
        <w:tc>
          <w:tcPr>
            <w:tcW w:w="270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4"/>
            <w:tcBorders/>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27,321,003 and 26,881,355 shares issued, respectively and 15,692,935 and 15,253,537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10205" w:type="dxa"/>
        <w:jc w:val="center"/>
        <w:tblInd w:w="0" w:type="dxa"/>
        <w:tblLayout w:type="fixed"/>
        <w:tblCellMar>
          <w:top w:w="28" w:type="dxa"/>
          <w:left w:w="28" w:type="dxa"/>
          <w:bottom w:w="28" w:type="dxa"/>
          <w:right w:w="28" w:type="dxa"/>
        </w:tblCellMar>
      </w:tblPr>
      <w:tblGrid>
        <w:gridCol w:w="2113"/>
        <w:gridCol w:w="1845"/>
        <w:gridCol w:w="1836"/>
        <w:gridCol w:w="109"/>
        <w:gridCol w:w="109"/>
        <w:gridCol w:w="154"/>
        <w:gridCol w:w="154"/>
        <w:gridCol w:w="154"/>
        <w:gridCol w:w="154"/>
        <w:gridCol w:w="299"/>
        <w:gridCol w:w="1023"/>
        <w:gridCol w:w="154"/>
        <w:gridCol w:w="154"/>
        <w:gridCol w:w="154"/>
        <w:gridCol w:w="154"/>
        <w:gridCol w:w="211"/>
        <w:gridCol w:w="721"/>
        <w:gridCol w:w="109"/>
        <w:gridCol w:w="109"/>
        <w:gridCol w:w="109"/>
        <w:gridCol w:w="109"/>
        <w:gridCol w:w="109"/>
        <w:gridCol w:w="162"/>
      </w:tblGrid>
      <w:tr>
        <w:trPr/>
        <w:tc>
          <w:tcPr>
            <w:tcW w:w="211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39" w:type="dxa"/>
            <w:gridSpan w:val="8"/>
            <w:tcBorders/>
          </w:tcPr>
          <w:p>
            <w:pPr>
              <w:pStyle w:val="TableContents"/>
              <w:bidi w:val="0"/>
              <w:spacing w:before="0" w:after="283"/>
              <w:jc w:val="left"/>
              <w:rPr>
                <w:sz w:val="4"/>
                <w:szCs w:val="4"/>
              </w:rPr>
            </w:pPr>
            <w:r>
              <w:rPr>
                <w:sz w:val="4"/>
                <w:szCs w:val="4"/>
              </w:rPr>
            </w:r>
          </w:p>
        </w:tc>
      </w:tr>
      <w:tr>
        <w:trPr/>
        <w:tc>
          <w:tcPr>
            <w:tcW w:w="5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8" w:type="dxa"/>
            <w:gridSpan w:val="5"/>
            <w:tcBorders/>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impairments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expense related to discrete income tax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2598"/>
        <w:gridCol w:w="2264"/>
        <w:gridCol w:w="2271"/>
        <w:gridCol w:w="247"/>
        <w:gridCol w:w="844"/>
        <w:gridCol w:w="127"/>
        <w:gridCol w:w="127"/>
        <w:gridCol w:w="127"/>
        <w:gridCol w:w="127"/>
        <w:gridCol w:w="247"/>
        <w:gridCol w:w="721"/>
        <w:gridCol w:w="127"/>
        <w:gridCol w:w="109"/>
        <w:gridCol w:w="109"/>
        <w:gridCol w:w="160"/>
      </w:tblGrid>
      <w:tr>
        <w:trPr/>
        <w:tc>
          <w:tcPr>
            <w:tcW w:w="259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accretion of debt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 disposals and impairment charges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excess real property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and performance award vestings and exercise of stock options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87"/>
        <w:gridCol w:w="550"/>
        <w:gridCol w:w="553"/>
        <w:gridCol w:w="406"/>
        <w:gridCol w:w="342"/>
        <w:gridCol w:w="343"/>
        <w:gridCol w:w="109"/>
        <w:gridCol w:w="109"/>
        <w:gridCol w:w="109"/>
        <w:gridCol w:w="222"/>
        <w:gridCol w:w="491"/>
        <w:gridCol w:w="114"/>
        <w:gridCol w:w="109"/>
        <w:gridCol w:w="109"/>
        <w:gridCol w:w="109"/>
        <w:gridCol w:w="225"/>
        <w:gridCol w:w="884"/>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2025</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264,135 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5"/>
        <w:gridCol w:w="535"/>
        <w:gridCol w:w="538"/>
        <w:gridCol w:w="409"/>
        <w:gridCol w:w="347"/>
        <w:gridCol w:w="348"/>
        <w:gridCol w:w="109"/>
        <w:gridCol w:w="109"/>
        <w:gridCol w:w="109"/>
        <w:gridCol w:w="225"/>
        <w:gridCol w:w="498"/>
        <w:gridCol w:w="116"/>
        <w:gridCol w:w="109"/>
        <w:gridCol w:w="109"/>
        <w:gridCol w:w="109"/>
        <w:gridCol w:w="229"/>
        <w:gridCol w:w="899"/>
        <w:gridCol w:w="118"/>
        <w:gridCol w:w="109"/>
        <w:gridCol w:w="109"/>
        <w:gridCol w:w="109"/>
        <w:gridCol w:w="216"/>
        <w:gridCol w:w="848"/>
        <w:gridCol w:w="111"/>
        <w:gridCol w:w="109"/>
        <w:gridCol w:w="109"/>
        <w:gridCol w:w="109"/>
        <w:gridCol w:w="211"/>
        <w:gridCol w:w="848"/>
        <w:gridCol w:w="109"/>
        <w:gridCol w:w="109"/>
        <w:gridCol w:w="109"/>
        <w:gridCol w:w="109"/>
        <w:gridCol w:w="211"/>
        <w:gridCol w:w="826"/>
        <w:gridCol w:w="163"/>
      </w:tblGrid>
      <w:tr>
        <w:trPr/>
        <w:tc>
          <w:tcPr>
            <w:tcW w:w="76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2023</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and stock options surrendered for taxes paid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2024</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240,811 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 AND SUMMARY OF SIGNIFICANT ACCOUNTING POLICIES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March 31, 2025, we operated 160 funeral homes in 25 states and 28 cemeteries in 10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2024. In addition, our unaudited Consolidated Financial Statements have been prepared in a manner consistent with the accounting principles described in our Annual Report on Form 10-K for the year ended December 31, 2024 unless otherwise disclosed herein, and should be read in conjunction therewith.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Held for Sale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assets and liabilities of non-core funeral home and cemetery businesses expected to be sold within the next twelve months, which have met the criteria for such classification, have been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amounts of the assets and liabilities included as part of the expected sale (in thousands):</w:t>
      </w:r>
    </w:p>
    <w:tbl>
      <w:tblPr>
        <w:tblW w:w="8070" w:type="dxa"/>
        <w:jc w:val="left"/>
        <w:tblInd w:w="0" w:type="dxa"/>
        <w:tblLayout w:type="fixed"/>
        <w:tblCellMar>
          <w:top w:w="28" w:type="dxa"/>
          <w:left w:w="28" w:type="dxa"/>
          <w:bottom w:w="28" w:type="dxa"/>
          <w:right w:w="28" w:type="dxa"/>
        </w:tblCellMar>
      </w:tblPr>
      <w:tblGrid>
        <w:gridCol w:w="1721"/>
        <w:gridCol w:w="1512"/>
        <w:gridCol w:w="1522"/>
        <w:gridCol w:w="291"/>
        <w:gridCol w:w="849"/>
        <w:gridCol w:w="150"/>
        <w:gridCol w:w="109"/>
        <w:gridCol w:w="109"/>
        <w:gridCol w:w="109"/>
        <w:gridCol w:w="313"/>
        <w:gridCol w:w="1070"/>
        <w:gridCol w:w="16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funeral preneed trusts,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held for sale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operating lease obligations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 held for sale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509" w:type="dxa"/>
        <w:jc w:val="left"/>
        <w:tblInd w:w="0" w:type="dxa"/>
        <w:tblLayout w:type="fixed"/>
        <w:tblCellMar>
          <w:top w:w="28" w:type="dxa"/>
          <w:left w:w="28" w:type="dxa"/>
          <w:bottom w:w="28" w:type="dxa"/>
          <w:right w:w="28" w:type="dxa"/>
        </w:tblCellMar>
      </w:tblPr>
      <w:tblGrid>
        <w:gridCol w:w="1157"/>
        <w:gridCol w:w="1013"/>
        <w:gridCol w:w="1024"/>
        <w:gridCol w:w="237"/>
        <w:gridCol w:w="930"/>
        <w:gridCol w:w="122"/>
        <w:gridCol w:w="109"/>
        <w:gridCol w:w="109"/>
        <w:gridCol w:w="109"/>
        <w:gridCol w:w="284"/>
        <w:gridCol w:w="1114"/>
        <w:gridCol w:w="147"/>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vehicles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423,892 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2025, we sold two funeral homes and three cemeteries that had a carrying value of property, plant and equipment of $3.4 million, which was included in the gain on sale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 more fully described in Note 4 to the Consolidated Financial Statements.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three months ended March 31, 2025, we sold real property for $2.9 million, with a carrying value of $0.9 million, resulting in a $2.0 million gain on the sale, which was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sold six funeral homes and one cemetery that had a carrying value of property, plant and equipment of $3.1 million, which was included in the loss on sale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and maintenance capital expenditures totaled $1.6 million for both the three months ended March 31, 2025 and 2024. In addition, we recorded depreciation expense of $3.5 million and $3.6 million for the three months ended March 31, 2025 and 2024,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$109.4 million and $112.9 million, net of accumulated amortization of $71.4 million and $72.6 million at March 31, 2025 and December 31, 2024,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$1.6 million and $2.0 million for the three months ended March 31, 2025 and 2024, respectively. We recorded amortization expense for cemetery interment rights of $1.8 million for both the three months ended March 31, 2025 and 2024.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2025, we sold three cemeteries that had a carrying value of cemetery property of $3.3 million, which was included in the gain on sale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 more fully described in Note 4 to the Consolidated Financial Statements.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sold one cemetery that had a carrying value of cemetery property of $0.8 million, which was included in the loss on sale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$5.3 million and $3.7 million for the three months ended March 31, 2025 and 2024, respectively. Our operating tax rate before discrete items was 31.2% and 32.8% for the three months ended March 31, 2025 and 2024, respectively.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events and transactions during the period subsequent to March 31, 2025 through the date the financial statements were issued for potential recognition or disclosure in the accompanying consolidated financial statements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RECENTLY ISSUED ACCOUNTING STANDARDS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the FASB issued ASU,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and therefore were effective for us for our fiscal year beginning January 1, 2025 and for interim periods within our fiscal year beginning January 1, 2026. The adoption had no material impact on our consolidated financial statements as it modified disclosure requirements only.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 Disaggregation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Statement-Reporting Comprehensive Income-Expense Disaggregation Disclosures</w:t>
      </w:r>
      <w:r>
        <w:rPr>
          <w:rFonts w:ascii="Times New Roman;sans-serif" w:hAnsi="Times New Roman;sans-serif"/>
          <w:b w:val="false"/>
          <w:color w:val="000000"/>
          <w:sz w:val="20"/>
        </w:rPr>
        <w:t xml:space="preserve">.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2026, and interim periods within annual reporting periods beginning after December 15, 2027, on a retrospective or prospective basis, with early adoption permitted. We expect the adoption will have no material impact on our consolidated financial statements as it modifies disclosure requirements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3.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changes in goodwill in the accompanying Consolidated Balance Sheets (in thousands):</w:t>
      </w:r>
      <w:r>
        <w:rPr>
          <w:color w:val="000000"/>
        </w:rPr>
        <w:t> </w:t>
      </w:r>
    </w:p>
    <w:tbl>
      <w:tblPr>
        <w:tblW w:w="6944" w:type="dxa"/>
        <w:jc w:val="left"/>
        <w:tblInd w:w="0" w:type="dxa"/>
        <w:tblLayout w:type="fixed"/>
        <w:tblCellMar>
          <w:top w:w="28" w:type="dxa"/>
          <w:left w:w="28" w:type="dxa"/>
          <w:bottom w:w="28" w:type="dxa"/>
          <w:right w:w="28" w:type="dxa"/>
        </w:tblCellMar>
      </w:tblPr>
      <w:tblGrid>
        <w:gridCol w:w="1314"/>
        <w:gridCol w:w="1156"/>
        <w:gridCol w:w="1159"/>
        <w:gridCol w:w="237"/>
        <w:gridCol w:w="930"/>
        <w:gridCol w:w="122"/>
        <w:gridCol w:w="109"/>
        <w:gridCol w:w="109"/>
        <w:gridCol w:w="109"/>
        <w:gridCol w:w="284"/>
        <w:gridCol w:w="1114"/>
        <w:gridCol w:w="147"/>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2025, we allocated $4.2 million of goodwill to the sale of two funeral homes and three cemeteries which was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 of which $2.6 million was allocated to our funeral home segment and $1.6 million was allocated to our cemetery segment.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allocated $8.7 million of goodwill to the sale of six funeral homes and one cemetery which was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 xml:space="preserve">on our Consolidated Statements of Operations, of which $7.8 million was allocated to our funeral homes segment and $1.0 million was allocated to our cemetery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4. DIVESTED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two funeral homes and three cemeteries for an aggregate of $15.8 million. During the three months ended March 31, 2024, we sold six funeral homes and one cemetery for an aggregate of $10.9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8511" w:type="dxa"/>
        <w:jc w:val="left"/>
        <w:tblInd w:w="0" w:type="dxa"/>
        <w:tblLayout w:type="fixed"/>
        <w:tblCellMar>
          <w:top w:w="28" w:type="dxa"/>
          <w:left w:w="28" w:type="dxa"/>
          <w:bottom w:w="28" w:type="dxa"/>
          <w:right w:w="28" w:type="dxa"/>
        </w:tblCellMar>
      </w:tblPr>
      <w:tblGrid>
        <w:gridCol w:w="1476"/>
        <w:gridCol w:w="1302"/>
        <w:gridCol w:w="1316"/>
        <w:gridCol w:w="109"/>
        <w:gridCol w:w="109"/>
        <w:gridCol w:w="242"/>
        <w:gridCol w:w="242"/>
        <w:gridCol w:w="469"/>
        <w:gridCol w:w="1369"/>
        <w:gridCol w:w="242"/>
        <w:gridCol w:w="109"/>
        <w:gridCol w:w="109"/>
        <w:gridCol w:w="109"/>
        <w:gridCol w:w="211"/>
        <w:gridCol w:w="616"/>
        <w:gridCol w:w="109"/>
        <w:gridCol w:w="109"/>
        <w:gridCol w:w="109"/>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 (loss) on divestitures</w:t>
            </w:r>
            <w:r>
              <w:rPr>
                <w:rFonts w:ascii="Times New Roman;sans-serif" w:hAnsi="Times New Roman;sans-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from divested operations, after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532"/>
        <w:gridCol w:w="1532"/>
        <w:gridCol w:w="1532"/>
        <w:gridCol w:w="1532"/>
        <w:gridCol w:w="1532"/>
        <w:gridCol w:w="22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9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Net loss on divestitures is recorded in </w:t>
            </w:r>
            <w:r>
              <w:rPr>
                <w:rFonts w:ascii="Times New Roman;sans-serif" w:hAnsi="Times New Roman;sans-serif"/>
                <w:b w:val="false"/>
                <w:i/>
                <w:color w:val="000000"/>
                <w:sz w:val="18"/>
              </w:rPr>
              <w:t xml:space="preserve">Net (gain) loss on divestitures, disposals and impairment charges </w:t>
            </w:r>
            <w:r>
              <w:rPr>
                <w:rFonts w:ascii="Times New Roman;sans-serif" w:hAnsi="Times New Roman;sans-serif"/>
                <w:b w:val="false"/>
                <w:color w:val="000000"/>
                <w:sz w:val="18"/>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RECEIVABLES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Accounts receivable, net</w:t>
      </w:r>
      <w:r>
        <w:rPr>
          <w:rFonts w:ascii="Times New Roman;sans-serif" w:hAnsi="Times New Roman;sans-serif"/>
          <w:b w:val="false"/>
          <w:color w:val="000000"/>
          <w:sz w:val="20"/>
        </w:rPr>
        <w:t xml:space="preserve">. 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9041"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305"/>
        <w:gridCol w:w="632"/>
        <w:gridCol w:w="158"/>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9005"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68"/>
        <w:gridCol w:w="688"/>
        <w:gridCol w:w="138"/>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FFFFFF"/>
                <w:sz w:val="20"/>
              </w:rPr>
            </w:pPr>
            <w:r>
              <w:rPr>
                <w:rFonts w:ascii="Times New Roman;sans-serif" w:hAnsi="Times New Roman;sans-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third-party insurance companies and perpetual care income receivables. We do not provide an allowance for credit losses for these receivables as we have historically not had any collectability issues nor do we expect any in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portfolio segment for the three months ended March 31, 2025 (in thousands):</w:t>
      </w:r>
    </w:p>
    <w:tbl>
      <w:tblPr>
        <w:tblW w:w="10205" w:type="dxa"/>
        <w:jc w:val="left"/>
        <w:tblInd w:w="0" w:type="dxa"/>
        <w:tblLayout w:type="fixed"/>
        <w:tblCellMar>
          <w:top w:w="28" w:type="dxa"/>
          <w:left w:w="28" w:type="dxa"/>
          <w:bottom w:w="28" w:type="dxa"/>
          <w:right w:w="28" w:type="dxa"/>
        </w:tblCellMar>
      </w:tblPr>
      <w:tblGrid>
        <w:gridCol w:w="1193"/>
        <w:gridCol w:w="1050"/>
        <w:gridCol w:w="1053"/>
        <w:gridCol w:w="245"/>
        <w:gridCol w:w="774"/>
        <w:gridCol w:w="126"/>
        <w:gridCol w:w="109"/>
        <w:gridCol w:w="109"/>
        <w:gridCol w:w="109"/>
        <w:gridCol w:w="376"/>
        <w:gridCol w:w="947"/>
        <w:gridCol w:w="194"/>
        <w:gridCol w:w="109"/>
        <w:gridCol w:w="109"/>
        <w:gridCol w:w="109"/>
        <w:gridCol w:w="228"/>
        <w:gridCol w:w="505"/>
        <w:gridCol w:w="118"/>
        <w:gridCol w:w="109"/>
        <w:gridCol w:w="109"/>
        <w:gridCol w:w="109"/>
        <w:gridCol w:w="241"/>
        <w:gridCol w:w="550"/>
        <w:gridCol w:w="125"/>
        <w:gridCol w:w="109"/>
        <w:gridCol w:w="109"/>
        <w:gridCol w:w="109"/>
        <w:gridCol w:w="238"/>
        <w:gridCol w:w="754"/>
        <w:gridCol w:w="180"/>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Sheets of $9.7 million and $10.2 million at March 31, 2025 and December 31, 2024, respectively. As these performance obligations are to be completed after the date of death, we cannot quantify the recognition of revenue in future periods. However, we estimate an average maturity period of ten years for preneed funeral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cemetery receivables are comprised of the following (in thousands): </w:t>
      </w:r>
    </w:p>
    <w:tbl>
      <w:tblPr>
        <w:tblW w:w="5411" w:type="dxa"/>
        <w:jc w:val="center"/>
        <w:tblInd w:w="0" w:type="dxa"/>
        <w:tblLayout w:type="fixed"/>
        <w:tblCellMar>
          <w:top w:w="28" w:type="dxa"/>
          <w:left w:w="28" w:type="dxa"/>
          <w:bottom w:w="28" w:type="dxa"/>
          <w:right w:w="28" w:type="dxa"/>
        </w:tblCellMar>
      </w:tblPr>
      <w:tblGrid>
        <w:gridCol w:w="797"/>
        <w:gridCol w:w="702"/>
        <w:gridCol w:w="705"/>
        <w:gridCol w:w="261"/>
        <w:gridCol w:w="894"/>
        <w:gridCol w:w="135"/>
        <w:gridCol w:w="109"/>
        <w:gridCol w:w="109"/>
        <w:gridCol w:w="109"/>
        <w:gridCol w:w="309"/>
        <w:gridCol w:w="1056"/>
        <w:gridCol w:w="2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cemetery receivables are as follows (in thousands):</w:t>
      </w:r>
    </w:p>
    <w:tbl>
      <w:tblPr>
        <w:tblW w:w="8367" w:type="dxa"/>
        <w:jc w:val="left"/>
        <w:tblInd w:w="0" w:type="dxa"/>
        <w:tblLayout w:type="fixed"/>
        <w:tblCellMar>
          <w:top w:w="28" w:type="dxa"/>
          <w:left w:w="28" w:type="dxa"/>
          <w:bottom w:w="28" w:type="dxa"/>
          <w:right w:w="28" w:type="dxa"/>
        </w:tblCellMar>
      </w:tblPr>
      <w:tblGrid>
        <w:gridCol w:w="1869"/>
        <w:gridCol w:w="1644"/>
        <w:gridCol w:w="1647"/>
        <w:gridCol w:w="261"/>
        <w:gridCol w:w="894"/>
        <w:gridCol w:w="135"/>
        <w:gridCol w:w="109"/>
        <w:gridCol w:w="109"/>
        <w:gridCol w:w="109"/>
        <w:gridCol w:w="309"/>
        <w:gridCol w:w="1056"/>
        <w:gridCol w:w="22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 at amortized 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 and credit losses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 including HFS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for the three months ended March 31, 2025 (in thousands):</w:t>
      </w:r>
    </w:p>
    <w:tbl>
      <w:tblPr>
        <w:tblW w:w="10205" w:type="dxa"/>
        <w:jc w:val="left"/>
        <w:tblInd w:w="0" w:type="dxa"/>
        <w:tblLayout w:type="fixed"/>
        <w:tblCellMar>
          <w:top w:w="28" w:type="dxa"/>
          <w:left w:w="28" w:type="dxa"/>
          <w:bottom w:w="28" w:type="dxa"/>
          <w:right w:w="28" w:type="dxa"/>
        </w:tblCellMar>
      </w:tblPr>
      <w:tblGrid>
        <w:gridCol w:w="1467"/>
        <w:gridCol w:w="1290"/>
        <w:gridCol w:w="1294"/>
        <w:gridCol w:w="253"/>
        <w:gridCol w:w="808"/>
        <w:gridCol w:w="131"/>
        <w:gridCol w:w="109"/>
        <w:gridCol w:w="109"/>
        <w:gridCol w:w="109"/>
        <w:gridCol w:w="415"/>
        <w:gridCol w:w="1053"/>
        <w:gridCol w:w="214"/>
        <w:gridCol w:w="109"/>
        <w:gridCol w:w="109"/>
        <w:gridCol w:w="109"/>
        <w:gridCol w:w="232"/>
        <w:gridCol w:w="514"/>
        <w:gridCol w:w="120"/>
        <w:gridCol w:w="109"/>
        <w:gridCol w:w="109"/>
        <w:gridCol w:w="109"/>
        <w:gridCol w:w="109"/>
        <w:gridCol w:w="109"/>
        <w:gridCol w:w="245"/>
        <w:gridCol w:w="784"/>
        <w:gridCol w:w="186"/>
      </w:tblGrid>
      <w:tr>
        <w:trP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cemetery receivables by year of origination as of March 31, 2025 is as follows (in thousands):</w:t>
      </w:r>
    </w:p>
    <w:tbl>
      <w:tblPr>
        <w:tblW w:w="10205" w:type="dxa"/>
        <w:jc w:val="left"/>
        <w:tblInd w:w="0" w:type="dxa"/>
        <w:tblLayout w:type="fixed"/>
        <w:tblCellMar>
          <w:top w:w="28" w:type="dxa"/>
          <w:left w:w="28" w:type="dxa"/>
          <w:bottom w:w="28" w:type="dxa"/>
          <w:right w:w="28" w:type="dxa"/>
        </w:tblCellMar>
      </w:tblPr>
      <w:tblGrid>
        <w:gridCol w:w="405"/>
        <w:gridCol w:w="356"/>
        <w:gridCol w:w="35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91,920 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aging of past due cemetery receivables as of March 31, 2025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51"/>
        <w:gridCol w:w="397"/>
        <w:gridCol w:w="398"/>
        <w:gridCol w:w="224"/>
        <w:gridCol w:w="656"/>
        <w:gridCol w:w="116"/>
        <w:gridCol w:w="109"/>
        <w:gridCol w:w="109"/>
        <w:gridCol w:w="109"/>
        <w:gridCol w:w="224"/>
        <w:gridCol w:w="656"/>
        <w:gridCol w:w="116"/>
        <w:gridCol w:w="109"/>
        <w:gridCol w:w="109"/>
        <w:gridCol w:w="109"/>
        <w:gridCol w:w="241"/>
        <w:gridCol w:w="533"/>
        <w:gridCol w:w="124"/>
        <w:gridCol w:w="109"/>
        <w:gridCol w:w="109"/>
        <w:gridCol w:w="109"/>
        <w:gridCol w:w="221"/>
        <w:gridCol w:w="647"/>
        <w:gridCol w:w="114"/>
        <w:gridCol w:w="109"/>
        <w:gridCol w:w="109"/>
        <w:gridCol w:w="109"/>
        <w:gridCol w:w="223"/>
        <w:gridCol w:w="652"/>
        <w:gridCol w:w="115"/>
        <w:gridCol w:w="109"/>
        <w:gridCol w:w="109"/>
        <w:gridCol w:w="109"/>
        <w:gridCol w:w="211"/>
        <w:gridCol w:w="721"/>
        <w:gridCol w:w="109"/>
        <w:gridCol w:w="109"/>
        <w:gridCol w:w="109"/>
        <w:gridCol w:w="109"/>
        <w:gridCol w:w="211"/>
        <w:gridCol w:w="721"/>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 xml:space="preserve">on our Consolidated Balance Sheets. The transaction price allocated to preneed merchandise and service performance obligations that were unfulfilled were $15.6 million and $13.6 million at March 31, 2025 and December 31, 2024, respectively. As these performance obligations are to be completed after the date of death, we cannot quantify the recognition of revenue in future periods. However, we estimate an average maturity period of eight years for preneed cemetery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10) and Senior Notes (as defined in Note 11)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carrying value and fair value of our Credit Facility was $120.0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March 31, 2025, the carrying value of our acquisition debt was $5.4 million, which approximated its fair value. The fair value of our Senior Notes was $364.4 million at March 31, 2025,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Sheets as having met the criteria for fair value measurement. Where quoted prices are available in an active market, investments held by the trusts are classified as Level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pursuant to the three-level valuation hierarchy. Our Level 1 investments include cash,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(“NAV”) practical expedient described in ASC 820-10-35-59, </w:t>
      </w:r>
      <w:r>
        <w:rPr>
          <w:rFonts w:ascii="Times New Roman;sans-serif" w:hAnsi="Times New Roman;sans-serif"/>
          <w:b w:val="false"/>
          <w:i/>
          <w:color w:val="000000"/>
          <w:sz w:val="20"/>
        </w:rPr>
        <w:t>Fair Value Measurement of Investments in Certain Entities That Calculate Net Asset Value per Share (or Its Equivalent)</w:t>
      </w:r>
      <w:r>
        <w:rPr>
          <w:color w:val="000000"/>
        </w:rPr>
        <w:t xml:space="preserve"> </w:t>
      </w:r>
      <w:r>
        <w:rPr>
          <w:rFonts w:ascii="Times New Roman;sans-serif" w:hAnsi="Times New Roman;sans-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March 31, 2025 because the investments include restrictions that do not allow for liquidation until 2027. As of March 31, 2025, we do not have an unfunded commitment for this investment.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have two investments in real estate debt and structured credit (“alternative investments”), whose fair value has been estimated using NAV and therefore, has not been classified in the fair value hierarchy. The investment strategy for these alternative investments is to create capital growth, income generation, and risk-adjusted returns. Capital growth is 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39% of the total alternative investment and can be liquidated with a 40-day notice period and cannot exceed 5% of the total fund’s value. The structured credit is approximately 61% of the total alternative investment and can be liquidated with a 15-day notice period with no restrictions. As of March 31, 2025, we do not have an unfunded commitment for these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receivables from preneed funeral trusts represent assets in trusts which are controlled and operated by third parties in which we do not have a controlling financial interest (less than 50%) in the trust assets. We account for these investments at cost. See Notes 7 and 8 to our Consolidated Financial Statements for the fair value hierarchy levels of our trust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7.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our</w:t>
      </w:r>
      <w:r>
        <w:rPr>
          <w:color w:val="000000"/>
        </w:rPr>
        <w:t xml:space="preserve"> </w:t>
      </w:r>
      <w:r>
        <w:rPr>
          <w:rFonts w:ascii="Times New Roman;sans-serif" w:hAnsi="Times New Roman;sans-serif"/>
          <w:b w:val="false"/>
          <w:color w:val="000000"/>
          <w:sz w:val="20"/>
        </w:rPr>
        <w:t xml:space="preserve">Consolidated Statements of Operations, when a service is performed or merchandise is delivered. Trust management fees charged by our wholly owned registered investment advisory firm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on our Consolidated Balance Sheets are as follows (in thousands):</w:t>
      </w:r>
    </w:p>
    <w:tbl>
      <w:tblPr>
        <w:tblW w:w="7509" w:type="dxa"/>
        <w:jc w:val="left"/>
        <w:tblInd w:w="0" w:type="dxa"/>
        <w:tblLayout w:type="fixed"/>
        <w:tblCellMar>
          <w:top w:w="28" w:type="dxa"/>
          <w:left w:w="28" w:type="dxa"/>
          <w:bottom w:w="28" w:type="dxa"/>
          <w:right w:w="28" w:type="dxa"/>
        </w:tblCellMar>
      </w:tblPr>
      <w:tblGrid>
        <w:gridCol w:w="1558"/>
        <w:gridCol w:w="1369"/>
        <w:gridCol w:w="1377"/>
        <w:gridCol w:w="237"/>
        <w:gridCol w:w="930"/>
        <w:gridCol w:w="122"/>
        <w:gridCol w:w="109"/>
        <w:gridCol w:w="109"/>
        <w:gridCol w:w="109"/>
        <w:gridCol w:w="281"/>
        <w:gridCol w:w="1103"/>
        <w:gridCol w:w="20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March 31, 2025 are detailed below (in thousands):</w:t>
      </w:r>
    </w:p>
    <w:tbl>
      <w:tblPr>
        <w:tblW w:w="10205" w:type="dxa"/>
        <w:jc w:val="left"/>
        <w:tblInd w:w="0" w:type="dxa"/>
        <w:tblLayout w:type="fixed"/>
        <w:tblCellMar>
          <w:top w:w="28" w:type="dxa"/>
          <w:left w:w="28" w:type="dxa"/>
          <w:bottom w:w="28" w:type="dxa"/>
          <w:right w:w="28" w:type="dxa"/>
        </w:tblCellMar>
      </w:tblPr>
      <w:tblGrid>
        <w:gridCol w:w="876"/>
        <w:gridCol w:w="677"/>
        <w:gridCol w:w="681"/>
        <w:gridCol w:w="542"/>
        <w:gridCol w:w="542"/>
        <w:gridCol w:w="543"/>
        <w:gridCol w:w="109"/>
        <w:gridCol w:w="109"/>
        <w:gridCol w:w="109"/>
        <w:gridCol w:w="211"/>
        <w:gridCol w:w="826"/>
        <w:gridCol w:w="109"/>
        <w:gridCol w:w="109"/>
        <w:gridCol w:w="109"/>
        <w:gridCol w:w="109"/>
        <w:gridCol w:w="274"/>
        <w:gridCol w:w="802"/>
        <w:gridCol w:w="142"/>
        <w:gridCol w:w="109"/>
        <w:gridCol w:w="109"/>
        <w:gridCol w:w="109"/>
        <w:gridCol w:w="268"/>
        <w:gridCol w:w="853"/>
        <w:gridCol w:w="138"/>
        <w:gridCol w:w="109"/>
        <w:gridCol w:w="109"/>
        <w:gridCol w:w="109"/>
        <w:gridCol w:w="449"/>
        <w:gridCol w:w="268"/>
        <w:gridCol w:w="696"/>
      </w:tblGrid>
      <w:tr>
        <w:trPr/>
        <w:tc>
          <w:tcPr>
            <w:tcW w:w="8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29,427</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investments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6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estimated maturities of the fixed income securities (excluding mutual funds) included above are as follows (in thousands):</w:t>
      </w:r>
      <w:r>
        <w:rPr>
          <w:color w:val="000000"/>
        </w:rPr>
        <w:t> </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76"/>
        <w:gridCol w:w="677"/>
        <w:gridCol w:w="681"/>
        <w:gridCol w:w="542"/>
        <w:gridCol w:w="542"/>
        <w:gridCol w:w="543"/>
        <w:gridCol w:w="109"/>
        <w:gridCol w:w="109"/>
        <w:gridCol w:w="109"/>
        <w:gridCol w:w="211"/>
        <w:gridCol w:w="826"/>
        <w:gridCol w:w="109"/>
        <w:gridCol w:w="109"/>
        <w:gridCol w:w="109"/>
        <w:gridCol w:w="109"/>
        <w:gridCol w:w="274"/>
        <w:gridCol w:w="802"/>
        <w:gridCol w:w="142"/>
        <w:gridCol w:w="109"/>
        <w:gridCol w:w="109"/>
        <w:gridCol w:w="109"/>
        <w:gridCol w:w="268"/>
        <w:gridCol w:w="853"/>
        <w:gridCol w:w="138"/>
        <w:gridCol w:w="109"/>
        <w:gridCol w:w="109"/>
        <w:gridCol w:w="109"/>
        <w:gridCol w:w="449"/>
        <w:gridCol w:w="268"/>
        <w:gridCol w:w="696"/>
      </w:tblGrid>
      <w:tr>
        <w:trPr/>
        <w:tc>
          <w:tcPr>
            <w:tcW w:w="8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24,986</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6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March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35"/>
        <w:gridCol w:w="634"/>
        <w:gridCol w:w="637"/>
        <w:gridCol w:w="265"/>
        <w:gridCol w:w="586"/>
        <w:gridCol w:w="136"/>
        <w:gridCol w:w="129"/>
        <w:gridCol w:w="129"/>
        <w:gridCol w:w="129"/>
        <w:gridCol w:w="352"/>
        <w:gridCol w:w="552"/>
        <w:gridCol w:w="137"/>
        <w:gridCol w:w="109"/>
        <w:gridCol w:w="109"/>
        <w:gridCol w:w="109"/>
        <w:gridCol w:w="245"/>
        <w:gridCol w:w="718"/>
        <w:gridCol w:w="127"/>
        <w:gridCol w:w="127"/>
        <w:gridCol w:w="127"/>
        <w:gridCol w:w="127"/>
        <w:gridCol w:w="309"/>
        <w:gridCol w:w="603"/>
        <w:gridCol w:w="129"/>
        <w:gridCol w:w="109"/>
        <w:gridCol w:w="109"/>
        <w:gridCol w:w="109"/>
        <w:gridCol w:w="245"/>
        <w:gridCol w:w="718"/>
        <w:gridCol w:w="127"/>
        <w:gridCol w:w="109"/>
        <w:gridCol w:w="109"/>
        <w:gridCol w:w="109"/>
        <w:gridCol w:w="269"/>
        <w:gridCol w:w="620"/>
        <w:gridCol w:w="212"/>
      </w:tblGrid>
      <w:tr>
        <w:trPr/>
        <w:tc>
          <w:tcPr>
            <w:tcW w:w="83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21"/>
        <w:gridCol w:w="620"/>
        <w:gridCol w:w="623"/>
        <w:gridCol w:w="244"/>
        <w:gridCol w:w="714"/>
        <w:gridCol w:w="126"/>
        <w:gridCol w:w="122"/>
        <w:gridCol w:w="122"/>
        <w:gridCol w:w="122"/>
        <w:gridCol w:w="308"/>
        <w:gridCol w:w="598"/>
        <w:gridCol w:w="128"/>
        <w:gridCol w:w="109"/>
        <w:gridCol w:w="109"/>
        <w:gridCol w:w="109"/>
        <w:gridCol w:w="244"/>
        <w:gridCol w:w="714"/>
        <w:gridCol w:w="126"/>
        <w:gridCol w:w="126"/>
        <w:gridCol w:w="126"/>
        <w:gridCol w:w="126"/>
        <w:gridCol w:w="308"/>
        <w:gridCol w:w="599"/>
        <w:gridCol w:w="128"/>
        <w:gridCol w:w="109"/>
        <w:gridCol w:w="109"/>
        <w:gridCol w:w="109"/>
        <w:gridCol w:w="244"/>
        <w:gridCol w:w="714"/>
        <w:gridCol w:w="126"/>
        <w:gridCol w:w="109"/>
        <w:gridCol w:w="109"/>
        <w:gridCol w:w="109"/>
        <w:gridCol w:w="267"/>
        <w:gridCol w:w="617"/>
        <w:gridCol w:w="211"/>
      </w:tblGrid>
      <w:tr>
        <w:trPr/>
        <w:tc>
          <w:tcPr>
            <w:tcW w:w="8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9379" w:type="dxa"/>
        <w:jc w:val="left"/>
        <w:tblInd w:w="0" w:type="dxa"/>
        <w:tblLayout w:type="fixed"/>
        <w:tblCellMar>
          <w:top w:w="28" w:type="dxa"/>
          <w:left w:w="28" w:type="dxa"/>
          <w:bottom w:w="28" w:type="dxa"/>
          <w:right w:w="28" w:type="dxa"/>
        </w:tblCellMar>
      </w:tblPr>
      <w:tblGrid>
        <w:gridCol w:w="1854"/>
        <w:gridCol w:w="1628"/>
        <w:gridCol w:w="1632"/>
        <w:gridCol w:w="109"/>
        <w:gridCol w:w="109"/>
        <w:gridCol w:w="109"/>
        <w:gridCol w:w="273"/>
        <w:gridCol w:w="273"/>
        <w:gridCol w:w="529"/>
        <w:gridCol w:w="1170"/>
        <w:gridCol w:w="273"/>
        <w:gridCol w:w="109"/>
        <w:gridCol w:w="109"/>
        <w:gridCol w:w="109"/>
        <w:gridCol w:w="224"/>
        <w:gridCol w:w="497"/>
        <w:gridCol w:w="109"/>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20" w:type="dxa"/>
            <w:gridSpan w:val="8"/>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cemetery trusts are as follows (in thousands):</w:t>
      </w:r>
    </w:p>
    <w:tbl>
      <w:tblPr>
        <w:tblW w:w="4456"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26"/>
        <w:gridCol w:w="741"/>
        <w:gridCol w:w="116"/>
        <w:gridCol w:w="116"/>
        <w:gridCol w:w="116"/>
        <w:gridCol w:w="116"/>
        <w:gridCol w:w="226"/>
        <w:gridCol w:w="741"/>
        <w:gridCol w:w="116"/>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Sheets are as follows (in thousands):</w:t>
      </w:r>
    </w:p>
    <w:tbl>
      <w:tblPr>
        <w:tblW w:w="7344" w:type="dxa"/>
        <w:jc w:val="left"/>
        <w:tblInd w:w="0" w:type="dxa"/>
        <w:tblLayout w:type="fixed"/>
        <w:tblCellMar>
          <w:top w:w="28" w:type="dxa"/>
          <w:left w:w="28" w:type="dxa"/>
          <w:bottom w:w="28" w:type="dxa"/>
          <w:right w:w="28" w:type="dxa"/>
        </w:tblCellMar>
      </w:tblPr>
      <w:tblGrid>
        <w:gridCol w:w="1498"/>
        <w:gridCol w:w="1317"/>
        <w:gridCol w:w="1324"/>
        <w:gridCol w:w="237"/>
        <w:gridCol w:w="930"/>
        <w:gridCol w:w="122"/>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March 31, 2025 are detailed below (in thousands):</w:t>
      </w:r>
    </w:p>
    <w:tbl>
      <w:tblPr>
        <w:tblW w:w="10205" w:type="dxa"/>
        <w:jc w:val="left"/>
        <w:tblInd w:w="0" w:type="dxa"/>
        <w:tblLayout w:type="fixed"/>
        <w:tblCellMar>
          <w:top w:w="28" w:type="dxa"/>
          <w:left w:w="28" w:type="dxa"/>
          <w:bottom w:w="28" w:type="dxa"/>
          <w:right w:w="28" w:type="dxa"/>
        </w:tblCellMar>
      </w:tblPr>
      <w:tblGrid>
        <w:gridCol w:w="864"/>
        <w:gridCol w:w="662"/>
        <w:gridCol w:w="665"/>
        <w:gridCol w:w="532"/>
        <w:gridCol w:w="532"/>
        <w:gridCol w:w="533"/>
        <w:gridCol w:w="109"/>
        <w:gridCol w:w="109"/>
        <w:gridCol w:w="109"/>
        <w:gridCol w:w="211"/>
        <w:gridCol w:w="826"/>
        <w:gridCol w:w="109"/>
        <w:gridCol w:w="109"/>
        <w:gridCol w:w="109"/>
        <w:gridCol w:w="109"/>
        <w:gridCol w:w="272"/>
        <w:gridCol w:w="795"/>
        <w:gridCol w:w="140"/>
        <w:gridCol w:w="109"/>
        <w:gridCol w:w="109"/>
        <w:gridCol w:w="109"/>
        <w:gridCol w:w="266"/>
        <w:gridCol w:w="845"/>
        <w:gridCol w:w="137"/>
        <w:gridCol w:w="109"/>
        <w:gridCol w:w="109"/>
        <w:gridCol w:w="109"/>
        <w:gridCol w:w="452"/>
        <w:gridCol w:w="280"/>
        <w:gridCol w:w="614"/>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investments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6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64"/>
        <w:gridCol w:w="662"/>
        <w:gridCol w:w="665"/>
        <w:gridCol w:w="532"/>
        <w:gridCol w:w="532"/>
        <w:gridCol w:w="533"/>
        <w:gridCol w:w="109"/>
        <w:gridCol w:w="109"/>
        <w:gridCol w:w="109"/>
        <w:gridCol w:w="211"/>
        <w:gridCol w:w="826"/>
        <w:gridCol w:w="109"/>
        <w:gridCol w:w="109"/>
        <w:gridCol w:w="109"/>
        <w:gridCol w:w="109"/>
        <w:gridCol w:w="272"/>
        <w:gridCol w:w="795"/>
        <w:gridCol w:w="140"/>
        <w:gridCol w:w="109"/>
        <w:gridCol w:w="109"/>
        <w:gridCol w:w="109"/>
        <w:gridCol w:w="266"/>
        <w:gridCol w:w="845"/>
        <w:gridCol w:w="137"/>
        <w:gridCol w:w="109"/>
        <w:gridCol w:w="109"/>
        <w:gridCol w:w="109"/>
        <w:gridCol w:w="452"/>
        <w:gridCol w:w="280"/>
        <w:gridCol w:w="614"/>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March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46"/>
        <w:gridCol w:w="646"/>
        <w:gridCol w:w="648"/>
        <w:gridCol w:w="267"/>
        <w:gridCol w:w="590"/>
        <w:gridCol w:w="137"/>
        <w:gridCol w:w="131"/>
        <w:gridCol w:w="131"/>
        <w:gridCol w:w="131"/>
        <w:gridCol w:w="362"/>
        <w:gridCol w:w="544"/>
        <w:gridCol w:w="140"/>
        <w:gridCol w:w="109"/>
        <w:gridCol w:w="109"/>
        <w:gridCol w:w="109"/>
        <w:gridCol w:w="267"/>
        <w:gridCol w:w="590"/>
        <w:gridCol w:w="137"/>
        <w:gridCol w:w="135"/>
        <w:gridCol w:w="135"/>
        <w:gridCol w:w="135"/>
        <w:gridCol w:w="371"/>
        <w:gridCol w:w="537"/>
        <w:gridCol w:w="138"/>
        <w:gridCol w:w="109"/>
        <w:gridCol w:w="109"/>
        <w:gridCol w:w="109"/>
        <w:gridCol w:w="267"/>
        <w:gridCol w:w="590"/>
        <w:gridCol w:w="137"/>
        <w:gridCol w:w="109"/>
        <w:gridCol w:w="109"/>
        <w:gridCol w:w="109"/>
        <w:gridCol w:w="316"/>
        <w:gridCol w:w="565"/>
        <w:gridCol w:w="165"/>
        <w:gridCol w:w="166"/>
      </w:tblGrid>
      <w:tr>
        <w:trPr/>
        <w:tc>
          <w:tcPr>
            <w:tcW w:w="8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03"/>
        <w:gridCol w:w="602"/>
        <w:gridCol w:w="605"/>
        <w:gridCol w:w="242"/>
        <w:gridCol w:w="708"/>
        <w:gridCol w:w="125"/>
        <w:gridCol w:w="121"/>
        <w:gridCol w:w="121"/>
        <w:gridCol w:w="121"/>
        <w:gridCol w:w="308"/>
        <w:gridCol w:w="592"/>
        <w:gridCol w:w="127"/>
        <w:gridCol w:w="109"/>
        <w:gridCol w:w="109"/>
        <w:gridCol w:w="109"/>
        <w:gridCol w:w="242"/>
        <w:gridCol w:w="709"/>
        <w:gridCol w:w="125"/>
        <w:gridCol w:w="125"/>
        <w:gridCol w:w="125"/>
        <w:gridCol w:w="125"/>
        <w:gridCol w:w="307"/>
        <w:gridCol w:w="592"/>
        <w:gridCol w:w="127"/>
        <w:gridCol w:w="109"/>
        <w:gridCol w:w="109"/>
        <w:gridCol w:w="109"/>
        <w:gridCol w:w="242"/>
        <w:gridCol w:w="708"/>
        <w:gridCol w:w="125"/>
        <w:gridCol w:w="109"/>
        <w:gridCol w:w="109"/>
        <w:gridCol w:w="109"/>
        <w:gridCol w:w="269"/>
        <w:gridCol w:w="619"/>
        <w:gridCol w:w="139"/>
        <w:gridCol w:w="170"/>
      </w:tblGrid>
      <w:tr>
        <w:trPr/>
        <w:tc>
          <w:tcPr>
            <w:tcW w:w="8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Other, net</w:t>
      </w:r>
      <w:r>
        <w:rPr>
          <w:color w:val="000000"/>
        </w:rPr>
        <w:t xml:space="preserve"> </w:t>
      </w:r>
      <w:r>
        <w:rPr>
          <w:rFonts w:ascii="Times New Roman;sans-serif" w:hAnsi="Times New Roman;sans-serif"/>
          <w:b w:val="false"/>
          <w:color w:val="000000"/>
          <w:sz w:val="20"/>
        </w:rPr>
        <w:t>on our Consolidated Statements of Operations are as follows (in thousands):</w:t>
      </w:r>
    </w:p>
    <w:tbl>
      <w:tblPr>
        <w:tblW w:w="8702" w:type="dxa"/>
        <w:jc w:val="left"/>
        <w:tblInd w:w="0" w:type="dxa"/>
        <w:tblLayout w:type="fixed"/>
        <w:tblCellMar>
          <w:top w:w="28" w:type="dxa"/>
          <w:left w:w="28" w:type="dxa"/>
          <w:bottom w:w="28" w:type="dxa"/>
          <w:right w:w="28" w:type="dxa"/>
        </w:tblCellMar>
      </w:tblPr>
      <w:tblGrid>
        <w:gridCol w:w="1794"/>
        <w:gridCol w:w="1576"/>
        <w:gridCol w:w="1580"/>
        <w:gridCol w:w="109"/>
        <w:gridCol w:w="109"/>
        <w:gridCol w:w="109"/>
        <w:gridCol w:w="303"/>
        <w:gridCol w:w="670"/>
        <w:gridCol w:w="156"/>
        <w:gridCol w:w="156"/>
        <w:gridCol w:w="156"/>
        <w:gridCol w:w="156"/>
        <w:gridCol w:w="303"/>
        <w:gridCol w:w="670"/>
        <w:gridCol w:w="156"/>
        <w:gridCol w:w="109"/>
        <w:gridCol w:w="109"/>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466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45"/>
        <w:gridCol w:w="803"/>
        <w:gridCol w:w="126"/>
        <w:gridCol w:w="126"/>
        <w:gridCol w:w="126"/>
        <w:gridCol w:w="126"/>
        <w:gridCol w:w="245"/>
        <w:gridCol w:w="803"/>
        <w:gridCol w:w="126"/>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 xml:space="preserve">on our Consolidated Balance Sheets represent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r>
        <w:rPr>
          <w:color w:val="000000"/>
        </w:rPr>
        <w:t> </w:t>
      </w:r>
    </w:p>
    <w:tbl>
      <w:tblPr>
        <w:tblW w:w="8052" w:type="dxa"/>
        <w:jc w:val="left"/>
        <w:tblInd w:w="0" w:type="dxa"/>
        <w:tblLayout w:type="fixed"/>
        <w:tblCellMar>
          <w:top w:w="28" w:type="dxa"/>
          <w:left w:w="28" w:type="dxa"/>
          <w:bottom w:w="28" w:type="dxa"/>
          <w:right w:w="28" w:type="dxa"/>
        </w:tblCellMar>
      </w:tblPr>
      <w:tblGrid>
        <w:gridCol w:w="1754"/>
        <w:gridCol w:w="1541"/>
        <w:gridCol w:w="1550"/>
        <w:gridCol w:w="261"/>
        <w:gridCol w:w="894"/>
        <w:gridCol w:w="135"/>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to (due from) trust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 including HFS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perpetual care trust funds at March 31, 2025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5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reflects the cost and market values associated with the trust investments held in perpetual care trust funds at December 31, 2024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5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March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88"/>
        <w:gridCol w:w="638"/>
        <w:gridCol w:w="640"/>
        <w:gridCol w:w="265"/>
        <w:gridCol w:w="587"/>
        <w:gridCol w:w="137"/>
        <w:gridCol w:w="130"/>
        <w:gridCol w:w="130"/>
        <w:gridCol w:w="130"/>
        <w:gridCol w:w="362"/>
        <w:gridCol w:w="541"/>
        <w:gridCol w:w="140"/>
        <w:gridCol w:w="109"/>
        <w:gridCol w:w="109"/>
        <w:gridCol w:w="109"/>
        <w:gridCol w:w="265"/>
        <w:gridCol w:w="587"/>
        <w:gridCol w:w="136"/>
        <w:gridCol w:w="131"/>
        <w:gridCol w:w="131"/>
        <w:gridCol w:w="131"/>
        <w:gridCol w:w="312"/>
        <w:gridCol w:w="611"/>
        <w:gridCol w:w="131"/>
        <w:gridCol w:w="109"/>
        <w:gridCol w:w="109"/>
        <w:gridCol w:w="109"/>
        <w:gridCol w:w="246"/>
        <w:gridCol w:w="719"/>
        <w:gridCol w:w="127"/>
        <w:gridCol w:w="109"/>
        <w:gridCol w:w="109"/>
        <w:gridCol w:w="109"/>
        <w:gridCol w:w="273"/>
        <w:gridCol w:w="628"/>
        <w:gridCol w:w="141"/>
        <w:gridCol w:w="167"/>
      </w:tblGrid>
      <w:tr>
        <w:trPr/>
        <w:tc>
          <w:tcPr>
            <w:tcW w:w="78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within our perpetual care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9"/>
        <w:gridCol w:w="611"/>
        <w:gridCol w:w="613"/>
        <w:gridCol w:w="243"/>
        <w:gridCol w:w="711"/>
        <w:gridCol w:w="125"/>
        <w:gridCol w:w="122"/>
        <w:gridCol w:w="122"/>
        <w:gridCol w:w="122"/>
        <w:gridCol w:w="308"/>
        <w:gridCol w:w="595"/>
        <w:gridCol w:w="128"/>
        <w:gridCol w:w="109"/>
        <w:gridCol w:w="109"/>
        <w:gridCol w:w="109"/>
        <w:gridCol w:w="243"/>
        <w:gridCol w:w="711"/>
        <w:gridCol w:w="125"/>
        <w:gridCol w:w="125"/>
        <w:gridCol w:w="125"/>
        <w:gridCol w:w="125"/>
        <w:gridCol w:w="308"/>
        <w:gridCol w:w="595"/>
        <w:gridCol w:w="128"/>
        <w:gridCol w:w="109"/>
        <w:gridCol w:w="109"/>
        <w:gridCol w:w="109"/>
        <w:gridCol w:w="243"/>
        <w:gridCol w:w="711"/>
        <w:gridCol w:w="125"/>
        <w:gridCol w:w="109"/>
        <w:gridCol w:w="109"/>
        <w:gridCol w:w="109"/>
        <w:gridCol w:w="270"/>
        <w:gridCol w:w="621"/>
        <w:gridCol w:w="140"/>
        <w:gridCol w:w="170"/>
      </w:tblGrid>
      <w:tr>
        <w:trPr/>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Perpetual care trust investment security transactions recorded in </w:t>
      </w:r>
      <w:r>
        <w:rPr>
          <w:rFonts w:ascii="Times New Roman;sans-serif" w:hAnsi="Times New Roman;sans-serif"/>
          <w:b w:val="false"/>
          <w:i/>
          <w:color w:val="000000"/>
          <w:sz w:val="20"/>
        </w:rPr>
        <w:t>Other, net</w:t>
      </w:r>
      <w:r>
        <w:rPr>
          <w:color w:val="000000"/>
        </w:rPr>
        <w:t xml:space="preserve"> </w:t>
      </w:r>
      <w:r>
        <w:rPr>
          <w:rFonts w:ascii="Times New Roman;sans-serif" w:hAnsi="Times New Roman;sans-serif"/>
          <w:b w:val="false"/>
          <w:color w:val="000000"/>
          <w:sz w:val="20"/>
        </w:rPr>
        <w:t>on our Consolidated Statements of Operations are as follows (in thousands):</w:t>
      </w:r>
    </w:p>
    <w:tbl>
      <w:tblPr>
        <w:tblW w:w="6180" w:type="dxa"/>
        <w:jc w:val="left"/>
        <w:tblInd w:w="0" w:type="dxa"/>
        <w:tblLayout w:type="fixed"/>
        <w:tblCellMar>
          <w:top w:w="28" w:type="dxa"/>
          <w:left w:w="28" w:type="dxa"/>
          <w:bottom w:w="28" w:type="dxa"/>
          <w:right w:w="28" w:type="dxa"/>
        </w:tblCellMar>
      </w:tblPr>
      <w:tblGrid>
        <w:gridCol w:w="992"/>
        <w:gridCol w:w="873"/>
        <w:gridCol w:w="880"/>
        <w:gridCol w:w="109"/>
        <w:gridCol w:w="259"/>
        <w:gridCol w:w="573"/>
        <w:gridCol w:w="134"/>
        <w:gridCol w:w="134"/>
        <w:gridCol w:w="134"/>
        <w:gridCol w:w="134"/>
        <w:gridCol w:w="259"/>
        <w:gridCol w:w="757"/>
        <w:gridCol w:w="134"/>
        <w:gridCol w:w="10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109" w:type="dxa"/>
            <w:tcBorders/>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5095" w:type="dxa"/>
        <w:jc w:val="left"/>
        <w:tblInd w:w="0" w:type="dxa"/>
        <w:tblLayout w:type="fixed"/>
        <w:tblCellMar>
          <w:top w:w="28" w:type="dxa"/>
          <w:left w:w="28" w:type="dxa"/>
          <w:bottom w:w="28" w:type="dxa"/>
          <w:right w:w="28" w:type="dxa"/>
        </w:tblCellMar>
      </w:tblPr>
      <w:tblGrid>
        <w:gridCol w:w="603"/>
        <w:gridCol w:w="530"/>
        <w:gridCol w:w="531"/>
        <w:gridCol w:w="109"/>
        <w:gridCol w:w="241"/>
        <w:gridCol w:w="706"/>
        <w:gridCol w:w="124"/>
        <w:gridCol w:w="124"/>
        <w:gridCol w:w="124"/>
        <w:gridCol w:w="124"/>
        <w:gridCol w:w="241"/>
        <w:gridCol w:w="706"/>
        <w:gridCol w:w="124"/>
        <w:gridCol w:w="109"/>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perpetual care trusts are as follows (in thousands):</w:t>
      </w:r>
    </w:p>
    <w:tbl>
      <w:tblPr>
        <w:tblW w:w="4347" w:type="dxa"/>
        <w:jc w:val="left"/>
        <w:tblInd w:w="0" w:type="dxa"/>
        <w:tblLayout w:type="fixed"/>
        <w:tblCellMar>
          <w:top w:w="28" w:type="dxa"/>
          <w:left w:w="28" w:type="dxa"/>
          <w:bottom w:w="28" w:type="dxa"/>
          <w:right w:w="28" w:type="dxa"/>
        </w:tblCellMar>
      </w:tblPr>
      <w:tblGrid>
        <w:gridCol w:w="332"/>
        <w:gridCol w:w="291"/>
        <w:gridCol w:w="293"/>
        <w:gridCol w:w="109"/>
        <w:gridCol w:w="226"/>
        <w:gridCol w:w="741"/>
        <w:gridCol w:w="116"/>
        <w:gridCol w:w="116"/>
        <w:gridCol w:w="116"/>
        <w:gridCol w:w="116"/>
        <w:gridCol w:w="226"/>
        <w:gridCol w:w="741"/>
        <w:gridCol w:w="116"/>
        <w:gridCol w:w="109"/>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8. 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8096" w:type="dxa"/>
        <w:jc w:val="left"/>
        <w:tblInd w:w="0" w:type="dxa"/>
        <w:tblLayout w:type="fixed"/>
        <w:tblCellMar>
          <w:top w:w="28" w:type="dxa"/>
          <w:left w:w="28" w:type="dxa"/>
          <w:bottom w:w="28" w:type="dxa"/>
          <w:right w:w="28" w:type="dxa"/>
        </w:tblCellMar>
      </w:tblPr>
      <w:tblGrid>
        <w:gridCol w:w="1768"/>
        <w:gridCol w:w="1557"/>
        <w:gridCol w:w="1564"/>
        <w:gridCol w:w="261"/>
        <w:gridCol w:w="894"/>
        <w:gridCol w:w="135"/>
        <w:gridCol w:w="109"/>
        <w:gridCol w:w="109"/>
        <w:gridCol w:w="109"/>
        <w:gridCol w:w="309"/>
        <w:gridCol w:w="1056"/>
        <w:gridCol w:w="225"/>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 including HFS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March 31, 2025 and December 31, 2024.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trust funds at March 31,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trust funds at December 31, 2024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9. INTANGIBLE AND OTHER NON-CURRENT ASSETS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620"/>
        <w:gridCol w:w="2263"/>
        <w:gridCol w:w="2281"/>
        <w:gridCol w:w="249"/>
        <w:gridCol w:w="855"/>
        <w:gridCol w:w="129"/>
        <w:gridCol w:w="109"/>
        <w:gridCol w:w="109"/>
        <w:gridCol w:w="109"/>
        <w:gridCol w:w="287"/>
        <w:gridCol w:w="981"/>
        <w:gridCol w:w="213"/>
      </w:tblGrid>
      <w:tr>
        <w:trPr/>
        <w:tc>
          <w:tcPr>
            <w:tcW w:w="2620"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net of accumulated amortization of $831 and $764, respectively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$4,616 and $4,653, respectively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$3,654 and $3,543, respectively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prepaid and other intangibles, net of accumulated amortization of $142 and $109, respectively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 including HFS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 Names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trade names have indefinite lives and therefore are not amortized. During the three months ended March 31, 2024, two of the funeral homes that we sold had a carrying value of tradenames of $0.2 million, which was included in the loss on sale and recorded in </w:t>
      </w: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on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Internally Developed Software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is amortized on a straight-line basis typically over three to five years. Amortization expense was $0.1 million for both the three months ended March 31, 2025 and 2024.</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$0.2 million for both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 Not-to-Compete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$0.1 million for both the three months ended March 31, 2025 and 2024.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Non-current Prepaid and Other Intangibles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Non-current prepaid agreements are related to software licenses that have been prepaid for multiple years. These agreements are amortized on a straight-line basis over the term of the respective agreements, generally ranging from two to three years. Other intangible assets relate to intellectual property and are amortized on a straight-line basis, typically over three years. Amortization expense was immaterial for both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not-to-compete agreements, internal-use software and non-current prepaid and other agreements as of March 31, 2025 is as follows (in thousands):</w:t>
      </w:r>
    </w:p>
    <w:tbl>
      <w:tblPr>
        <w:tblW w:w="10205" w:type="dxa"/>
        <w:jc w:val="left"/>
        <w:tblInd w:w="0" w:type="dxa"/>
        <w:tblLayout w:type="fixed"/>
        <w:tblCellMar>
          <w:top w:w="28" w:type="dxa"/>
          <w:left w:w="28" w:type="dxa"/>
          <w:bottom w:w="28" w:type="dxa"/>
          <w:right w:w="28" w:type="dxa"/>
        </w:tblCellMar>
      </w:tblPr>
      <w:tblGrid>
        <w:gridCol w:w="696"/>
        <w:gridCol w:w="507"/>
        <w:gridCol w:w="510"/>
        <w:gridCol w:w="354"/>
        <w:gridCol w:w="1033"/>
        <w:gridCol w:w="184"/>
        <w:gridCol w:w="109"/>
        <w:gridCol w:w="109"/>
        <w:gridCol w:w="109"/>
        <w:gridCol w:w="548"/>
        <w:gridCol w:w="1213"/>
        <w:gridCol w:w="285"/>
        <w:gridCol w:w="109"/>
        <w:gridCol w:w="109"/>
        <w:gridCol w:w="109"/>
        <w:gridCol w:w="371"/>
        <w:gridCol w:w="1084"/>
        <w:gridCol w:w="191"/>
        <w:gridCol w:w="109"/>
        <w:gridCol w:w="109"/>
        <w:gridCol w:w="109"/>
        <w:gridCol w:w="569"/>
        <w:gridCol w:w="1257"/>
        <w:gridCol w:w="422"/>
      </w:tblGrid>
      <w:tr>
        <w:trPr/>
        <w:tc>
          <w:tcPr>
            <w:tcW w:w="6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Prepaid Agreements 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Internally Developed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Non-current Prepaid and Other Intangibles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10. CREDIT FACILITY AND 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11)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2025,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March 31, 2025.</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512"/>
        <w:gridCol w:w="2203"/>
        <w:gridCol w:w="2205"/>
        <w:gridCol w:w="235"/>
        <w:gridCol w:w="924"/>
        <w:gridCol w:w="121"/>
        <w:gridCol w:w="109"/>
        <w:gridCol w:w="109"/>
        <w:gridCol w:w="109"/>
        <w:gridCol w:w="279"/>
        <w:gridCol w:w="1097"/>
        <w:gridCol w:w="144"/>
        <w:gridCol w:w="158"/>
      </w:tblGrid>
      <w:tr>
        <w:trPr/>
        <w:tc>
          <w:tcPr>
            <w:tcW w:w="251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$3,035 and $2,947, respectively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outstanding borrowings under the Credit Facility of $120.0 million. We also had one letter of credit for $2.2 million under the Credit Facility. The letter of credit will expire on November 25, 2025 and is expected to automatically renew annually and secures our obligations under our various self-insured policies. At March 31, 2025, we had $127.8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8448" w:type="dxa"/>
        <w:jc w:val="left"/>
        <w:tblInd w:w="0" w:type="dxa"/>
        <w:tblLayout w:type="fixed"/>
        <w:tblCellMar>
          <w:top w:w="28" w:type="dxa"/>
          <w:left w:w="28" w:type="dxa"/>
          <w:bottom w:w="28" w:type="dxa"/>
          <w:right w:w="28" w:type="dxa"/>
        </w:tblCellMar>
      </w:tblPr>
      <w:tblGrid>
        <w:gridCol w:w="1516"/>
        <w:gridCol w:w="1329"/>
        <w:gridCol w:w="1340"/>
        <w:gridCol w:w="109"/>
        <w:gridCol w:w="109"/>
        <w:gridCol w:w="238"/>
        <w:gridCol w:w="238"/>
        <w:gridCol w:w="460"/>
        <w:gridCol w:w="1345"/>
        <w:gridCol w:w="238"/>
        <w:gridCol w:w="109"/>
        <w:gridCol w:w="109"/>
        <w:gridCol w:w="109"/>
        <w:gridCol w:w="211"/>
        <w:gridCol w:w="616"/>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our outstanding borrowings under our Credit Facility bore interest at a prime rate or the SOFR rate, plus an applicable margin based on our leverage ratio. At March 31, 2025, the prime rate margin was equivalent to 1.50% and the SOFR term margin was 2.50%. The weighted average interest rate on our Credit Facility was 6.9% and 8.9%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772" w:type="dxa"/>
        <w:jc w:val="left"/>
        <w:tblInd w:w="0" w:type="dxa"/>
        <w:tblLayout w:type="fixed"/>
        <w:tblCellMar>
          <w:top w:w="28" w:type="dxa"/>
          <w:left w:w="28" w:type="dxa"/>
          <w:bottom w:w="28" w:type="dxa"/>
          <w:right w:w="28" w:type="dxa"/>
        </w:tblCellMar>
      </w:tblPr>
      <w:tblGrid>
        <w:gridCol w:w="1286"/>
        <w:gridCol w:w="1131"/>
        <w:gridCol w:w="1138"/>
        <w:gridCol w:w="296"/>
        <w:gridCol w:w="507"/>
        <w:gridCol w:w="153"/>
        <w:gridCol w:w="153"/>
        <w:gridCol w:w="153"/>
        <w:gridCol w:w="153"/>
        <w:gridCol w:w="296"/>
        <w:gridCol w:w="654"/>
        <w:gridCol w:w="153"/>
        <w:gridCol w:w="109"/>
        <w:gridCol w:w="109"/>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11. 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Sheets as follows (in thousands): </w:t>
      </w:r>
    </w:p>
    <w:tbl>
      <w:tblPr>
        <w:tblW w:w="10205" w:type="dxa"/>
        <w:jc w:val="left"/>
        <w:tblInd w:w="0" w:type="dxa"/>
        <w:tblLayout w:type="fixed"/>
        <w:tblCellMar>
          <w:top w:w="28" w:type="dxa"/>
          <w:left w:w="28" w:type="dxa"/>
          <w:bottom w:w="28" w:type="dxa"/>
          <w:right w:w="28" w:type="dxa"/>
        </w:tblCellMar>
      </w:tblPr>
      <w:tblGrid>
        <w:gridCol w:w="2501"/>
        <w:gridCol w:w="2188"/>
        <w:gridCol w:w="2206"/>
        <w:gridCol w:w="236"/>
        <w:gridCol w:w="928"/>
        <w:gridCol w:w="121"/>
        <w:gridCol w:w="109"/>
        <w:gridCol w:w="109"/>
        <w:gridCol w:w="109"/>
        <w:gridCol w:w="283"/>
        <w:gridCol w:w="1110"/>
        <w:gridCol w:w="146"/>
        <w:gridCol w:w="159"/>
      </w:tblGrid>
      <w:tr>
        <w:trPr/>
        <w:tc>
          <w:tcPr>
            <w:tcW w:w="250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$1,986 and $1,848, respectively</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$565 and $526, respectively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396,774 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fair value of the Senior Notes, which are Level 2 measurements, was $364.4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8406" w:type="dxa"/>
        <w:jc w:val="left"/>
        <w:tblInd w:w="0" w:type="dxa"/>
        <w:tblLayout w:type="fixed"/>
        <w:tblCellMar>
          <w:top w:w="28" w:type="dxa"/>
          <w:left w:w="28" w:type="dxa"/>
          <w:bottom w:w="28" w:type="dxa"/>
          <w:right w:w="28" w:type="dxa"/>
        </w:tblCellMar>
      </w:tblPr>
      <w:tblGrid>
        <w:gridCol w:w="1463"/>
        <w:gridCol w:w="1280"/>
        <w:gridCol w:w="1291"/>
        <w:gridCol w:w="109"/>
        <w:gridCol w:w="109"/>
        <w:gridCol w:w="238"/>
        <w:gridCol w:w="238"/>
        <w:gridCol w:w="460"/>
        <w:gridCol w:w="1345"/>
        <w:gridCol w:w="238"/>
        <w:gridCol w:w="109"/>
        <w:gridCol w:w="109"/>
        <w:gridCol w:w="109"/>
        <w:gridCol w:w="211"/>
        <w:gridCol w:w="616"/>
        <w:gridCol w:w="109"/>
        <w:gridCol w:w="109"/>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50 months of the Senior Notes. The effective interest rates on the unamortized debt discount and the unamortized debt issuance costs for the Senior Notes for both the three months ended March 31, 2025 and 2024 were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vehicles and equipment. The components of lease cost are as follows (in thousands):</w:t>
      </w:r>
    </w:p>
    <w:tbl>
      <w:tblPr>
        <w:tblW w:w="8650" w:type="dxa"/>
        <w:jc w:val="left"/>
        <w:tblInd w:w="0" w:type="dxa"/>
        <w:tblLayout w:type="fixed"/>
        <w:tblCellMar>
          <w:top w:w="28" w:type="dxa"/>
          <w:left w:w="28" w:type="dxa"/>
          <w:bottom w:w="28" w:type="dxa"/>
          <w:right w:w="28" w:type="dxa"/>
        </w:tblCellMar>
      </w:tblPr>
      <w:tblGrid>
        <w:gridCol w:w="885"/>
        <w:gridCol w:w="777"/>
        <w:gridCol w:w="783"/>
        <w:gridCol w:w="109"/>
        <w:gridCol w:w="924"/>
        <w:gridCol w:w="924"/>
        <w:gridCol w:w="926"/>
        <w:gridCol w:w="109"/>
        <w:gridCol w:w="241"/>
        <w:gridCol w:w="706"/>
        <w:gridCol w:w="124"/>
        <w:gridCol w:w="124"/>
        <w:gridCol w:w="124"/>
        <w:gridCol w:w="124"/>
        <w:gridCol w:w="241"/>
        <w:gridCol w:w="706"/>
        <w:gridCol w:w="124"/>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Facilities and grounds expense is included within </w:t>
            </w:r>
            <w:r>
              <w:rPr>
                <w:rFonts w:ascii="Times New Roman;sans-serif" w:hAnsi="Times New Roman;sans-serif"/>
                <w:b w:val="false"/>
                <w:i/>
                <w:color w:val="000000"/>
                <w:sz w:val="18"/>
              </w:rPr>
              <w:t>Cost of service</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i/>
                <w:color w:val="000000"/>
                <w:sz w:val="18"/>
              </w:rPr>
              <w:t>General, administrative and other</w:t>
            </w:r>
            <w:r>
              <w:rPr>
                <w:color w:val="000000"/>
              </w:rPr>
              <w:t xml:space="preserve"> </w:t>
            </w:r>
            <w:r>
              <w:rPr>
                <w:rFonts w:ascii="Times New Roman;sans-serif" w:hAnsi="Times New Roman;sans-serif"/>
                <w:b w:val="false"/>
                <w:color w:val="000000"/>
                <w:sz w:val="18"/>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Depreciation and amortization expense is included within </w:t>
            </w:r>
            <w:r>
              <w:rPr>
                <w:rFonts w:ascii="Times New Roman;sans-serif" w:hAnsi="Times New Roman;sans-serif"/>
                <w:b w:val="false"/>
                <w:i/>
                <w:color w:val="000000"/>
                <w:sz w:val="18"/>
              </w:rPr>
              <w:t>Field depreciation expense</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i/>
                <w:color w:val="000000"/>
                <w:sz w:val="18"/>
              </w:rPr>
              <w:t>General, administrative and other</w:t>
            </w:r>
            <w:r>
              <w:rPr>
                <w:color w:val="000000"/>
              </w:rPr>
              <w:t xml:space="preserve"> </w:t>
            </w:r>
            <w:r>
              <w:rPr>
                <w:rFonts w:ascii="Times New Roman;sans-serif" w:hAnsi="Times New Roman;sans-serif"/>
                <w:b w:val="false"/>
                <w:color w:val="000000"/>
                <w:sz w:val="18"/>
              </w:rPr>
              <w:t>on our Consolidated Statements of Operations.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8030" w:type="dxa"/>
        <w:jc w:val="left"/>
        <w:tblInd w:w="0" w:type="dxa"/>
        <w:tblLayout w:type="fixed"/>
        <w:tblCellMar>
          <w:top w:w="28" w:type="dxa"/>
          <w:left w:w="28" w:type="dxa"/>
          <w:bottom w:w="28" w:type="dxa"/>
          <w:right w:w="28" w:type="dxa"/>
        </w:tblCellMar>
      </w:tblPr>
      <w:tblGrid>
        <w:gridCol w:w="1861"/>
        <w:gridCol w:w="1639"/>
        <w:gridCol w:w="1644"/>
        <w:gridCol w:w="109"/>
        <w:gridCol w:w="241"/>
        <w:gridCol w:w="706"/>
        <w:gridCol w:w="124"/>
        <w:gridCol w:w="124"/>
        <w:gridCol w:w="124"/>
        <w:gridCol w:w="124"/>
        <w:gridCol w:w="241"/>
        <w:gridCol w:w="706"/>
        <w:gridCol w:w="124"/>
        <w:gridCol w:w="109"/>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are as follows (in thousands):</w:t>
      </w:r>
    </w:p>
    <w:tbl>
      <w:tblPr>
        <w:tblW w:w="8865" w:type="dxa"/>
        <w:jc w:val="left"/>
        <w:tblInd w:w="0" w:type="dxa"/>
        <w:tblLayout w:type="fixed"/>
        <w:tblCellMar>
          <w:top w:w="28" w:type="dxa"/>
          <w:left w:w="28" w:type="dxa"/>
          <w:bottom w:w="28" w:type="dxa"/>
          <w:right w:w="28" w:type="dxa"/>
        </w:tblCellMar>
      </w:tblPr>
      <w:tblGrid>
        <w:gridCol w:w="2242"/>
        <w:gridCol w:w="1971"/>
        <w:gridCol w:w="1982"/>
        <w:gridCol w:w="109"/>
        <w:gridCol w:w="278"/>
        <w:gridCol w:w="615"/>
        <w:gridCol w:w="143"/>
        <w:gridCol w:w="143"/>
        <w:gridCol w:w="143"/>
        <w:gridCol w:w="143"/>
        <w:gridCol w:w="278"/>
        <w:gridCol w:w="615"/>
        <w:gridCol w:w="203"/>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left"/>
        <w:tblInd w:w="0" w:type="dxa"/>
        <w:tblLayout w:type="fixed"/>
        <w:tblCellMar>
          <w:top w:w="28" w:type="dxa"/>
          <w:left w:w="28" w:type="dxa"/>
          <w:bottom w:w="28" w:type="dxa"/>
          <w:right w:w="28" w:type="dxa"/>
        </w:tblCellMar>
      </w:tblPr>
      <w:tblGrid>
        <w:gridCol w:w="986"/>
        <w:gridCol w:w="836"/>
        <w:gridCol w:w="844"/>
        <w:gridCol w:w="109"/>
        <w:gridCol w:w="109"/>
        <w:gridCol w:w="109"/>
        <w:gridCol w:w="1291"/>
        <w:gridCol w:w="1291"/>
        <w:gridCol w:w="1293"/>
        <w:gridCol w:w="109"/>
        <w:gridCol w:w="109"/>
        <w:gridCol w:w="109"/>
        <w:gridCol w:w="247"/>
        <w:gridCol w:w="848"/>
        <w:gridCol w:w="128"/>
        <w:gridCol w:w="109"/>
        <w:gridCol w:w="109"/>
        <w:gridCol w:w="109"/>
        <w:gridCol w:w="283"/>
        <w:gridCol w:w="967"/>
        <w:gridCol w:w="210"/>
      </w:tblGrid>
      <w:tr>
        <w:trPr/>
        <w:tc>
          <w:tcPr>
            <w:tcW w:w="9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 including HFS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current lease liabilities, including HFS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non-current lease liabilities, including HFS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 including HFS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March 31, 2025 are as follows:</w:t>
      </w:r>
    </w:p>
    <w:tbl>
      <w:tblPr>
        <w:tblW w:w="8159" w:type="dxa"/>
        <w:jc w:val="left"/>
        <w:tblInd w:w="0" w:type="dxa"/>
        <w:tblLayout w:type="fixed"/>
        <w:tblCellMar>
          <w:top w:w="28" w:type="dxa"/>
          <w:left w:w="28" w:type="dxa"/>
          <w:bottom w:w="28" w:type="dxa"/>
          <w:right w:w="28" w:type="dxa"/>
        </w:tblCellMar>
      </w:tblPr>
      <w:tblGrid>
        <w:gridCol w:w="527"/>
        <w:gridCol w:w="462"/>
        <w:gridCol w:w="466"/>
        <w:gridCol w:w="109"/>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March 31, 2025 are as follows (in thousands):</w:t>
      </w:r>
    </w:p>
    <w:tbl>
      <w:tblPr>
        <w:tblW w:w="6522" w:type="dxa"/>
        <w:jc w:val="left"/>
        <w:tblInd w:w="0" w:type="dxa"/>
        <w:tblLayout w:type="fixed"/>
        <w:tblCellMar>
          <w:top w:w="28" w:type="dxa"/>
          <w:left w:w="28" w:type="dxa"/>
          <w:bottom w:w="28" w:type="dxa"/>
          <w:right w:w="28" w:type="dxa"/>
        </w:tblCellMar>
      </w:tblPr>
      <w:tblGrid>
        <w:gridCol w:w="1432"/>
        <w:gridCol w:w="1261"/>
        <w:gridCol w:w="1266"/>
        <w:gridCol w:w="109"/>
        <w:gridCol w:w="211"/>
        <w:gridCol w:w="721"/>
        <w:gridCol w:w="109"/>
        <w:gridCol w:w="109"/>
        <w:gridCol w:w="109"/>
        <w:gridCol w:w="109"/>
        <w:gridCol w:w="211"/>
        <w:gridCol w:w="721"/>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 including HFS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March 31, 2025,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8463" w:type="dxa"/>
        <w:jc w:val="left"/>
        <w:tblInd w:w="0" w:type="dxa"/>
        <w:tblLayout w:type="fixed"/>
        <w:tblCellMar>
          <w:top w:w="28" w:type="dxa"/>
          <w:left w:w="28" w:type="dxa"/>
          <w:bottom w:w="28" w:type="dxa"/>
          <w:right w:w="28" w:type="dxa"/>
        </w:tblCellMar>
      </w:tblPr>
      <w:tblGrid>
        <w:gridCol w:w="810"/>
        <w:gridCol w:w="711"/>
        <w:gridCol w:w="714"/>
        <w:gridCol w:w="109"/>
        <w:gridCol w:w="109"/>
        <w:gridCol w:w="360"/>
        <w:gridCol w:w="360"/>
        <w:gridCol w:w="360"/>
        <w:gridCol w:w="360"/>
        <w:gridCol w:w="569"/>
        <w:gridCol w:w="360"/>
        <w:gridCol w:w="360"/>
        <w:gridCol w:w="211"/>
        <w:gridCol w:w="616"/>
        <w:gridCol w:w="109"/>
        <w:gridCol w:w="109"/>
        <w:gridCol w:w="109"/>
        <w:gridCol w:w="109"/>
        <w:gridCol w:w="413"/>
        <w:gridCol w:w="413"/>
        <w:gridCol w:w="211"/>
        <w:gridCol w:w="211"/>
        <w:gridCol w:w="61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81" w:type="dxa"/>
            <w:gridSpan w:val="1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018" w:type="dxa"/>
            <w:gridSpan w:val="6"/>
            <w:tcBorders/>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three months ended March 31, 2025 and 2024 vests over a three-year period, if the employee has remained continuously employed by us during the vesting period, at a weighted average stock price of $41.54 and $24.48,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$0.7 million and $0.5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5687" w:type="dxa"/>
        <w:jc w:val="left"/>
        <w:tblInd w:w="0" w:type="dxa"/>
        <w:tblLayout w:type="fixed"/>
        <w:tblCellMar>
          <w:top w:w="28" w:type="dxa"/>
          <w:left w:w="28" w:type="dxa"/>
          <w:bottom w:w="28" w:type="dxa"/>
          <w:right w:w="28" w:type="dxa"/>
        </w:tblCellMar>
      </w:tblPr>
      <w:tblGrid>
        <w:gridCol w:w="342"/>
        <w:gridCol w:w="300"/>
        <w:gridCol w:w="304"/>
        <w:gridCol w:w="308"/>
        <w:gridCol w:w="308"/>
        <w:gridCol w:w="211"/>
        <w:gridCol w:w="266"/>
        <w:gridCol w:w="512"/>
        <w:gridCol w:w="137"/>
        <w:gridCol w:w="109"/>
        <w:gridCol w:w="109"/>
        <w:gridCol w:w="109"/>
        <w:gridCol w:w="413"/>
        <w:gridCol w:w="413"/>
        <w:gridCol w:w="211"/>
        <w:gridCol w:w="211"/>
        <w:gridCol w:w="616"/>
        <w:gridCol w:w="109"/>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three months ended March 31, 2024 had a weighted average price of $24.48. The fair value of these options was calculated using the Black-Scholes option pricing model. The options granted in 2024 vest over a three-year period and have a ten-year term. These options will vest if the employee has remained continuously employed by us through the vesting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8011" w:type="dxa"/>
        <w:jc w:val="left"/>
        <w:tblInd w:w="0" w:type="dxa"/>
        <w:tblLayout w:type="fixed"/>
        <w:tblCellMar>
          <w:top w:w="28" w:type="dxa"/>
          <w:left w:w="28" w:type="dxa"/>
          <w:bottom w:w="28" w:type="dxa"/>
          <w:right w:w="28" w:type="dxa"/>
        </w:tblCellMar>
      </w:tblPr>
      <w:tblGrid>
        <w:gridCol w:w="869"/>
        <w:gridCol w:w="764"/>
        <w:gridCol w:w="766"/>
        <w:gridCol w:w="109"/>
        <w:gridCol w:w="109"/>
        <w:gridCol w:w="360"/>
        <w:gridCol w:w="360"/>
        <w:gridCol w:w="360"/>
        <w:gridCol w:w="360"/>
        <w:gridCol w:w="569"/>
        <w:gridCol w:w="360"/>
        <w:gridCol w:w="360"/>
        <w:gridCol w:w="211"/>
        <w:gridCol w:w="616"/>
        <w:gridCol w:w="109"/>
        <w:gridCol w:w="109"/>
        <w:gridCol w:w="109"/>
        <w:gridCol w:w="109"/>
        <w:gridCol w:w="210"/>
        <w:gridCol w:w="210"/>
        <w:gridCol w:w="211"/>
        <w:gridCol w:w="211"/>
        <w:gridCol w:w="40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65" w:type="dxa"/>
            <w:gridSpan w:val="12"/>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402" w:type="dxa"/>
            <w:gridSpan w:val="6"/>
            <w:tcBorders/>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112,858 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exercised during the three months ended March 31, 2025 had a weighted average exercise price of $25.28 with an aggregate intrinsic value of $2.7 million.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$0.8 million and $0.2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granted performance awards to our executive leadership team payable in shares. These awards will vest, if at all, provided that certain predetermined performance metrics related to the Company's adjusted consolidated EBITDA (adjusted earnings before interest tax depreciation and amortization) are achieved during the period commencing on the grant date, March 7, 2025, through March 31, 2028, subject to certification by the Compensation Committee of the Board of Directors (“Board”) and the individual remaining continuously employed by us through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award activity for the three months ended March 31, 2025 is as follows (in thousands, except shares): </w:t>
      </w:r>
    </w:p>
    <w:p>
      <w:pPr>
        <w:pStyle w:val="TextBody"/>
        <w:bidi w:val="0"/>
        <w:spacing w:before="40" w:after="283"/>
        <w:ind w:left="0" w:right="0" w:firstLine="450"/>
        <w:jc w:val="both"/>
        <w:rPr/>
      </w:pPr>
      <w:r>
        <w:rPr/>
      </w:r>
    </w:p>
    <w:tbl>
      <w:tblPr>
        <w:tblW w:w="7081" w:type="dxa"/>
        <w:jc w:val="left"/>
        <w:tblInd w:w="0" w:type="dxa"/>
        <w:tblLayout w:type="fixed"/>
        <w:tblCellMar>
          <w:top w:w="28" w:type="dxa"/>
          <w:left w:w="28" w:type="dxa"/>
          <w:bottom w:w="28" w:type="dxa"/>
          <w:right w:w="28" w:type="dxa"/>
        </w:tblCellMar>
      </w:tblPr>
      <w:tblGrid>
        <w:gridCol w:w="810"/>
        <w:gridCol w:w="711"/>
        <w:gridCol w:w="714"/>
        <w:gridCol w:w="412"/>
        <w:gridCol w:w="414"/>
        <w:gridCol w:w="211"/>
        <w:gridCol w:w="211"/>
        <w:gridCol w:w="616"/>
        <w:gridCol w:w="109"/>
        <w:gridCol w:w="109"/>
        <w:gridCol w:w="109"/>
        <w:gridCol w:w="109"/>
        <w:gridCol w:w="360"/>
        <w:gridCol w:w="361"/>
        <w:gridCol w:w="211"/>
        <w:gridCol w:w="245"/>
        <w:gridCol w:w="543"/>
        <w:gridCol w:w="127"/>
        <w:gridCol w:w="109"/>
        <w:gridCol w:w="109"/>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fair value of the performance awards granted during the three months ended March 31, 2025 was calculated using the stock price on the grant date of $38.59.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For the three months ended March 31, 2025 and 2024, we recorded stock-based compensation expense of $0.1 million and stock-based compensation benefit of $0.4 million, respectively, for performance awards, which is included in </w:t>
      </w:r>
      <w:r>
        <w:rPr>
          <w:rFonts w:ascii="Times New Roman;sans-serif" w:hAnsi="Times New Roman;sans-serif"/>
          <w:b w:val="false"/>
          <w:i/>
          <w:color w:val="000000"/>
          <w:sz w:val="20"/>
        </w:rPr>
        <w:t xml:space="preserve">General, administrative and other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w:t>
      </w:r>
    </w:p>
    <w:tbl>
      <w:tblPr>
        <w:tblW w:w="6607" w:type="dxa"/>
        <w:jc w:val="left"/>
        <w:tblInd w:w="0" w:type="dxa"/>
        <w:tblLayout w:type="fixed"/>
        <w:tblCellMar>
          <w:top w:w="28" w:type="dxa"/>
          <w:left w:w="28" w:type="dxa"/>
          <w:bottom w:w="28" w:type="dxa"/>
          <w:right w:w="28" w:type="dxa"/>
        </w:tblCellMar>
      </w:tblPr>
      <w:tblGrid>
        <w:gridCol w:w="201"/>
        <w:gridCol w:w="177"/>
        <w:gridCol w:w="178"/>
        <w:gridCol w:w="109"/>
        <w:gridCol w:w="109"/>
        <w:gridCol w:w="360"/>
        <w:gridCol w:w="360"/>
        <w:gridCol w:w="360"/>
        <w:gridCol w:w="360"/>
        <w:gridCol w:w="497"/>
        <w:gridCol w:w="360"/>
        <w:gridCol w:w="360"/>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176" w:type="dxa"/>
            <w:gridSpan w:val="12"/>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913" w:type="dxa"/>
            <w:gridSpan w:val="6"/>
            <w:tcBorders/>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Layout w:type="fixed"/>
        <w:tblCellMar>
          <w:top w:w="28" w:type="dxa"/>
          <w:left w:w="28" w:type="dxa"/>
          <w:bottom w:w="28" w:type="dxa"/>
          <w:right w:w="28" w:type="dxa"/>
        </w:tblCellMar>
      </w:tblPr>
      <w:tblGrid>
        <w:gridCol w:w="668"/>
        <w:gridCol w:w="588"/>
        <w:gridCol w:w="589"/>
        <w:gridCol w:w="736"/>
        <w:gridCol w:w="736"/>
        <w:gridCol w:w="10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4.36%, 4.25%, 4.21%, 4.17%</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General, administrative and other expenses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Regional and unallocated funeral and cemetery costs</w:t>
      </w:r>
      <w:r>
        <w:rPr>
          <w:rFonts w:ascii="Times New Roman;sans-serif" w:hAnsi="Times New Roman;sans-serif"/>
          <w:b w:val="false"/>
          <w:color w:val="000000"/>
          <w:sz w:val="20"/>
        </w:rPr>
        <w:t>, for the ESPP totaling $0.1 million and $0.2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issued to certain employees under this incentive program is as follows (in thousands, except shares):</w:t>
      </w:r>
    </w:p>
    <w:tbl>
      <w:tblPr>
        <w:tblW w:w="5650" w:type="dxa"/>
        <w:jc w:val="left"/>
        <w:tblInd w:w="0" w:type="dxa"/>
        <w:tblLayout w:type="fixed"/>
        <w:tblCellMar>
          <w:top w:w="28" w:type="dxa"/>
          <w:left w:w="28" w:type="dxa"/>
          <w:bottom w:w="28" w:type="dxa"/>
          <w:right w:w="28" w:type="dxa"/>
        </w:tblCellMar>
      </w:tblPr>
      <w:tblGrid>
        <w:gridCol w:w="337"/>
        <w:gridCol w:w="296"/>
        <w:gridCol w:w="297"/>
        <w:gridCol w:w="360"/>
        <w:gridCol w:w="361"/>
        <w:gridCol w:w="211"/>
        <w:gridCol w:w="245"/>
        <w:gridCol w:w="543"/>
        <w:gridCol w:w="127"/>
        <w:gridCol w:w="109"/>
        <w:gridCol w:w="109"/>
        <w:gridCol w:w="109"/>
        <w:gridCol w:w="360"/>
        <w:gridCol w:w="361"/>
        <w:gridCol w:w="211"/>
        <w:gridCol w:w="245"/>
        <w:gridCol w:w="543"/>
        <w:gridCol w:w="127"/>
        <w:gridCol w:w="109"/>
        <w:gridCol w:w="109"/>
        <w:gridCol w:w="109"/>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three months ended March 31, 2025 and 2024 had a grant date stock price of $41.54 and $25.08, respectively.</w:t>
            </w:r>
          </w:p>
        </w:tc>
      </w:tr>
    </w:tbl>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7746" w:type="dxa"/>
        <w:jc w:val="left"/>
        <w:tblInd w:w="0" w:type="dxa"/>
        <w:tblLayout w:type="fixed"/>
        <w:tblCellMar>
          <w:top w:w="28" w:type="dxa"/>
          <w:left w:w="28" w:type="dxa"/>
          <w:bottom w:w="28" w:type="dxa"/>
          <w:right w:w="28" w:type="dxa"/>
        </w:tblCellMar>
      </w:tblPr>
      <w:tblGrid>
        <w:gridCol w:w="716"/>
        <w:gridCol w:w="631"/>
        <w:gridCol w:w="633"/>
        <w:gridCol w:w="109"/>
        <w:gridCol w:w="109"/>
        <w:gridCol w:w="360"/>
        <w:gridCol w:w="360"/>
        <w:gridCol w:w="360"/>
        <w:gridCol w:w="360"/>
        <w:gridCol w:w="360"/>
        <w:gridCol w:w="360"/>
        <w:gridCol w:w="360"/>
        <w:gridCol w:w="283"/>
        <w:gridCol w:w="485"/>
        <w:gridCol w:w="146"/>
        <w:gridCol w:w="109"/>
        <w:gridCol w:w="109"/>
        <w:gridCol w:w="109"/>
        <w:gridCol w:w="308"/>
        <w:gridCol w:w="308"/>
        <w:gridCol w:w="211"/>
        <w:gridCol w:w="244"/>
        <w:gridCol w:w="538"/>
        <w:gridCol w:w="178"/>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0"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028" w:type="dxa"/>
            <w:gridSpan w:val="1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787"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three months ended March 31, 2025 and 2024 had a grant date stock price of $38.75 and $27.04,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$0.3 million and $0.5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three months ended March 31, 2025 and 2024. At March 31, 2025,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050" w:type="dxa"/>
        <w:jc w:val="left"/>
        <w:tblInd w:w="0" w:type="dxa"/>
        <w:tblLayout w:type="fixed"/>
        <w:tblCellMar>
          <w:top w:w="28" w:type="dxa"/>
          <w:left w:w="28" w:type="dxa"/>
          <w:bottom w:w="28" w:type="dxa"/>
          <w:right w:w="28" w:type="dxa"/>
        </w:tblCellMar>
      </w:tblPr>
      <w:tblGrid>
        <w:gridCol w:w="335"/>
        <w:gridCol w:w="295"/>
        <w:gridCol w:w="299"/>
        <w:gridCol w:w="211"/>
        <w:gridCol w:w="721"/>
        <w:gridCol w:w="109"/>
        <w:gridCol w:w="232"/>
        <w:gridCol w:w="679"/>
        <w:gridCol w:w="169"/>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2024</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 Share</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14.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2250"/>
        <w:gridCol w:w="1942"/>
        <w:gridCol w:w="1953"/>
        <w:gridCol w:w="109"/>
        <w:gridCol w:w="109"/>
        <w:gridCol w:w="159"/>
        <w:gridCol w:w="159"/>
        <w:gridCol w:w="307"/>
        <w:gridCol w:w="1053"/>
        <w:gridCol w:w="159"/>
        <w:gridCol w:w="159"/>
        <w:gridCol w:w="159"/>
        <w:gridCol w:w="159"/>
        <w:gridCol w:w="211"/>
        <w:gridCol w:w="616"/>
        <w:gridCol w:w="109"/>
        <w:gridCol w:w="109"/>
        <w:gridCol w:w="109"/>
        <w:gridCol w:w="109"/>
        <w:gridCol w:w="109"/>
        <w:gridCol w:w="156"/>
      </w:tblGrid>
      <w:tr>
        <w:trPr/>
        <w:tc>
          <w:tcPr>
            <w:tcW w:w="225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2" w:type="dxa"/>
            <w:gridSpan w:val="5"/>
            <w:tcBorders/>
          </w:tcPr>
          <w:p>
            <w:pPr>
              <w:pStyle w:val="TableContents"/>
              <w:bidi w:val="0"/>
              <w:spacing w:before="0" w:after="283"/>
              <w:jc w:val="left"/>
              <w:rPr>
                <w:sz w:val="4"/>
                <w:szCs w:val="4"/>
              </w:rPr>
            </w:pPr>
            <w:r>
              <w:rPr>
                <w:sz w:val="4"/>
                <w:szCs w:val="4"/>
              </w:rPr>
            </w:r>
          </w:p>
        </w:tc>
      </w:tr>
      <w:tr>
        <w:trPr/>
        <w:tc>
          <w:tcPr>
            <w:tcW w:w="6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6473" w:type="dxa"/>
        <w:jc w:val="left"/>
        <w:tblInd w:w="0" w:type="dxa"/>
        <w:tblLayout w:type="fixed"/>
        <w:tblCellMar>
          <w:top w:w="28" w:type="dxa"/>
          <w:left w:w="28" w:type="dxa"/>
          <w:bottom w:w="28" w:type="dxa"/>
          <w:right w:w="28" w:type="dxa"/>
        </w:tblCellMar>
      </w:tblPr>
      <w:tblGrid>
        <w:gridCol w:w="821"/>
        <w:gridCol w:w="720"/>
        <w:gridCol w:w="724"/>
        <w:gridCol w:w="109"/>
        <w:gridCol w:w="109"/>
        <w:gridCol w:w="503"/>
        <w:gridCol w:w="503"/>
        <w:gridCol w:w="503"/>
        <w:gridCol w:w="503"/>
        <w:gridCol w:w="507"/>
        <w:gridCol w:w="109"/>
        <w:gridCol w:w="109"/>
        <w:gridCol w:w="109"/>
        <w:gridCol w:w="308"/>
        <w:gridCol w:w="308"/>
        <w:gridCol w:w="156"/>
        <w:gridCol w:w="109"/>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15.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revenue, disaggregated by major source for each of our reportable segments, as well as, significant segment expenses, other segment expenses, operating income (loss), depreciation and amortization, interest expense, income (loss) before income taxes, income tax expense (benefit), total assets, long-lived assets, goodwill, capital expenditures and number of operating locations by segment as follows, (in thousands, except number of operating locations)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95"/>
        <w:gridCol w:w="711"/>
        <w:gridCol w:w="717"/>
        <w:gridCol w:w="277"/>
        <w:gridCol w:w="1086"/>
        <w:gridCol w:w="143"/>
        <w:gridCol w:w="143"/>
        <w:gridCol w:w="143"/>
        <w:gridCol w:w="143"/>
        <w:gridCol w:w="277"/>
        <w:gridCol w:w="1086"/>
        <w:gridCol w:w="143"/>
        <w:gridCol w:w="143"/>
        <w:gridCol w:w="143"/>
        <w:gridCol w:w="143"/>
        <w:gridCol w:w="277"/>
        <w:gridCol w:w="994"/>
        <w:gridCol w:w="143"/>
        <w:gridCol w:w="143"/>
        <w:gridCol w:w="143"/>
        <w:gridCol w:w="143"/>
        <w:gridCol w:w="277"/>
        <w:gridCol w:w="1284"/>
        <w:gridCol w:w="208"/>
      </w:tblGrid>
      <w:tr>
        <w:trPr/>
        <w:tc>
          <w:tcPr>
            <w:tcW w:w="129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Funeral</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Cemetery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Less:</w:t>
            </w:r>
            <w:r>
              <w:rPr>
                <w:rFonts w:ascii="Times New Roman;sans-serif" w:hAnsi="Times New Roman;sans-serif"/>
                <w:b/>
                <w:color w:val="000000"/>
                <w:sz w:val="13"/>
              </w:rPr>
              <w:t>(1)</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benefits and commission expenses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Allocated overhead costs</w:t>
            </w:r>
            <w:r>
              <w:rPr>
                <w:rFonts w:ascii="Times New Roman;sans-serif" w:hAnsi="Times New Roman;sans-serif"/>
                <w:b w:val="false"/>
                <w:color w:val="000000"/>
                <w:sz w:val="13"/>
              </w:rPr>
              <w:t>(2)</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grounds expenses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(3)</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expenses</w:t>
            </w:r>
            <w:r>
              <w:rPr>
                <w:rFonts w:ascii="Times New Roman;sans-serif" w:hAnsi="Times New Roman;sans-serif"/>
                <w:b w:val="false"/>
                <w:color w:val="000000"/>
                <w:sz w:val="13"/>
              </w:rPr>
              <w:t>(4)</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operating locations at year end</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The significant expense categories and amounts align with the segment-level information that is regularly provided to the Chief Operating Decision Maker ("CODM").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The Corporate segment's other segment expenses primarily include general, administrative and other expenses, net loss on divestitures, disposals and impairment charges and amortization and depreciation expenses. The Funeral and Cemetery segment's other segment expenses primarily include transportation costs, other funeral costs, non-payroll related promotional costs, net loss on divestitures, disposals and impairment charges and amortization and depreciation expenses.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4"/>
        <w:gridCol w:w="711"/>
        <w:gridCol w:w="717"/>
        <w:gridCol w:w="277"/>
        <w:gridCol w:w="1086"/>
        <w:gridCol w:w="143"/>
        <w:gridCol w:w="143"/>
        <w:gridCol w:w="143"/>
        <w:gridCol w:w="143"/>
        <w:gridCol w:w="277"/>
        <w:gridCol w:w="1086"/>
        <w:gridCol w:w="143"/>
        <w:gridCol w:w="143"/>
        <w:gridCol w:w="143"/>
        <w:gridCol w:w="143"/>
        <w:gridCol w:w="277"/>
        <w:gridCol w:w="993"/>
        <w:gridCol w:w="143"/>
        <w:gridCol w:w="143"/>
        <w:gridCol w:w="143"/>
        <w:gridCol w:w="143"/>
        <w:gridCol w:w="277"/>
        <w:gridCol w:w="1283"/>
        <w:gridCol w:w="211"/>
      </w:tblGrid>
      <w:tr>
        <w:trPr/>
        <w:tc>
          <w:tcPr>
            <w:tcW w:w="129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Funeral</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Cemetery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Less:</w:t>
            </w:r>
            <w:r>
              <w:rPr>
                <w:rFonts w:ascii="Times New Roman;sans-serif" w:hAnsi="Times New Roman;sans-serif"/>
                <w:b/>
                <w:color w:val="000000"/>
                <w:sz w:val="13"/>
              </w:rPr>
              <w:t>(1)</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benefits and commission expenses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Allocated overhead costs</w:t>
            </w:r>
            <w:r>
              <w:rPr>
                <w:rFonts w:ascii="Times New Roman;sans-serif" w:hAnsi="Times New Roman;sans-serif"/>
                <w:b w:val="false"/>
                <w:color w:val="000000"/>
                <w:sz w:val="13"/>
              </w:rPr>
              <w:t>(2)</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grounds expenses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(3)</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expenses</w:t>
            </w:r>
            <w:r>
              <w:rPr>
                <w:rFonts w:ascii="Times New Roman;sans-serif" w:hAnsi="Times New Roman;sans-serif"/>
                <w:b w:val="false"/>
                <w:color w:val="000000"/>
                <w:sz w:val="13"/>
              </w:rPr>
              <w:t>(4)</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635,574 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operating locations at year end</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The significant expense categories and amounts align with the segment-level information that is regularly provided to the CODM.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The Corporate segment's other segment expenses primarily include general, administrative and other expenses, net loss on divestitures, disposals and impairment charges and amortization and depreciation expenses. The Funeral and Cemetery segment's other segment expenses primarily include transportation costs, other funeral costs, non-payroll related promotional costs, net loss on divestitures, disposals and impairment charges and amortization and depreciation expenses.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16. SUPPLEMENTARY DATA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Balance Sheets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certain balance sheet accounts (in thousands):</w:t>
      </w:r>
    </w:p>
    <w:tbl>
      <w:tblPr>
        <w:tblW w:w="9120" w:type="dxa"/>
        <w:jc w:val="left"/>
        <w:tblInd w:w="0" w:type="dxa"/>
        <w:tblLayout w:type="fixed"/>
        <w:tblCellMar>
          <w:top w:w="28" w:type="dxa"/>
          <w:left w:w="28" w:type="dxa"/>
          <w:bottom w:w="28" w:type="dxa"/>
          <w:right w:w="28" w:type="dxa"/>
        </w:tblCellMar>
      </w:tblPr>
      <w:tblGrid>
        <w:gridCol w:w="1980"/>
        <w:gridCol w:w="1741"/>
        <w:gridCol w:w="1754"/>
        <w:gridCol w:w="292"/>
        <w:gridCol w:w="998"/>
        <w:gridCol w:w="150"/>
        <w:gridCol w:w="109"/>
        <w:gridCol w:w="109"/>
        <w:gridCol w:w="109"/>
        <w:gridCol w:w="349"/>
        <w:gridCol w:w="1195"/>
        <w:gridCol w:w="180"/>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receivable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 including HFS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 including HFS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 including HFS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Held for sale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6351" w:type="dxa"/>
        <w:jc w:val="center"/>
        <w:tblInd w:w="0" w:type="dxa"/>
        <w:tblLayout w:type="fixed"/>
        <w:tblCellMar>
          <w:top w:w="28" w:type="dxa"/>
          <w:left w:w="28" w:type="dxa"/>
          <w:bottom w:w="28" w:type="dxa"/>
          <w:right w:w="28" w:type="dxa"/>
        </w:tblCellMar>
      </w:tblPr>
      <w:tblGrid>
        <w:gridCol w:w="1254"/>
        <w:gridCol w:w="1104"/>
        <w:gridCol w:w="1107"/>
        <w:gridCol w:w="241"/>
        <w:gridCol w:w="706"/>
        <w:gridCol w:w="124"/>
        <w:gridCol w:w="124"/>
        <w:gridCol w:w="124"/>
        <w:gridCol w:w="124"/>
        <w:gridCol w:w="241"/>
        <w:gridCol w:w="706"/>
        <w:gridCol w:w="124"/>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and financing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Model and strategic acquisition framework;</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performance guidance of our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2024.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business segments: Funeral Home Operations, which currently accounts for approximately 70% of our total revenue and Cemetery Operations, which currently accounts for approximately 30% of our total revenue. At March 31, 2025, we operated 160 funeral homes in 25 states and 28 cemeteries in 10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DEVELOPMENTS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and Leadership Changes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 2025, John Enwright was appointed to serve as the Company’s Senior Vice President, Chief Financial Officer and Treasurer (Principal Financial Officer). In connection with the appointment of Mr. Enwright as the Company’s Senior Vice President, Chief Financial Officer and Treasurer (Principal Financial Officer), effective January 2, 2025, Kathryn Shanley ceased serving as the Company’s Interim Principal Financial Officer. Ms. Shanley continues to serve as the Company’s Chief Accounting Officer (Principal Accounting Officer).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2025, upon the recommendation of the Corporate Governance Committee of the Company, the Board unanimously elected Donald D. Patteson, Jr. to serve as the Company’s Non-Executive Chair of the Board, effective on that date. Prior to his appointment as Chair of the Board, Mr. Patteson served as the Chair of the Audit Committee and as a member of the Compensation and Corporate Governance Committees. Mr. Patteson has been a director of the Company since 2011. He succeeds Chad Fargason, who continues to serve on the Board and as a member of the Audit, Compensation and Corporate Governance Committees.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February 24, 2025, upon the recommendation of the Corporate Governance Committee of the Company, the Board elected Dr. Edmondo Robinson as the Chair of the Audit Committee, effective on that date. The election of Dr. Robinson as the Chair of the Audit Committee was as a result of Mr. Patteson being elected the Company’s Non-Executive Chair of the Board. Dr. Robinson joined the Company’s Board in 2024 and has served on each of the Audit, Compensation, and Corporate Governance Committees since 2024.</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two funeral homes and three cemeteries for an aggregate of $15.8 million resulting in a gain of $5.9 million. Additionally, we sold real property for $2.9 million resulting in a gain of $2.0 million.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Macroeconomic, Inflationary, Borrowing Cost and Volume Trends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2025, consumer spending on discretionary items saw a mixed performance. Based on various economic indicators, overall consumer spending remained strong, particularly among high-income earners, but it appears there was a shift towards more cautious spending, especially for middle and low-income households. We believe this caution was influenced by factors like rising inflation, additional tariffs, and a more uncertain economic outlook. Broad economic indicators have indicated that consumer confidence in the U.S. economy has been dropping over the past five months and may continue to drop, which could further influence consumer spending and the demand for our products and services. Additionally, the U.S. has adopted new and increased tariffs on countries and specific goods, subject to evolving exemptions, with additional tariff increases proposed but currently on pause. Those policies, along with retaliatory actions by some trading partners and ongoing negotiations around trade policy, have led to increased volatility and unpredictability for global trade. Given the potential of rising tariffs, we evaluated, and continue to evaluate, our current vendor agreements for our major vendors to ensure, to the extent possible, we adequately addressed any associated risks. Two vendors are currently impacted because they source a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imported products from countries which have higher tariff impacts. To mitigate this risk, these vendors have shifted the source of their products to countries that have a lower tariff impact.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continue to monitor the impacts of inflationary costs to our business. While we are encouraged by the stabilization of inflationary costs that we have continued to experience in the first quarter of 2025 and throughout 2024, we are unable to forecast with any certainty whether inflationary costs will continue to moderate in future periods, as the ultimate scope and duration of these impacts remain unknown at this time. More broadly, the U.S. economy continues to experience the impact of several years of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such conditions have not materially impacted our business to date and we expect these trends to continue in 2025, we will continue to assess these impacts and take the appropriate steps, if necessary, to mitigate any changes in consumer preferences or additional cost increases, if possible.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after giving effect to the Credit Facility Amendment, executed during the third quarter of 2024, we continue to experience lower variable interest rates under our Credit Facility, which resulted in lower borrowing costs in the first quarter of 2025 compared to the same period in the prior year. Further contributing to our lower borrowing costs was the pay down of $17 million on our revolving credit facility during the first quarter of 2025.</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we experienced higher funeral volumes compared to the same period in the prior year, which we believe was related to a delay in the flu season, resulting in continued fluctuations in the death rate. Although we expect fluctuations in the death rate to continue, we are unable to predict or forecast the duration or variation of the death rate with any certainty. Regardless of these fluctuations in the death rate, we continue to focus on expanding market share, cost management and executing on our strategic operational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2025, our plan is to remain focused on executing our strategic objectives and growth strategy. This includes prioritizing our capital allocation for debt repayments, the payment of dividends and debt obligations, internal growth capital expenditures, and general corporate purposes,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2024. </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2025 with $1.2 million in cash and ended the year with $4.6 million in cash. At March 31, 2025, we had borrowings of $120.0 million outstanding on our Credit Facility compared to $137.0 million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9650" w:type="dxa"/>
        <w:jc w:val="left"/>
        <w:tblInd w:w="0" w:type="dxa"/>
        <w:tblLayout w:type="fixed"/>
        <w:tblCellMar>
          <w:top w:w="28" w:type="dxa"/>
          <w:left w:w="28" w:type="dxa"/>
          <w:bottom w:w="28" w:type="dxa"/>
          <w:right w:w="28" w:type="dxa"/>
        </w:tblCellMar>
      </w:tblPr>
      <w:tblGrid>
        <w:gridCol w:w="2449"/>
        <w:gridCol w:w="2152"/>
        <w:gridCol w:w="2163"/>
        <w:gridCol w:w="241"/>
        <w:gridCol w:w="706"/>
        <w:gridCol w:w="124"/>
        <w:gridCol w:w="124"/>
        <w:gridCol w:w="124"/>
        <w:gridCol w:w="124"/>
        <w:gridCol w:w="241"/>
        <w:gridCol w:w="706"/>
        <w:gridCol w:w="124"/>
        <w:gridCol w:w="109"/>
        <w:gridCol w:w="109"/>
        <w:gridCol w:w="154"/>
      </w:tblGrid>
      <w:tr>
        <w:trPr/>
        <w:tc>
          <w:tcPr>
            <w:tcW w:w="244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on our credit facility, acquisition debt and finance lease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on employee equity plans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cash provided by operating activities was $13.8 million compared to $19.7 million for the three months ended March 31, 2024, a decrease of $5.9 million primarily due to unfavorable working capital changes related to accounts payable and accrued liabilities.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investing activities resulted in a net cash outflow of $15.5 million 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three months ended March 31, 2025 compared to $7.4 million for the three months ended March 31, 2024, an increase of $8.1 million.</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two funeral homes and three cemeteries for an aggregate of $15.8 million. Additionally, we sold real property for $2.9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six funeral homes and one cemetery for an aggregate of $10.9 million.</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our capital expenditures (comprised of growth and maintenance spend) totaled $3.2 million compared to $3.6 million for the year ended March 31, 2024, a decrease of $0.4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growth and maintenance capital expenditures (in thousands): </w:t>
      </w:r>
    </w:p>
    <w:tbl>
      <w:tblPr>
        <w:tblW w:w="5627" w:type="dxa"/>
        <w:jc w:val="center"/>
        <w:tblInd w:w="0" w:type="dxa"/>
        <w:tblLayout w:type="fixed"/>
        <w:tblCellMar>
          <w:top w:w="28" w:type="dxa"/>
          <w:left w:w="28" w:type="dxa"/>
          <w:bottom w:w="28" w:type="dxa"/>
          <w:right w:w="28" w:type="dxa"/>
        </w:tblCellMar>
      </w:tblPr>
      <w:tblGrid>
        <w:gridCol w:w="1028"/>
        <w:gridCol w:w="906"/>
        <w:gridCol w:w="916"/>
        <w:gridCol w:w="241"/>
        <w:gridCol w:w="706"/>
        <w:gridCol w:w="124"/>
        <w:gridCol w:w="124"/>
        <w:gridCol w:w="124"/>
        <w:gridCol w:w="124"/>
        <w:gridCol w:w="241"/>
        <w:gridCol w:w="706"/>
        <w:gridCol w:w="124"/>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706" w:type="dxa"/>
            <w:gridSpan w:val="8"/>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development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Renovations at certain businesses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56" w:type="dxa"/>
        <w:jc w:val="center"/>
        <w:tblInd w:w="0" w:type="dxa"/>
        <w:tblLayout w:type="fixed"/>
        <w:tblCellMar>
          <w:top w:w="28" w:type="dxa"/>
          <w:left w:w="28" w:type="dxa"/>
          <w:bottom w:w="28" w:type="dxa"/>
          <w:right w:w="28" w:type="dxa"/>
        </w:tblCellMar>
      </w:tblPr>
      <w:tblGrid>
        <w:gridCol w:w="1043"/>
        <w:gridCol w:w="916"/>
        <w:gridCol w:w="920"/>
        <w:gridCol w:w="241"/>
        <w:gridCol w:w="706"/>
        <w:gridCol w:w="124"/>
        <w:gridCol w:w="124"/>
        <w:gridCol w:w="124"/>
        <w:gridCol w:w="124"/>
        <w:gridCol w:w="241"/>
        <w:gridCol w:w="706"/>
        <w:gridCol w:w="124"/>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706" w:type="dxa"/>
            <w:gridSpan w:val="8"/>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Maintenance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outflow of $25.8 million for the year ended March 31, 2025, compared to a net cash outflow of $26.9 million for the year ended March 31, 2024, a decrease of $1.1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had net payments on our Credit Facility, acquisition debt and finance leases of $17.1 million, net payments on our employee equity plans of $6.9 million, and paid dividends of $1.7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had net payments on our Credit Facility, acquisition debt and finance leases of $25.2 million and paid dividends of $1.7 million.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422" w:type="dxa"/>
        <w:jc w:val="left"/>
        <w:tblInd w:w="0" w:type="dxa"/>
        <w:tblLayout w:type="fixed"/>
        <w:tblCellMar>
          <w:top w:w="28" w:type="dxa"/>
          <w:left w:w="28" w:type="dxa"/>
          <w:bottom w:w="28" w:type="dxa"/>
          <w:right w:w="28" w:type="dxa"/>
        </w:tblCellMar>
      </w:tblPr>
      <w:tblGrid>
        <w:gridCol w:w="335"/>
        <w:gridCol w:w="295"/>
        <w:gridCol w:w="299"/>
        <w:gridCol w:w="211"/>
        <w:gridCol w:w="721"/>
        <w:gridCol w:w="109"/>
        <w:gridCol w:w="109"/>
        <w:gridCol w:w="109"/>
        <w:gridCol w:w="109"/>
        <w:gridCol w:w="242"/>
        <w:gridCol w:w="707"/>
        <w:gridCol w:w="176"/>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Share Repurchases</w:t>
      </w:r>
      <w:r>
        <w:rPr>
          <w:color w:val="000000"/>
        </w:rPr>
        <w:t xml:space="preserve"> </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three months ended March 31, 2025 and 2024. At March 31, 2025, our share repurchase program had $48.9 million authorized for repurchases.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 Lease Obligations and Acquisition Debt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outstanding principal of our Credit Facility, lease obligations and acquisition debt at March 31, 2025 is as follows (in thousands):</w:t>
      </w:r>
      <w:r>
        <w:rPr>
          <w:color w:val="000000"/>
        </w:rPr>
        <w:t> </w:t>
      </w:r>
    </w:p>
    <w:tbl>
      <w:tblPr>
        <w:tblW w:w="3036" w:type="dxa"/>
        <w:jc w:val="left"/>
        <w:tblInd w:w="0" w:type="dxa"/>
        <w:tblLayout w:type="fixed"/>
        <w:tblCellMar>
          <w:top w:w="28" w:type="dxa"/>
          <w:left w:w="28" w:type="dxa"/>
          <w:bottom w:w="28" w:type="dxa"/>
          <w:right w:w="28" w:type="dxa"/>
        </w:tblCellMar>
      </w:tblPr>
      <w:tblGrid>
        <w:gridCol w:w="538"/>
        <w:gridCol w:w="472"/>
        <w:gridCol w:w="474"/>
        <w:gridCol w:w="237"/>
        <w:gridCol w:w="930"/>
        <w:gridCol w:w="122"/>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11)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2025,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March 31, 2025.</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outstanding borrowings under the Credit Facility of $120.0 million. We also had one letter of credit for $2.2 million under the Credit Facility. The letter of credit will expire on November 25, 2025 and is expected to automatically renew annually and secures our obligations under our various self-insured policies. At March 31, 2025, we had $127.8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our outstanding borrowings under our Credit Facility bore interest at a prime rate or the SOFR rate, plus an applicable margin based on our leverage ratio. At March 31, 2025, the prime rate margin was equivalent to 1.50% and the SOFR term margin was 2.50%. The weighted average interest rate on our Credit Facility was 6.9% and 8.9% for the three months ended March 31, 2025 and 2024,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6962" w:type="dxa"/>
        <w:jc w:val="left"/>
        <w:tblInd w:w="0" w:type="dxa"/>
        <w:tblLayout w:type="fixed"/>
        <w:tblCellMar>
          <w:top w:w="28" w:type="dxa"/>
          <w:left w:w="28" w:type="dxa"/>
          <w:bottom w:w="28" w:type="dxa"/>
          <w:right w:w="28" w:type="dxa"/>
        </w:tblCellMar>
      </w:tblPr>
      <w:tblGrid>
        <w:gridCol w:w="1516"/>
        <w:gridCol w:w="1329"/>
        <w:gridCol w:w="1340"/>
        <w:gridCol w:w="241"/>
        <w:gridCol w:w="706"/>
        <w:gridCol w:w="124"/>
        <w:gridCol w:w="124"/>
        <w:gridCol w:w="124"/>
        <w:gridCol w:w="124"/>
        <w:gridCol w:w="241"/>
        <w:gridCol w:w="706"/>
        <w:gridCol w:w="124"/>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payments on our remaining borrowings under the Credit Facility will be determined based on the average outstanding balance of our borrowings and the prevailing interest rate during that time.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 obligations consist of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In addition, we lease certain other funeral homes, vehicles and equipment under finance leases with original terms ranging from three and a half to forty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5224" w:type="dxa"/>
        <w:jc w:val="left"/>
        <w:tblInd w:w="0" w:type="dxa"/>
        <w:tblLayout w:type="fixed"/>
        <w:tblCellMar>
          <w:top w:w="28" w:type="dxa"/>
          <w:left w:w="28" w:type="dxa"/>
          <w:bottom w:w="28" w:type="dxa"/>
          <w:right w:w="28" w:type="dxa"/>
        </w:tblCellMar>
      </w:tblPr>
      <w:tblGrid>
        <w:gridCol w:w="885"/>
        <w:gridCol w:w="777"/>
        <w:gridCol w:w="783"/>
        <w:gridCol w:w="280"/>
        <w:gridCol w:w="618"/>
        <w:gridCol w:w="144"/>
        <w:gridCol w:w="144"/>
        <w:gridCol w:w="144"/>
        <w:gridCol w:w="144"/>
        <w:gridCol w:w="280"/>
        <w:gridCol w:w="618"/>
        <w:gridCol w:w="144"/>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non-cancelable operating and finance lease obligations were $33.2 million with $5.7 million payable within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336" w:type="dxa"/>
        <w:jc w:val="left"/>
        <w:tblInd w:w="0" w:type="dxa"/>
        <w:tblLayout w:type="fixed"/>
        <w:tblCellMar>
          <w:top w:w="28" w:type="dxa"/>
          <w:left w:w="28" w:type="dxa"/>
          <w:bottom w:w="28" w:type="dxa"/>
          <w:right w:w="28" w:type="dxa"/>
        </w:tblCellMar>
      </w:tblPr>
      <w:tblGrid>
        <w:gridCol w:w="1286"/>
        <w:gridCol w:w="1131"/>
        <w:gridCol w:w="1138"/>
        <w:gridCol w:w="296"/>
        <w:gridCol w:w="507"/>
        <w:gridCol w:w="153"/>
        <w:gridCol w:w="153"/>
        <w:gridCol w:w="153"/>
        <w:gridCol w:w="153"/>
        <w:gridCol w:w="296"/>
        <w:gridCol w:w="654"/>
        <w:gridCol w:w="153"/>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acquisition debt obligations were $8.2 million, with $0.9 million payable within 12 months.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50 months of the Senior Notes. The effective interest rates on the unamortized debt discount and the unamortized debt issuance costs for the Senior Notes for both the three months ended March 31, 2025 and 2024 were 4.42% and 4.30%,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Senior Notes, which are Level 2 measurements, was $364.4 million at March 31, 2025.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6811" w:type="dxa"/>
        <w:jc w:val="left"/>
        <w:tblInd w:w="0" w:type="dxa"/>
        <w:tblLayout w:type="fixed"/>
        <w:tblCellMar>
          <w:top w:w="28" w:type="dxa"/>
          <w:left w:w="28" w:type="dxa"/>
          <w:bottom w:w="28" w:type="dxa"/>
          <w:right w:w="28" w:type="dxa"/>
        </w:tblCellMar>
      </w:tblPr>
      <w:tblGrid>
        <w:gridCol w:w="1463"/>
        <w:gridCol w:w="1280"/>
        <w:gridCol w:w="1291"/>
        <w:gridCol w:w="241"/>
        <w:gridCol w:w="706"/>
        <w:gridCol w:w="124"/>
        <w:gridCol w:w="124"/>
        <w:gridCol w:w="124"/>
        <w:gridCol w:w="124"/>
        <w:gridCol w:w="241"/>
        <w:gridCol w:w="706"/>
        <w:gridCol w:w="124"/>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future interest payments on our outstanding balance of $76.5 million, with $17.0 million payable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9782" w:type="dxa"/>
        <w:jc w:val="left"/>
        <w:tblInd w:w="0" w:type="dxa"/>
        <w:tblLayout w:type="fixed"/>
        <w:tblCellMar>
          <w:top w:w="28" w:type="dxa"/>
          <w:left w:w="28" w:type="dxa"/>
          <w:bottom w:w="28" w:type="dxa"/>
          <w:right w:w="28" w:type="dxa"/>
        </w:tblCellMar>
      </w:tblPr>
      <w:tblGrid>
        <w:gridCol w:w="1921"/>
        <w:gridCol w:w="1689"/>
        <w:gridCol w:w="1700"/>
        <w:gridCol w:w="109"/>
        <w:gridCol w:w="109"/>
        <w:gridCol w:w="201"/>
        <w:gridCol w:w="201"/>
        <w:gridCol w:w="389"/>
        <w:gridCol w:w="1526"/>
        <w:gridCol w:w="201"/>
        <w:gridCol w:w="109"/>
        <w:gridCol w:w="109"/>
        <w:gridCol w:w="109"/>
        <w:gridCol w:w="211"/>
        <w:gridCol w:w="826"/>
        <w:gridCol w:w="109"/>
        <w:gridCol w:w="109"/>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 excluding preneed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March 31, 2025 increased $3.6 million compared to the three months ended March 31, 2024. We experienced an 11.8% increase in the average price per interment right sold, offset by a 5.8% decrease in the number of preneed interment rights (property) sold. Additionally, we experienced a 2.3% increase in the average revenue per funeral contract excluding preneed interest and a 0.7% increase in funeral contract volume. The increase in cemetery revenue highlights the effectiveness of our preneed cemetery sales growth plan, as we continue to focus on executing our strategic goals. The increase in average revenue per funeral contract highlights the successful execution of our enhanced pricing strategy and the increase in funeral contract volume is primarily a result of a delayed flu season, which contributed to higher death rates in the first quarter of 2025 compared to the same period in the prior year.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March 31, 2025 increased $0.6 million compared to the three months ended March 31, 2024, primarily due to the increase in revenue from our funeral home segment, which was offset by an increase in operating expenses in our cemetery segment.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March 31, 2025 increased $14.0 million compared to the three months ended March 31, 2024. We experienced a $9.4 million increase in gain on sale of divestitures and real property, a $4.2 million decrease in general, administrative and other expenses, a $1.4 million decrease in interest expense, and a $0.6 million increase in gross profit; offset by a $1.6 million increase in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present our financial performance in our “Condensed Operating and Financial Trend Report” (“Trend Report”) as reported in our earnings release for the three months ended March 31, 2025, dated April 30, 2025,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adjusted operating profit (a non-GAAP financial measure) (in thousands):</w:t>
      </w:r>
    </w:p>
    <w:tbl>
      <w:tblPr>
        <w:tblW w:w="8778" w:type="dxa"/>
        <w:jc w:val="left"/>
        <w:tblInd w:w="0" w:type="dxa"/>
        <w:tblLayout w:type="fixed"/>
        <w:tblCellMar>
          <w:top w:w="28" w:type="dxa"/>
          <w:left w:w="28" w:type="dxa"/>
          <w:bottom w:w="28" w:type="dxa"/>
          <w:right w:w="28" w:type="dxa"/>
        </w:tblCellMar>
      </w:tblPr>
      <w:tblGrid>
        <w:gridCol w:w="1599"/>
        <w:gridCol w:w="1396"/>
        <w:gridCol w:w="1415"/>
        <w:gridCol w:w="109"/>
        <w:gridCol w:w="109"/>
        <w:gridCol w:w="218"/>
        <w:gridCol w:w="218"/>
        <w:gridCol w:w="422"/>
        <w:gridCol w:w="1443"/>
        <w:gridCol w:w="218"/>
        <w:gridCol w:w="109"/>
        <w:gridCol w:w="109"/>
        <w:gridCol w:w="109"/>
        <w:gridCol w:w="211"/>
        <w:gridCol w:w="721"/>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operating profit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adjusted operating profit (a non-GAAP financial measure) by segment (in thousands):</w:t>
      </w:r>
    </w:p>
    <w:tbl>
      <w:tblPr>
        <w:tblW w:w="7323" w:type="dxa"/>
        <w:jc w:val="left"/>
        <w:tblInd w:w="0" w:type="dxa"/>
        <w:tblLayout w:type="fixed"/>
        <w:tblCellMar>
          <w:top w:w="28" w:type="dxa"/>
          <w:left w:w="28" w:type="dxa"/>
          <w:bottom w:w="28" w:type="dxa"/>
          <w:right w:w="28" w:type="dxa"/>
        </w:tblCellMar>
      </w:tblPr>
      <w:tblGrid>
        <w:gridCol w:w="1068"/>
        <w:gridCol w:w="939"/>
        <w:gridCol w:w="948"/>
        <w:gridCol w:w="109"/>
        <w:gridCol w:w="109"/>
        <w:gridCol w:w="218"/>
        <w:gridCol w:w="218"/>
        <w:gridCol w:w="422"/>
        <w:gridCol w:w="1443"/>
        <w:gridCol w:w="218"/>
        <w:gridCol w:w="109"/>
        <w:gridCol w:w="109"/>
        <w:gridCol w:w="109"/>
        <w:gridCol w:w="211"/>
        <w:gridCol w:w="721"/>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operating profit margin</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712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Adjusted operating profit margin is defined as adjusted operating profit as a percentage of revenue.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months ended March 31, 2025 and 2024.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two funeral homes we sold during the three months ended March 31, 2025, and six funeral home we sold during the three months ended March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cemetery segment refers to three cemeteries we sold during the three months ended March 31, 2025, and one cemetery we sold during the three months ended March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692"/>
        <w:gridCol w:w="2333"/>
        <w:gridCol w:w="2358"/>
        <w:gridCol w:w="404"/>
        <w:gridCol w:w="338"/>
        <w:gridCol w:w="338"/>
        <w:gridCol w:w="205"/>
        <w:gridCol w:w="205"/>
        <w:gridCol w:w="205"/>
        <w:gridCol w:w="404"/>
        <w:gridCol w:w="298"/>
        <w:gridCol w:w="425"/>
      </w:tblGrid>
      <w:tr>
        <w:trPr/>
        <w:tc>
          <w:tcPr>
            <w:tcW w:w="269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66,048</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74,619</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71,831</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operating </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27,349</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33,179</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operating measures reflect the significant metrics over this comparative period:</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12,172</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increased $3.0 million for the three months ended March 31, 2025, compared to the three months ended March 31, 2024. The increase in operating revenue is primarily driven by a 2.3% increase in the average revenue per contract excluding preneed interest and a 0.7% increase in contract volume. The increase in average revenue per funeral contract highlights the successful execution of our enhanced pricing strategy and the increase in funeral contract volume is primarily a result of a delayed flu season, which contributed to higher death rates in the first quarter of 2025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adjusted operating profit for the three months ended March 31, 2025 increased $2.2 million when compared to the same period in 2024, primarily due to the increase in operating revenue. The comparable operating profit margin increased 140 basis points to 42.8%. Operating expenses as a percentage of revenue decreased 1.3%, with the largest decrease in salaries and benefits expenses of 1.1% and transportation costs of 0.3%, while other operating expenses remained relatively flat. This reflects the continued progress we have made successfully executing on our cost management initiatives this quarter.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Ancillary revenue, which represents revenue from our flower shop, monument business, pet cremation business and online cremation businesses, decreased $0.2 million, while ancillary adjusted operating profit remained flat for the three months ended March 31, 2025, compared to the three months ended March 31, 2024. The decrease in ancillary revenue is primarily due to a decision to cease the operations of a cremation focused business at our Bakersfield, CA business, which did not contribute materially to adjusted operating profit.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adjusted operating profit, which consists of preneed funeral insurance commissions and earnings from delivered preneed funeral trust and insurance contracts, increased $1.0 million and $0.5 million, respectively, for the three months ended March 31, 2025, compared to the same period in 2024. These increases are primarily due to an increase of $1.1 million in our general agency commission income for the first quarter of 2025 compared to the same period in 2024, which is a result of our continued focus on growth of our preneed funeral sales through our strategic partnership with a national insurance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769"/>
        <w:gridCol w:w="2428"/>
        <w:gridCol w:w="2452"/>
        <w:gridCol w:w="219"/>
        <w:gridCol w:w="751"/>
        <w:gridCol w:w="112"/>
        <w:gridCol w:w="112"/>
        <w:gridCol w:w="112"/>
        <w:gridCol w:w="112"/>
        <w:gridCol w:w="219"/>
        <w:gridCol w:w="751"/>
        <w:gridCol w:w="168"/>
      </w:tblGrid>
      <w:tr>
        <w:trPr/>
        <w:tc>
          <w:tcPr>
            <w:tcW w:w="276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26,405</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w:t>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w:t>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measures reflect the significant metrics over this comparative period:</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revenue increased $1.5 million for the three months ended March 31, 2025, compared to the three months ended March 31, 2024, as we experienced an 11.8% increase in the average price per interment right sold, offset by a 5.8% decrease in the number of preneed interment rights (property) sold. Cemetery atneed revenue, which represents approximately 33.0% of our total operating revenue, decreased $0.2 million for the three months ended March 31, 2025, compared to the same period in 2024, primarily due to a decrease in delivered merchandise and services across our cemetery portfolio. The increase in cemetery revenue highlights the effectiveness of our preneed cemetery sales growth plan, as we continue to focus on executing our strategic objectives.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adjusted operating profit decreased $0.2 million for the three months ended March 31, 2025, compared to the three months ended March 31, 2024, primarily due to an increase in operating expenses as a percentage of revenue. The comparable operating profit margin decreased 300 basis points to 40.7%. Operating expenses as a percentage of revenue increased 3.0%, with the largest increases in promotional expenses of 2.2%, allowance for credit losses of 0.9%, and salaries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benefits expenses of 0.7%, slightly offset by decreases in merchandise costs of 0.5% and general and administrative expenses of 0.3%.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and other adjusted operating profit, which consist of preneed cemetery trust revenue and preneed cemetery finance charges, decreased $0.6 million and $0.5 million, respectively, for the three months ended March 31, 2025, compared to the three months ended March 31, 2024, primarily due to a decrease in expected earnings for the current year in our perpetual care trust fund compared to earnings in prior year.</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color w:val="000000"/>
        </w:rPr>
        <w:t xml:space="preserve"> </w:t>
      </w:r>
      <w:r>
        <w:rPr>
          <w:rFonts w:ascii="Times New Roman;sans-serif" w:hAnsi="Times New Roman;sans-serif"/>
          <w:b w:val="false"/>
          <w:color w:val="000000"/>
          <w:sz w:val="20"/>
        </w:rPr>
        <w:t>Cemetery property amortization totaled $1.8 million for the three months ended March 31, 2025, an increase of $0.1 million compared to the three months ended March 31, 2024, primarily driven by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Depreciation expense for our field businesses totaled $3.3 million for the three months ended March 31, 2025, a decrease of $0.1 million compared to the three months ended March 31, 2024, primarily driven by our business decision to lease vehicles rather than purchase them.</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$5.2 million for the three months ended March 31, 2025, an increase of $1.4 million compared to the three months ended March 31, 2024, primarily driven by a $1.4 million increase in leadership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 salaries and benefits and cash and equity incentive compensation for our Houston support office, totaled $12.0 million for the three months ended March 31, 2025, a decrease of $4.2 million compared to the same period in 2024, primarily driven by the following: i) a $4.3 million decrease in salary and benefits expenses and incentive compensation costs, primarily driven by termination expense recorded in the first quarter of 2024 for our former Executive Chairman of the Board pursuant to his Transition Agreement, and ii) a $1.2 million decrease in consulting fees related to the Company's previously concluded review of strategic alternatives. These decreases were offset by an $0.8 million increase in professional fees primarily related to the development of our digital transformation project and a $0.5 million increase in all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loss on divestitures, disposals and impairment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(gain) loss on divestitures, disposals and impairment charges</w:t>
      </w:r>
      <w:r>
        <w:rPr>
          <w:color w:val="000000"/>
        </w:rPr>
        <w:t xml:space="preserve"> </w:t>
      </w:r>
      <w:r>
        <w:rPr>
          <w:rFonts w:ascii="Times New Roman;sans-serif" w:hAnsi="Times New Roman;sans-serif"/>
          <w:b w:val="false"/>
          <w:color w:val="000000"/>
          <w:sz w:val="20"/>
        </w:rPr>
        <w:t>are as follows (in thousands):            </w:t>
      </w:r>
    </w:p>
    <w:tbl>
      <w:tblPr>
        <w:tblW w:w="7671" w:type="dxa"/>
        <w:jc w:val="left"/>
        <w:tblInd w:w="0" w:type="dxa"/>
        <w:tblLayout w:type="fixed"/>
        <w:tblCellMar>
          <w:top w:w="28" w:type="dxa"/>
          <w:left w:w="28" w:type="dxa"/>
          <w:bottom w:w="28" w:type="dxa"/>
          <w:right w:w="28" w:type="dxa"/>
        </w:tblCellMar>
      </w:tblPr>
      <w:tblGrid>
        <w:gridCol w:w="1365"/>
        <w:gridCol w:w="1196"/>
        <w:gridCol w:w="1203"/>
        <w:gridCol w:w="109"/>
        <w:gridCol w:w="109"/>
        <w:gridCol w:w="423"/>
        <w:gridCol w:w="423"/>
        <w:gridCol w:w="820"/>
        <w:gridCol w:w="423"/>
        <w:gridCol w:w="430"/>
        <w:gridCol w:w="109"/>
        <w:gridCol w:w="109"/>
        <w:gridCol w:w="109"/>
        <w:gridCol w:w="227"/>
        <w:gridCol w:w="253"/>
        <w:gridCol w:w="363"/>
      </w:tblGrid>
      <w:tr>
        <w:trPr/>
        <w:tc>
          <w:tcPr>
            <w:tcW w:w="13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0"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intangibles and PPE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sold two funeral homes and three cemeteries for an aggregate gain of $5.9 million. We also recognized an impairment of $0.1 million on land held for sale during the three months ended March 31, 2025.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six funeral homes and one cemetery for a loss of $1.5 million.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5391" w:type="dxa"/>
        <w:jc w:val="center"/>
        <w:tblInd w:w="0" w:type="dxa"/>
        <w:tblLayout w:type="fixed"/>
        <w:tblCellMar>
          <w:top w:w="28" w:type="dxa"/>
          <w:left w:w="28" w:type="dxa"/>
          <w:bottom w:w="28" w:type="dxa"/>
          <w:right w:w="28" w:type="dxa"/>
        </w:tblCellMar>
      </w:tblPr>
      <w:tblGrid>
        <w:gridCol w:w="538"/>
        <w:gridCol w:w="471"/>
        <w:gridCol w:w="475"/>
        <w:gridCol w:w="109"/>
        <w:gridCol w:w="109"/>
        <w:gridCol w:w="423"/>
        <w:gridCol w:w="423"/>
        <w:gridCol w:w="820"/>
        <w:gridCol w:w="423"/>
        <w:gridCol w:w="430"/>
        <w:gridCol w:w="109"/>
        <w:gridCol w:w="109"/>
        <w:gridCol w:w="109"/>
        <w:gridCol w:w="227"/>
        <w:gridCol w:w="253"/>
        <w:gridCol w:w="363"/>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0"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w:t>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three months ended March 31, 2025, we recorded a $2.0 million gain on the sale of other real property not used in business operations. We did not record any gain or loss activity during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Income tax expense totaled $5.3 million for the three months ended March 31, 2025, an increase of $1.6 million compared to the three months ended March 31, 2024. Our operating tax rate before discrete items was 31.2% and 32.8% for the three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at a reasonable price. We are not exposed to any other significant market risks other than those related to the impact of health and safety concerns from epidemics and pandemics and inflation which are described in more detail in Part 1, Item 1A, Risk Factors in this Form 10-K for the year ended December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March 31, 2025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March 31, 2025 are presented in Part 1, Item 1, Financial Statements, Note 7 to our Consolidated Financial Statements in this Quarterly Report on Form 10-Q. The sensitivity of the fixed income securities is such that a 0.25% change in interest rates causes an approximate 0.82% change in the value of the fixed income securities.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current and forecasted interest rate risk in the ordinary course of business and seek to maintain optimal financial flexibility, quality and solvency. As of March 31, 2025, we had outstanding borrowings under the Credit Facility of $120.0 million. Any further borrowings or voluntary prepayments against the Credit Facility or any change in the floating rate would cause a change in interest expense. We have the option to pay interest under our Credit Facility at either the prime rate or the Term SOFR rate, plus an applicable margin based on our leverage ratio. At March 31, 2025, the prime rate margin was equivalent to 1.5% and the SOFR rate margin was 2.5%. Assuming the outstanding balance remains unchanged, a change of 100 basis points in our borrowing rate would result in a change in income before taxes of $1.2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March 31, 2025, the carrying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on our Consolidated Balance Sheets was $396.8 million and the fair value of the Senior Notes was $364.4 million based on the last traded or broker quoted price as reported by Financial Industry Regulatory Authority. Increases in market interest rates may cause the value of the Senior Notes to decrease, but such changes will not affect our interest costs.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 interest-bearing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March 31, 2025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Denning v. Carriage Services, Inc., et al</w:t>
      </w:r>
      <w:r>
        <w:rPr>
          <w:rFonts w:ascii="Times New Roman;sans-serif" w:hAnsi="Times New Roman;sans-serif"/>
          <w:b w:val="false"/>
          <w:color w:val="000000"/>
          <w:sz w:val="20"/>
        </w:rPr>
        <w:t>., 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March 31, 2025,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Frost v. Rolling Hills Memorial Park</w:t>
      </w:r>
      <w:r>
        <w:rPr>
          <w:rFonts w:ascii="Times New Roman;sans-serif" w:hAnsi="Times New Roman;sans-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March 31, 2025,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recent developments regarding U.S. foreign trade policies, we are supplementing the risk factors set out under Part I, Item 1A “Risk Factors” in our Annual Report on Form 10-K for the year ended December 31, 2024 with the updated risk factor set out below. Readers should carefully consider the updated risk factor below and the factors discussed in Part I, Item 1A “Risk Factors” in our Annual Report on Form 10-K for the year ended December 31, 2024, which could materially affect our business, financial condition or future results. The risks described in this Quarterly Report on Form 10-Q and our Annual Report on Form 10-K for the year ended December 31, 2024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Economic Conditions and Natural Disasters</w:t>
      </w:r>
    </w:p>
    <w:p>
      <w:pPr>
        <w:pStyle w:val="TextBody"/>
        <w:bidi w:val="0"/>
        <w:spacing w:lineRule="auto" w:line="276" w:before="120" w:after="283"/>
        <w:jc w:val="both"/>
        <w:rPr>
          <w:rFonts w:ascii="Times New Roman;sans-serif" w:hAnsi="Times New Roman;sans-serif"/>
          <w:b/>
          <w:color w:val="000000"/>
          <w:sz w:val="20"/>
        </w:rPr>
      </w:pPr>
      <w:r>
        <w:rPr>
          <w:rFonts w:ascii="Times New Roman;sans-serif" w:hAnsi="Times New Roman;sans-serif"/>
          <w:b/>
          <w:color w:val="000000"/>
          <w:sz w:val="20"/>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pStyle w:val="TextBody"/>
        <w:bidi w:val="0"/>
        <w:spacing w:lineRule="auto" w:line="276"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 foreign trade policies could lead to the imposition of additional trade barriers and tariffs on the foreign import of certain materials and products. For example, in April 2025, the U.S. government imposed an additional tariff on all countries for goods imported into the U.S. and individualized reciprocal higher tariffs for other countries, such as China, Mexico and Canada. Although several of these announced U.S. tariffs have been followed by announcements of temporary pauses for 90 days, along with limited exemptions, it is uncertain whether and to what extent they may become effective following this period. These actions have caused substantial uncertainty and volatility in financial markets and may result in additional retaliatory measures or costs on U.S. goods. We cannot predict what additional changes to trade policy will be announced or made by the U.S. government,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However, such steps, if adopted, could result in additional inflationary pressures on the U.S. economy and increase the costs of goods we offer our customers and may negatively impact the supply chain on which we depend to supply merchandise to our funeral home and cemetery locations. Although we may take measures to mitigate the effects of these impacts, if these measures are not effective, there can be no assurance that such changes in U.S. trade policy or in laws and policies governing foreign trade would not materially and adversely affect our business, financial condition, results of operations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both"/>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March 31, 2025:</w:t>
      </w:r>
    </w:p>
    <w:tbl>
      <w:tblPr>
        <w:tblW w:w="10205" w:type="dxa"/>
        <w:jc w:val="center"/>
        <w:tblInd w:w="0" w:type="dxa"/>
        <w:tblLayout w:type="fixed"/>
        <w:tblCellMar>
          <w:top w:w="28" w:type="dxa"/>
          <w:left w:w="28" w:type="dxa"/>
          <w:bottom w:w="28" w:type="dxa"/>
          <w:right w:w="28" w:type="dxa"/>
        </w:tblCellMar>
      </w:tblPr>
      <w:tblGrid>
        <w:gridCol w:w="584"/>
        <w:gridCol w:w="453"/>
        <w:gridCol w:w="458"/>
        <w:gridCol w:w="109"/>
        <w:gridCol w:w="109"/>
        <w:gridCol w:w="109"/>
        <w:gridCol w:w="618"/>
        <w:gridCol w:w="452"/>
        <w:gridCol w:w="454"/>
        <w:gridCol w:w="109"/>
        <w:gridCol w:w="109"/>
        <w:gridCol w:w="109"/>
        <w:gridCol w:w="284"/>
        <w:gridCol w:w="831"/>
        <w:gridCol w:w="146"/>
        <w:gridCol w:w="109"/>
        <w:gridCol w:w="109"/>
        <w:gridCol w:w="109"/>
        <w:gridCol w:w="716"/>
        <w:gridCol w:w="716"/>
        <w:gridCol w:w="718"/>
        <w:gridCol w:w="109"/>
        <w:gridCol w:w="109"/>
        <w:gridCol w:w="109"/>
        <w:gridCol w:w="359"/>
        <w:gridCol w:w="1839"/>
        <w:gridCol w:w="269"/>
      </w:tblGrid>
      <w:tr>
        <w:trPr/>
        <w:tc>
          <w:tcPr>
            <w:tcW w:w="58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(1)</w:t>
            </w:r>
          </w:p>
        </w:tc>
      </w:tr>
      <w:tr>
        <w:trPr/>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170,726 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5" w:type="dxa"/>
        <w:jc w:val="center"/>
        <w:tblInd w:w="0" w:type="dxa"/>
        <w:tblLayout w:type="fixed"/>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13 for additional information on our publicly announced share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Rule 10b5-1 and Non-Rule 10b5-1 Trading Arrangements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2025, no director or officer (as determined in Rule 16a-1(f) of the Securities Exchange Act of 1934, as amended) of the Company adopted or terminated any Rule 10b5-1 trading arrangements or non-Rule 10b5-1 trading arrangements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74" w:type="dxa"/>
        <w:jc w:val="right"/>
        <w:tblInd w:w="0" w:type="dxa"/>
        <w:tblLayout w:type="fixed"/>
        <w:tblCellMar>
          <w:top w:w="28" w:type="dxa"/>
          <w:left w:w="28" w:type="dxa"/>
          <w:bottom w:w="28" w:type="dxa"/>
          <w:right w:w="28" w:type="dxa"/>
        </w:tblCellMar>
      </w:tblPr>
      <w:tblGrid>
        <w:gridCol w:w="200"/>
        <w:gridCol w:w="177"/>
        <w:gridCol w:w="178"/>
        <w:gridCol w:w="379"/>
        <w:gridCol w:w="379"/>
        <w:gridCol w:w="381"/>
        <w:gridCol w:w="1458"/>
        <w:gridCol w:w="1458"/>
        <w:gridCol w:w="20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346"/>
        <w:gridCol w:w="304"/>
        <w:gridCol w:w="306"/>
        <w:gridCol w:w="109"/>
        <w:gridCol w:w="109"/>
        <w:gridCol w:w="109"/>
        <w:gridCol w:w="2652"/>
        <w:gridCol w:w="2581"/>
        <w:gridCol w:w="368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obfranchagreement040120.htm">
              <w:r>
                <w:rPr>
                  <w:rStyle w:val="InternetLink"/>
                  <w:rFonts w:ascii="Times New Roman;sans-serif" w:hAnsi="Times New Roman;sans-serif"/>
                  <w:b w:val="false"/>
                  <w:color w:val="0000FF"/>
                  <w:sz w:val="20"/>
                  <w:u w:val="single"/>
                </w:rPr>
                <w:t>Employment Agreement dated April 1, 2022, by and between the Company and Rob Franch.</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obfranchfirstamendment0.htm">
              <w:r>
                <w:rPr>
                  <w:rStyle w:val="InternetLink"/>
                  <w:rFonts w:ascii="Times New Roman;sans-serif" w:hAnsi="Times New Roman;sans-serif"/>
                  <w:b w:val="false"/>
                  <w:color w:val="0000FF"/>
                  <w:sz w:val="20"/>
                  <w:u w:val="single"/>
                </w:rPr>
                <w:t>First Amendment to the Employment Agreement dated April 29, 2024, by and between the Company and Rob Franch.</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hanepudenzagreementfebr.htm">
              <w:r>
                <w:rPr>
                  <w:rStyle w:val="InternetLink"/>
                  <w:rFonts w:ascii="Times New Roman;sans-serif" w:hAnsi="Times New Roman;sans-serif"/>
                  <w:b w:val="false"/>
                  <w:color w:val="0000FF"/>
                  <w:sz w:val="20"/>
                  <w:u w:val="single"/>
                </w:rPr>
                <w:t>Employment Agreement dated February 23, 2022, by and between the Company and Shane Pudenz.</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ignedshanepudenzfirstam.htm">
              <w:r>
                <w:rPr>
                  <w:rStyle w:val="InternetLink"/>
                  <w:rFonts w:ascii="Times New Roman;sans-serif" w:hAnsi="Times New Roman;sans-serif"/>
                  <w:b w:val="false"/>
                  <w:color w:val="0000FF"/>
                  <w:sz w:val="20"/>
                  <w:u w:val="single"/>
                </w:rPr>
                <w:t>First Amendment to the Employment Agreement dated April 30, 2024, by and between the Company and Shane Pudenz.</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tiperformanceaward03072.htm">
              <w:r>
                <w:rPr>
                  <w:rStyle w:val="InternetLink"/>
                  <w:rFonts w:ascii="Times New Roman;sans-serif" w:hAnsi="Times New Roman;sans-serif"/>
                  <w:b w:val="false"/>
                  <w:color w:val="0000FF"/>
                  <w:sz w:val="20"/>
                  <w:u w:val="single"/>
                </w:rPr>
                <w:t>Form of Performance Award under Carriage Services, Inc. 2017 Omnibus Incentive Plan.</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htm">
              <w:r>
                <w:rPr>
                  <w:rStyle w:val="InternetLink"/>
                  <w:rFonts w:ascii="Times New Roman;sans-serif" w:hAnsi="Times New Roman;sans-serif"/>
                  <w:b w:val="false"/>
                  <w:color w:val="0000FF"/>
                  <w:sz w:val="20"/>
                  <w:u w:val="single"/>
                </w:rPr>
                <w:t>Certification of Periodic Financial Reports by John Enwright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htm">
              <w:r>
                <w:rPr>
                  <w:rStyle w:val="InternetLink"/>
                  <w:rFonts w:ascii="Times New Roman;sans-serif" w:hAnsi="Times New Roman;sans-serif"/>
                  <w:b w:val="false"/>
                  <w:color w:val="0000FF"/>
                  <w:sz w:val="20"/>
                  <w:u w:val="single"/>
                </w:rPr>
                <w:t>Certification of Periodic Financial Reports by Carlos R. Quezada and John Enwright in satisfaction of Section 906 of the Sarbanes-Oxley Act of 2002 and 18 U.S.C. Section 1350.</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bidi w:val="0"/>
        <w:spacing w:before="0" w:after="0"/>
        <w:jc w:val="center"/>
        <w:rPr/>
      </w:pPr>
      <w:bookmarkStart w:id="0" w:name="robfranchagreement040120.htm"/>
      <w:bookmarkStart w:id="1" w:name="ksrobfranchagreement040120"/>
      <w:bookmarkEnd w:id="0"/>
      <w:bookmarkEnd w:id="1"/>
      <w:r>
        <w:rPr/>
        <w:drawing>
          <wp:inline distT="0" distB="0" distL="0" distR="0">
            <wp:extent cx="10048875" cy="13001625"/>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jc w:val="center"/>
        <w:rPr>
          <w:color w:val="FFFFFF"/>
          <w:sz w:val="2"/>
        </w:rPr>
      </w:pPr>
      <w:r>
        <w:rPr>
          <w:color w:val="FFFFFF"/>
          <w:sz w:val="2"/>
        </w:rPr>
        <w:t xml:space="preserve">Rob Franch - Employment Agreement 1 EMPLOYMENT AGREEMENT THIS EMPLOYMENT AGREEMENT (the “Agreement”), is made and entered into as of April 1, 2022 (the “Effective Date”), by and between Carriage Services, Inc., a Delaware corporation (the “Company”) and Rob Franch (hereafter “Executive”). The Company and Executive may sometimes hereafter be referred to singularly as a “Party” or collectively as the “Parties.” WITNESSETH: WHEREAS, the Company desires to continue to secure the employment services of Executive subject to the terms and conditions hereafter set forth; NOW, THEREFORE, in consideration of Executive’s continued employment with the Company, and the premises and mutual covenants contained herein, the Parties hereto agree as follows: 1. Employment Position and Defined Terms. During the Employment Period (as defined in Section 4), the Company shall employ Executive, and Executive shall serve, as Chief Information Officer. Executive shall also serve as an officer of any subsidiary of the Company as may be requested by the Company. Executive shall perform such other duties which are from time to time assigned to him and are not inconsistent with the provisions hereof. Executive’s principal place of Employment shall be at the main business offices of the Company in Houston, Texas. Defined terms used in the Agreement that are not otherwise defined herein when first used are defined in Sections 6(g) and 10(d). 2. Compensation. (a) Base Salary. The Company shall pay to Executive during the Employment Period an annual salary at a rate of not less than Three Hundred Fifty Thousand Dollars ($350,000.00) per full calendar year of service (the “Base Salary”). Executive’s Base Salary may increase at the discretion of the Compensation Committee or its duly authorized delegate and shall be paid in equal installments in accordance with the Company’s standard policy regarding payment of compensation to similarly situated employees, but no less frequently than monthly. Nothing contained herein shall preclude the payment of any other compensation to Executive at any time as determined by the Compensation Committee. (b) Annual Bonus. In addition to the Base Salary in Section 2(a), Executive shall be eligible for an annual, discretionary incentive award (the “Annual Bonus”) for each full calendar year that he is employed hereunder, as determined in the sole discretion of the Compensation Committee (or its duly authorized delegate) upon consideration of, among other things, corporate and individual performance for the year. The Annual Bonus shall be payable before March 15 of the year following the calendar year to which the Annual Bonus relates, following the certification of applicable year-end financial results. Executive must be employed by the Company on the payment date in order to earn and receive an Annual Bonus and thus Executive shall have no entitlement to any Annual Bonus before that date. For 2022, Executive’s target Annual Bonus shall be $200,000. Following 2022, the Executive’s “Target Annual Bonus” shall be established by the Compensation Committee, or its duly authorized delegate, at the beginning of each year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2 shall be a percentage of Executive’s Base Salary, not to be less than 50% (it being understood that the actual Annual Bonus eventually earned could be lesser or greater than the Target Annual Bonus). 3. Duties and Responsibilities of Executive. During the Employment Period, Executive shall devote his full working time to (a) the business of the Company and its Affiliates and (b) performance of the duties and responsibilities assigned to Executive to the best of Executive’s ability and with reasonable diligence. Executive’s Employment shall also be subject to the policies maintained and established by the Company, as such policies may be amended from time to time. Executive shall at all times use his best efforts to comply in good faith with laws applicable to Executive’s actions on behalf of the Company and its Affiliates. 4. Term of Employment; Termination Rights. (a) Term. Executive’s term of Employment with the Company under this Agreement shall be for the period from the Effective Date through the date that is three (3) years from the Effective Date (the “Initial Term”). On the third anniversary of the Effective Date, and on each subsequent anniversary thereafter, this Agreement shall automatically renew and extend for a period of 12 months (each such 12-month period being a “Renewal Term”), unless written notice of non-renewal is delivered from either Party to the other not less than sixty (60) days prior to the expiration of the then- existing Initial Term or Renewal Term, as applicable. Notwithstanding the foregoing, Executive’s Employment pursuant to this Agreement may be terminated prior to the expiration of the then- existing Initial Term or Renewal Term in accordance with this Agreement. The period from the Effective Date through the Executive’s Termination Date (for whatever reason) shall be referred to herein as the “Employment Period.” (b) Continued Availability Post-Termination. Executive agrees to remain available for twelve (12) months beyond the Employment Period during normal business hours to provide reasonable assistance to the Company or its Affiliates in the event that the Company or an Affiliate become involved in litigation (or another type of dispute or controversy) regarding matters of which Executive has relevant knowledge resulting from Executive’s Employment; provided that such assistance does not unreasonably interfere with the employment duties of Executive with another employer following the Termination Date. Such post-termination assistance shall be provided by Executive in the capacity of an independent contractor at an agreed-upon, reasonable consulting fee, and shall not be deemed to create or continue an employee-employer or fiduciary relationship, or to represent a continuation of this Agreement. 5. Benefits. Subject to the terms and conditions of this Agreement, during the Employment Period, Executive shall be entitled to all of the following: (a) Reimbursement of Business Expenses. The Company shall reimburse Executive for all reasonable travel, entertainment and other business expenses paid or incurred by Executive in the performance of duties hereunder, provided that such expenses are incurred and accounted for in accordance with the expense reimbursement policies and procedures established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3 Company from time to time. Such reimbursement shall in all cases be made in compliance with Section 30. (b) Discretionary Vacation Time. Executive’s work is routinely performed outside of a traditional work schedule and Executive is required to manage his own work schedule and time away from work, including vacation and personal time, in a manner that allows Executive to fulfill his duties and does not negatively impact the Company. Executive is not entitled to a fixed amount of vacation or personal time and will not accrue vacation or personal time balances. (c) Other Employee Benefits. Executive shall be entitled to participate in any retirement, 401(k), profit-sharing, and other employee benefits plans or programs of the Company to the same extent as available to other similarly situated employees of the Company under the terms of such plans or programs. Executive shall also be entitled to participate in any group insurance, hospitalization, medical, dental, health, life, accident, disability and other employee benefits plans or programs of the Company to the extent available to other similarly situated employees of the Company, and their spouses and eligible dependents, under the terms of such plans or programs including, without limitation, any medical expense reimbursement account and post-retirement medical program as made available to other similarly situated employees of the Company. (d) Equity Incentive Awards. Executive shall be eligible to participate in the Company’s 2017 Omnibus Incentive Plan, as it may be amended from time to time (the “LTIP”), or any other incentive plan sponsored by the Company which provides for equity grants of incentive awards. The terms and conditions of any equity incentive award granted to Executive shall be set forth in the incentive plan document and award agreement governing such award. 6. Rights and Payments upon Termination. The Executive’s right to compensation and benefits for periods after the Termination Date shall be determined in accordance with this Section 6. Except as otherwise expressly required by law or as specifically provided in an employee benefit plan or under this Agreement, all of Executive’s rights to salary, severance, benefits, bonuses and other compensatory amounts under this Agreement shall cease upon the Termination Date. (a) Minimum Payments. As of the Termination Date, Executive shall be entitled to the following minimum payments under this Section 6(a), in addition to any other payments or benefits which Executive is entitled to receive under the terms of any employee benefit plan or program, state law, Company policy, or under Section 6(b): (1) accrued but unpaid Base Salary through the Termination Date; provided that, if Executive’s termination is due to Disability, such amount shall be net of the amount of any benefits received or payable under any disability insurance policy maintained by the Company for Executive, if applicable, which policy provides for income replacement benefits due to the Executive’s inability to work as the result of his qualifying Disability; and (2) reimbursement of reasonable business expenses that were incurred but unpaid as of the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Rob Franch - Employment Agreement 4 Amounts payable under this Section 6(a) shall be paid in accordance with the Company’s normal procedures for making payments following termination of Employment by a similarly situated employee. (b) Severance Payments. (1) Death. If Executive dies during the Initial Term or any then-existing Renewal Term and while in Employment, the Company shall pay Executive’s Designated Beneficiary (A) the Executive’s Base Salary, in installments, through the end of the Initial Term or any then-existing Renewal Term which was in effect at the time of Executive’s death; and (B) a pro rata amount of the Target Annual Bonus described in Section 2(b) for the year in which the death occurred, based on the number of days Executive was employed in such year in comparison to 365, and based on actual performance of any applicable performance metrics through the end of the performance period. Such amounts shall be paid to Executive’s Designated Beneficiary by no later than the date necessary to qualify each such payment as a “short-term deferral” within the meaning of Treas. Reg. § l.409A</w:t>
        <w:softHyphen/>
        <w:t xml:space="preserve"> l(b)(4). (2) Disability. If, during the Initial Term or any then-existing Renewal Term, Executive’s Employment is terminated by the Company due to Executive’s Disability, the Company shall, subject to Section 6(e), pay Executive (A) the Executive’s Base Salary, in installments, through the end of the Initial Term or any then-existing Renewal Term which was in effect at the time of Executive’s disability; and (B) pay Executive a pro rata amount of the Target Annual Bonus described in Section 2(b) for the year in which the Termination Date occurred, based on the number of days Executive was employed in such year in comparison to 365, and based on actual performance of any applicable performance metrics through the end of the performance period. Such pro rata amount of the Target Annual Bonus shall be paid on the later of (1) the Company’s first regular payroll date that occurs after the Release (as defined in Section 6(e), below) is no longer revocable (the “First Payment Date”), or (2) the payment date that an Annual Bonus for the year of termination otherwise would have been payable pursuant to Section 2(b), had Executive’s Employment not been terminated (provided, that, in no event shall such payment occur later than the date necessary to qualify such payment as a “short-term deferral” within the meaning of Treas. Reg. § l.409A</w:t>
        <w:softHyphen/>
        <w:t xml:space="preserve"> l(b)(4)). (3) Involuntary Termination Without Cause (Other than Due to Death or Disability) Not Within Corporate Change Period. If Executive’s Employment is terminated by the Company without Cause (other than on account of Executive’s death or Disability), and such Termination Date does not occur within a Corporate Change Period, the Company shall, subject to Section 6(e), provide to Executive (A) continued payment of Executive’s Base Salary as in effect on the Termination Date, in arrears, for a period of 24 months following the Termination Date, where the first such payment shall be made on the First Payment Date and shall include all payments, if any, without interest, that would have otherwise been made pursuant to this Section 6(b)(3)(A) between the Termination Date and the First Payment Date; and (B) a pro rata amount of the Target Annual Bonus described in Section 2(b), for the year in which the Termination Date occurred, based on the number of days Executive was employed in such year in comparison to 365, and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Rob Franch - Employment Agreement 5 on actual performance of any applicable performance metrics through the end of the performance period, where such pro rata amount of the Target Annual Bonus shall be paid on the later of (i) the First Payment Date or (ii) the payment date that an Annual Bonus for the year of termination otherwise would have been payable pursuant to Section 2(b), had Executive’s Employment not been terminated (provided, that, in no event shall such payment occur later than the date necessary to qualify such payment as a “short-term deferral” within the meaning of Treas. Reg. § l.409A</w:t>
        <w:softHyphen/>
        <w:t xml:space="preserve"> l(b)(4)). (4) Involuntary Termination Without Cause (Other than Due to Death or Disability) Within Corporate Change Period or Termination by Executive for Good Reason Within Corporate Change Period. If Executive’s Employment is terminated by the Company without Cause (other than on account of Executive’s death or Disability) during a Corporate Change Period, or if Executive terminates his Employment due to Good Reason during a Corporate Change Period, the Company shall, subject to Section 6(e), provide to Executive (A) a lump sum equal to two times the sum of (i) Executive’s Base Salary as in effect on the Termination Date (or as of the date of the Corporate Change, if higher), plus (ii) Executive’s Target Annual Bonus, with such total amount to be paid on the First Payment Date. (5) Other Termination of Employment. For purposes of clarity, in the event that (A) Executive voluntarily resigns or otherwise voluntarily terminates Employment, except due to Good Reason within a Corporate Change Period, or (B) Executive’s Employment is terminated due to Cause then, in any such event under clause (A) or (B), the Company shall have no obligation to provide the severance benefits described in this Section 6(b) or the coverage described in Section 6(c), except to offer COBRA coverage (as required by COBRA law) but not at the rate described in Section 6(c). However, Executive shall still be entitled to the minimum benefits provided under Section 6(a). (6) No Duplication of Severance Benefits. The severance payments provided under this Section 6(b) shall supersede and replace any severance payments under any severance pay plan or similar agreement that the Company or any Affiliate maintains for key management employees or employees generally. (c) Subsidized COBRA Coverage for Certain Terminations. The provisions of this Section 6(c) shall apply only with respect to an Executive who becomes entitled to receive benefits under Section 6(b)(1), (2), (3) or (4) on account of his qualifying termination from Employment: (1) In the event that Executive timely elects continuation coverage under any of the Company’s “group health plans” within the meaning of Treasury Regulations Section 54.4980B-2 Q/A-1 (collectively, the “Health Plan”) on behalf of himself and any of his eligible covered dependents (including his spouse) pursuant to COBRA, following the Termination Date, the Company shall, subject to Section 6(e), pay on Executive’s behalf or reimburse Executive for an amount equal to the monthly premium for such COBRA coverage for each month during which such COBRA coverage is in effect during the period commencing on the Termination Date and ending upon the earliest of (x)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6 date that is eighteen (18) months following the Termination Date, (y) the date that Executive and Executive’s covered dependents become no longer eligible for COBRA coverage, or (z) the date Executive becomes eligible to receive group healthcare coverage from a subsequent employer (and Executive agrees to promptly notify the Company of such eligibility). In all other respects, Executive and his dependents shall be treated the same as any other qualified beneficiaries under the Health Plan and COBRA. (2) Notwithstanding Section 6(c)(1) to the contrary, the Company may alter the manner in which health benefits are provided to Executive under such Section following termination of Executive’s Employment to the extent the Company reasonably determines is necessary for purposes of satisfying Code Section 105(h)(2) or avoiding the imposition of an excise tax on the Company or any of its Affiliates, provided that such alterations do not materially decrease coverage or increase the after-tax cost to Executive of such benefits. (d) Accelerated Vesting of Equity Awards. To the extent Executive received any equity incentive award that is not fully vested as of the Termination Date, the following shall apply with respect to each such award, unless the applicable award agreement provides for more generous treatment of such award: (1) subject to compliance with the Release requirements in Section 6(e), if Executive becomes entitled to receive benefits under Section 6(b)(1), (2) or (4) on account of his qualifying termination from Employment, (i) Executive shall become immediately 100% vested in any outstanding awards of restricted stock, stock options and any other equity incentive awards granted under the LTIP (or any other equity incentive plan of the Company) that vest solely based on the passage of time, and (ii) with respect to any awards that vest based on the attainment of performance-based vesting conditions, Executive shall be considered to have remained in Employment through the end of the applicable performance period (with any such award being paid out within 60 days following the end of the applicable performance period, provided that applicable performance targets have been met); and (2) except as specifically provided in Section 6(d)(1), all unvested equity incentive awards shall be treated in accordance with the terms of the outstanding award agreement or plan document, as applicable. (e) Release Agreement. Notwithstanding any provision of the Agreement to the contrary, in order to receive the vesting acceleration provided under Section 6(d), or the severance payments and benefits provided under Sections 6(b) or (c), the Executive must first execute an appropriate release agreement (on a form provided by the Company) (a “Release”) whereby the Executive agrees to release and waive, in return for such vesting acceleration or severance benefits, any claims that Executive may have against the Company or any of its Affiliates including, without limitation, for unlawful discrimination (e.g., Title VII of the Civil Rights Act); provided, however, such release agreement shall not release any claim or cause of action by or on behalf of the Executive for (a) any payment or benefit that may be due or payable under this Agreement or any vested benefits under any employee benefit plan or program or (b) non-payment of salary or benefits to which Executive is entitled from the Company as of the Termination Date. The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7 must be provided to Executive within five (5) days following the Termination Date, and signed by Executive and returned to the Company, and any applicable revocation period must have expired, no later than thirty (30) days following the Termination Date. (f) Reduction of Payments. Notwithstanding anything to the contrary in this Agreement, if Executive is a “disqualified individual” (as defined in Code Section 280G(c)), and the payments and benefits provided for in this Agreement, together with any other payments and benefits which Executive has the right to receive from the Company or any of its Affiliates, would constitute a “parachute payment” (as defined in Code Section 280G(b)(2)), then the payments and benefits provided for in this Agreement shall be reduced (but not below zero) so that the present value of such total amounts and benefits received by Executive from the Company and its Affiliates will be one dollar ($1.00) less than three times Executive’s “base amount” (as defined in Code Section 280G(b)(3)) and so that no portion of such amounts and benefits received by Executive shall be subject to the excise tax imposed by Code Section 4999.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the extent of any such reduction in the amount of the payments and benefits provided hereunder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 Nothing in this Section 6(f) shall require the Company to be responsible for, or have any liability or obligation with respect to, Executive’s excise tax liabilities under Code Section 4999. (g) Definitions. (1) “Affiliate” means any incorporated or unincorporated trade or business or other entity or person, other than the Company, that along with the Company is considered a single employer under Code Section 414(b) or Code Section 414(c); provided, however, (a) in applying Code Section 1563(a)(l), (2), and (3) for purposes of determining a controlled group of corporations under Code Section 414(b), the phrase “at least 50 percent” shall be used instead of the phrase “at least 80 percent” in each place the phrase “at least 80 percent” appears in Code Section 1563(a)(l), (2), and (3), and (b) in applying Treasury Regulation Section l.414(c)-2 for the purposes of determining trades or businesses (whether or not incorporated) that are under common control for the purposes of Code Section 414(c), the phrase “at least 50 percent” shall be used instead of the phrase “at least 80 percent” in each place the phrase “at least 80 percent” appears in Treasury Regulation Section l.414(c)-2. (2) “Board” means the then-current Board of Directors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8 (3) “Cause” means any of the following: (A) Executive’s conviction of, or plea of no contest to, a misdemeanor involving moral turpitude or a felony; (B) Executive’s repeated failure or refusal to perform all of his duties, obligations and agreements herein contained or imposed by law, including his fiduciary duties, to the reasonable satisfaction of the Board; (C) Executive’s commission of acts amounting to gross negligence or willful misconduct to the material detriment of the Company; or (D) Executive’s material breach of any provision of this Agreement or uniformly applied provision of the Company’s employee handbook or other personnel policies, including without limitation, its Code of Business Conduct and Ethics. Such determination of “Cause” shall be made by the Board and, in the event of circumstances described in clause (B) or (D) above, the Board shall give written notice to Executive specifying such circumstances and providing a period of 30 days in which Executive shall be allowed to cure such circumstances, if capable of cure. (4) “COBRA” means the Consolidated Omnibus Budget Reconciliation Act of 1985, as amended. (5) “Code” means the Internal Revenue Code of 1986, as amended. (6) “Compensation Committee” means the Compensation Committee of the Board. (7) “Corporate Change” means a “Corporate Transaction” or “Change in Control” (as defined in the LTIP). (8) “Corporate Change Period” means the 24-month period following the occurrence of a Corporate Change. (9) “Designated Beneficiary” means the Executive’s surviving spouse, if any. If there is no such surviving spouse at the time of Executive’s death, then the Designated Beneficiary hereunder shall be Executive’s estate after the legal representative of such estate provides satisfactory evidence thereof to the Company (or its delegate) within the one-year period following Executive’s date of death. (10) “Director” means a Board member. (11) “Disabled” or “Disability” shall mean that Executive has become incapacitated by accident, illness or other circumstance which has rendered him mentally or physically incapable of performing the duties and services required of him hereunder on a full-time basis for a period of at least 365 consecutive days. Evidence of such Disability shall be certified by a physician acceptable to both the Company and Executive. In the event that the Parties are not able to agree on the choice of a physician, each shall select one physician who, in turn, shall select a third physician to render such certification. All reasonable costs directly relating to the determination of whether Executive has incurred a Disability for purposes of this Agreement shall be paid by the Company. (12) “Dispute” means any dispute, disagreement, claim, or controversy arising from, in connection with, or relating to (A) the Employment, or termination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9 Employment, of Executive, or (B) the Agreement, or the validity, interpretation, performance, breach or termination of the Agreement. (13) “Employment” means employment by the Company or any Affiliate. (14) “Exchange Act” means the Securities Exchange Act of 1934, as amended. (15) “Good Reason” means the occurrence of any of the following actions if taken without Executive’s prior written consent: (A) any material breach by the Company to comply with its obligations under the terms of the Agreement; (B) any material diminution in the Executive’s responsibilities, authority or duties, (C) a 10% or greater reduction of the sum of Executive’s Base Salary and Target Annual Bonus; or (D) any change greater than 50 miles in the permanent location at which Executive performs services for the Company. The Executive shall give written notice to the Board specifying such actions within 90 days of the initial existence of such action and providing a period of 30 days in which the Company shall be allowed to cure such circumstances. Provided that the condition purporting to give rise to the Good Reason event is not cured within the 30-day cure period, Executive must exercise his right to terminate this Agreement for Good Reason within 120 days after the initial existence of the Good Reason event. (16) “Termination Date” means the date on which Executive’s Employment terminates for whatever reason. 7. Notice of Termination. Any termination of Executive’s Employment by the Company or the Executive other than for death shall be communicated by Notice of Termination to the other Party hereto. For purposes of this Agreement, the term “Notice of Termination” means (a) a written notice which indicates the specific termination provision of this Agreement relied upon, (b) sets forth in reasonable detail the facts and circumstances claimed to provide a basis for termination of the Executive’s Employment under the provision so indicated, and (c) specifies a Termination Date which, if submitted by Executive, shall be at least thirty (30) days following the date of such Notice of Termination unless such termination is for Good Reason within a Corporate Change Period (in which case the requirements for a termination due to Good Reason shall apply); provided, however, that in the event that Executive delivers a Notice of Termination to the Company, the Company may, in its sole discretion, change the Termination Date to any date that occurs following the date of receipt of such Notice of Termination and is prior to the date specified in such Notice of Termination. A Notice of Termination submitted by the Company may provide for a Termination Date on the date Executive receives the Notice of Termination, or any date thereafter elected by the Company in its sole discretion. The failure by the Company or Executive to set forth in the Notice of Termination any fact or circumstance which contributes to a showing of Cause or Good Reason shall not waive or otherwise prejudice any right of such Party hereunder or preclude such Party from asserting such fact or circumstance in enforcing such Party’s rights hereunder. 8. No Mitigation. Except as provided in Section 6(f) regarding excess parachute payments, Executive shall not be required to mitigate the amount of any payment or other benefits provided under this Agreement by seeking other employment or in any other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10 9. Restrictive Covenants. As an inducement to the Company to enter into this Agreement, Executive represents to, and covenants with or in favor of, the Company that Executive will comply with all of the restrictive covenants in Sections 10 through 16, as a condition to the Company’s obligation to provide any benefits to Executive under this Agreement. 10. Trade Secrets. (a) Access to Trade Secrets. As of the Effective Date and on an ongoing basis, the Company agrees to give Executive access to Trade Secrets which the Executive did not have access to, or knowledge of, before Executive’s commencement of Employment. (b) Agreement Not to Use or Disclose Trade Secrets. In exchange for the Company’s promises to provide Executive with access to Trade Secrets, and the other consideration and benefits provided to Executive under this Agreement, Executive agrees that, during the Employment Period and any time thereafter, not to disclose to anyone, including, without limitation, any person, firm, corporation or other entity, or publish or use for any purpose, any Trade Secrets, except (1) as required in the ordinary course of the business of the Company or an Affiliate or (2) as authorized by the Company or Affiliate, as applicable. Executive acknowledges that Trade Secrets (A) have been and will be developed or acquired by the Company (or an Affiliate) through the expenditure of substantial time, effort and money and (B) provide the Company (or an Affiliate) with an advantage over competitors who do not know or use Trade Secrets. Executive shall hold in a fiduciary capacity for the benefit of the Company (or its Affiliate, as applicable) any Trade Secret relating to the Company or any of its Affiliates, and their respective businesses, which (a) has been obtained by Executive during his Employment and (b) is not public knowledge other than via an unauthorized disclosure made by Executive in violation of this Agreement. Executive acknowledges and agrees that all Trade Secrets are, and will continue to be, the exclusive property of the Company or Affiliate, as applicable. Executive shall not at any time disclose to any person or entity, or publish, or use for any unauthorized purpose, any Trade Secret, except as the Company directs or under compulsion of law. Executive agrees to give notice to the Company of any attempt to compel disclosure of any Trade Secret within five (5) business days after Executive is informed that such disclosure is being, or will be, compelled. Any such notice shall contain a copy of the subpoena, order or other process used to compel disclosure. The agreements and covenants in this Section 10(b) apply to all Trade Secrets, whether now known or later to become known to Executive. In addition, these provisions shall be in addition to, and not limit or restrict in any way, any other confidentiality agreement or covenant between the Executive and the Company or any of its Affiliates. (c) Agreement to Refrain from Defamatory Statements. Executive shall refrain, both during the Employment Period and thereafter, from publishing any oral or written statements about any directors, partners, officers, employees, agents, investors or representatives of the Company or any Affiliate that are (1) slanderous, libelous, or defamatory; (2) disclose private or confidential information about the business affairs, directors, partners, officers, employees, agents,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11 or representatives of the Company or any Affiliate; (3) constitute an intrusion into the seclusion or private lives of any such person; (4) give rise to unreasonable publicity about the private life of any such person; (5) place any such person in a false light before the public; or (6) constitute a misappropriation of the name or likeness of any such person. (d) Definitions. The following terms, when used in this Agreement, are defined below: (1) “Restricted Territory” means any county, or equivalent political or governmental subdivision, of any state, district, or territory of the continental United States in which the Company or any of its Affiliates conducts its business; and any area adjacent to such counties, or equivalent political or governmental subdivision, to the extent such adjacent areas are within a 50-mile radius of any funeral home, cemetery or other death care business owned or operated by the Company or any of its Affiliates as of the Termination Date. (2) “Trade Secrets” means any and all information and materials (in any form or medium) that are proprietary to the Company or an Affiliate, or are treated as confidential by the Company or an Affiliate as part of, or relating to, any portion of its or their businesses (whether or not owned or developed by the Company or an Affiliate) and that are not generally known by other persons or entities in the same type of business. For purposes of the Agreement, Trade Secrets include, without limitation, the following: all of the Company’s or Affiliate’s research, technical and business information, whether patentable or not, which is of a confidential, trade secret or proprietary character, and which is either developed by the Executive alone, or with others or by others; all non- public information that the Company or an Affiliate has marked as confidential or has otherwise described to Executive (either in writing or orally) as confidential; all non-public information concerning the Company’s or Affiliate’s products, services, prospective products or services, research, prospects, leases, designs, prices, costs, marketing plans, marketing techniques, studies, customers, investors, suppliers and contracts; all business records and plans; all personnel files; all financial information of or concerning the Company or an Affiliate; all information relating to the Company’s operating system software, application software, software and system methodology, hardware platforms, technical information, inventions, computer programs and listings, source codes, object codes, copyrights and other intellectual property; all technical specifications; any proprietary information belonging to the Company or an Affiliate; all computer hardware or software manuals of the Company or an Affiliate; all Company or Affiliate training or instruction manuals; all Company or Affiliate electronic data; and all computer system passwords and user codes. 11. Duty to Return Company Documents and Property. Upon the Termination Date,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whether prepared by Executive or others. If at any time after the Termination Date, Executive determines that Executive has any Trade Secrets in Executive’s possession or control, Executive shall immediately return them to the Company, including all copies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12 12. Best Efforts and Disclosure. Executive agrees that, while employed with the Company under this Agreement, Executive’s services shall be devoted on a full time basis to the Company’s business, and Executive shall use best efforts to promote its success. Further, Executive shall promptly disclose to the Company all ideas, inventions, computer programs, and discoveries, whether or not patentable or copyrightable, which Executive may conceive or make, alone or with others, during Executive’s period of Employment, whether or not during working hours, and which directly or indirectly: (a) relate to a matter within the scope, field, duties or responsibility of Executive’s Employment or within the scope or field of the Company’s or an Affiliate’s business; or (b) are based on any knowledge of the actual or anticipated business or interests of the Company; or (c) are aided by the use of time, materials, facilities or information of the Company or an Affiliate. Executive assigns to the Company, without further compensation, any and all rights, titles and interest in all such ideas, inventions, computer programs and discoveries in all countries of the world. 13. Inventions and Other Works. Any and all writings, computer software, inventions, improvements, processes, procedures and/or techniques which Executive may make, conceive, discover, or develop, either solely or jointly with any other person or persons, at any time during Executive’s period of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agrees to take any and all actions necessary or appropriate so that the Company can prepare and present applications for copyright or letters patent therefor, and secure such copyright or letters patent wherever possible, as well as reissue renewals, and extensions thereof, and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 14. Non-Solicitation Restriction. Executive hereby agrees that in order to protect Trade Secrets, it is necessary to enter into the following restrictive covenant, which is ancillary to the enforceable promises between the Company and Executive in Sections 9 through 13 and other provisions of this Agreement. During the Executive’s Employment and for a period of two (2) years following the Termination Date (regardless of the reason for termination), Executive hereby covenants and agrees that he will not, directly or indirectly, without obtaining the express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13 written consent of the Board, either individually or as a principal, partner, agent, consultant, contractor, employee, or as a director or officer of any entity, or in any other manner or capacity whatsoever, except on behalf of the Company, solicit business, attempt to solicit business, or conduct business, in products or services competitive with any products or services offered or performed by the Company or its Affiliates as of the Termination Date within the Restricted Territory. 15. Non-Competition Restriction. Executive hereby agrees that in order to protect Trade Secrets, it is necessary to enter into the following restrictive covenant, which is ancillary to the enforceable promises between the Company and Executive in Sections 9 through 14 and other provisions of this Agreement. Executive hereby covenants and agrees that during Executive’s period of Employment, and for a period of two (2) years following the Termination Date (regardless of the reason for termination), Executive will not, without obtaining the express written consent of the Company, engage in any capacity, directly or indirectly (whether as proprietor, stockholder, director, partner, employee, agent, independent contractor, consultant, trustee, or in any other capacity), with respect to any entity which is or may be in the funeral, mortuary, crematory, cemetery or burial insurance business or in any business related thereto (a) as part of any of the companies or entities listed on Schedule I hereto, or (b) within the Restricted Territory (in each case, a “Competing Enterprise”); provided, however, Executive shall not be deemed to be participating or engaging in a Competing Enterprise solely by virtue of the ownership of not more than one percent (1%) of any class of stock or other securities which are publicly traded on a national securities exchange or in a recognized over-the-counter market. 16. No Recruitment Restriction. Executive agrees that during Executive’s period of employment with the Company or its Affiliates, and for a period of two (2) years following the Termination Date (regardless of the reason for termination), without obtaining the express written consent of the Company, Executive shall not, either directly or indirectly, or by acting in concert with another person or entity, (a) hire any employee or independent contractor performing services for the Company or any Affiliate, or any such individual who performed services for the Company or any Affiliate at any time during the one-year period ending on the Termination Date, or (b) solicit or influence or seek to solicit or influence, any employee or independent contractor performing services for the Company or any Affiliate, or any such individual who performed services for the Company or any Affiliate at any time during the one-year period ending on the Termination Date, to terminate, reduce or otherwise adversely affect such individual’s employment or other relationship with the Company or any Affiliate. 17. Tolling. If Executive violates any of the restrictions contained in Sections 9 through 16, then notwithstanding any provision hereof to the contrary, the restrictive period will be suspended and will not run in favor of Executive from the time of the commencement of any such violation, unless and until such time when the Executive cures the violation to the reasonable satisfaction of the Company. 18. Reformation. If a court or arbitrator rules that any time period or the geographic area specified in any restrictive covenant in Sections 9 through 16 is unenforceable, then the time period will be reduced by the number of months, or the geographic area will be reduced by the elimination of such unenforceable portion, or both, so that the restrictions may be enforced in the geographic area and for the time to the full extent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14 19. No Previous Restrictive Agreements. Executive represents that, except as disclosed in writing to the Company as of the Effective Date, Executive is not bound by the terms of any agreement with any previous employer or other third party to (a) refrain from using or disclosing any confidential or proprietary information in the course of Executive’s Employment or (b) refrain from competing, directly or indirectly, with the business of such previous employer or any other person or entity. Executive further represents that Executive’s performance under this Agreement and work duties for the Company do not, and will not, breach any agreement to keep in confidence any proprietary information, knowledge or data acquired by Executive in confidence or in trust prior to Executive’s Employment, and Executive will not disclose to the Company or induce the Company to use any confidential or proprietary information or material belonging to any previous employer or others. 20. Conflicts of Interest. In keeping with Executive’s fiduciary duties to the Company, Executive hereby agrees that Executive shall not become involved in a conflict of interest, or upon discovery thereof, allow such a conflict to continue at any time during Executive’s period of Employment. In this respect, Executive agrees to fully comply with the conflict of interest agreement entered into by Executive as an employee, officer or director of the Company or an Affiliate. In the instance of a violation of the conflict of interest agreement to which Executive is a party, it may be necessary for the Company to terminate Executive’s Employment for Cause. 21. Remedies. Executive acknowledges that the restrictions contained in Sections 9 through 20 of this Agreement, in view of the nature of the Company’s business, are reasonable and necessary to protect the Company’s legitimate business interests, and that any violation of this Agreement would result in irreparable injury to the Company. In the event of a breach or a threatened breach by Executive of any provision of Sections 9 through 20 of this Agreement, the Company shall be entitled to a temporary restraining order and injunctive relief restraining Executive from the commission of any breach, and to recover the Company’s attorneys’ fees, costs and expenses related to the breach or threatened breach. Nothing contained in this Agreement shall be construed as prohibiting the Company from pursuing any other remedies available to it for any such breach or threatened breach, including, without limitation, the recovery of money damages, attorneys’ fees, and costs. These covenants and agreements shall each be construed as independent of any other provisions in this Agreement, and the existence of any claim or cause of action by Executive against the Company, whether predicated on this Agreement or otherwise, shall not constitute a defense to the enforcement by the Company of such covenants and agreements. 22. No Interference. Notwithstanding any other provision of this Agreement, (a) Executive may disclose confidential information when required to do so by a court of competent jurisdiction, by any governmental agency having authority over Executive or the business of the Company or by any administrative body or legislative body (including a committee thereof) with jurisdiction to order Executive to divulge, disclose or make accessible such information, in each case, subject to Executive’s obligations to notify the Company under Section 10(b); and (b) nothing in this Agreement is intended to interfere with Executive’s right to (1) report possible violations of state or federal law or regulation to any governmental or law enforcement agency or entity; (2) make other disclosures that are protected under the whistleblower provisions of state or federal law or regulation (including the right to receive an award for information provided to any such government agencies); (3) file a claim or charge any governmental agency or entity; or (4) testify, assist, or participate in an investigation, hearing, or proceeding conducted by any governmental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15 law enforcement agency or entity, or any court. For purposes of clarity, in making or initiating any such reports or disclosures or engaging in any of the conduct outlined in subsection (b) above, Executive may disclose confidential information to the extent necessary to such governmental or law enforcement agency or entity or such court, need not seek prior authorization from the Company, and is not required to notify the Company of any such reports, disclosures or conduct. 23. Defend Trade Secrets Act. Executive is hereby notified in accordance with the Defend Trade Secrets Act of 2016 that Executive will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If Executive files a lawsuit for retaliation against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 24. Withholdings; Right of Offset. The Company may withhold and deduct from any benefits and payments made or to be made pursuant to this Agreement (a) all federal, state, local and other taxes as may be required pursuant to any law or governmental regulation or ruling, (b) all other normal employee deductions made with respect to Company’s employees generally, and (c) any advances made to Executive and owed to Company. 25. Severability. It is the desire of the Parties hereto that this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it shall be deemed ineffective and deleted herefrom without affecting any other provision of this Agreement. This Agreement should be construed by limiting and reducing it only to the minimum extent necessary to be enforceable under then applicable law. 26. Title and Headings; Construction. In the interpretation of the Agreement, except where the context clearly otherwise requires: (a) “including” or “include” does not denote or imply any limitation; (b) “or” has the inclusive meaning “and/or”; (c) the singular includes the plural, and vice versa, and each gender includes each of the others; (d) captions or headings are only for reference and are not to be considered in interpreting the Agreement; (e) “Section” refers to a Section of the Agreement, unless otherwise stated in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16 (f) the words “herein”, “hereof”, “hereunder” and other compounds of the word “here” shall refer to the entire Agreement and not to any particular provision; and (g) a reference to any statute, rule, or regulation includes any amendment thereto or any statute, rule, or regulation enacted or promulgated in replacement thereof or as the successor thereto. 27. Governing Law; Jurisdiction. All matters or issues relating to the interpretation, construction, validity, and enforcement of this Agreement shall be governed by the laws of the State of Texas, without giving effect to any choice-of-law principle that would cause the application of the laws of any jurisdiction other than Texas. Jurisdiction and venue of any action or proceeding relating to this Agreement or any Dispute must be brought, if at all, in a state district court in Harris County, Texas or federal district court in the Southern District of Texas, Houston Division. Each party submits to the jurisdiction of such courts and agrees not to raise any objection to such jurisdiction. 28. Binding Effect; Third Party Beneficiaries. Subject to Section 33, this Agreement shall be binding upon and inure to the benefit of the Parties hereto, and to their respective heirs, executors, beneficiaries, personal representatives, successors and permitted assigns hereunder; otherwise this Agreement shall not be for the benefit of any third parties. 29. Entire Agreement; Amendment and Termination. This Agreement replaces and merges all previous agreements, amendments and discussions relating to the same or similar subject matters between Executive and Company (or any of its Affiliates) and constitutes the entire agreement between the Executive and the Company (and any of its Affiliates) with respect to the subject matter of this Agreement. Any existing employment agreement between the Executive and the Company (or any of its Affiliates) is hereby terminated, effective immediately. This Agreement may be amended, waived or terminated only by a written instrument that is identified as an amendment, waiver or termination hereto, and is executed on behalf of both Parties. Executive hereby acknowledges and represents that in executing this Agreement, he did not rely on, has not relied on, and specifically disavows any reliance on any communications, promises, statements, inducements, or representation(s), oral or written, by the Company, except as expressly contained in this Agreement. The Parties represent that they relied on their own judgment, and on the advice of legal counsel for such Party, if applicable, in entering into this Agreement. 30. Section 409A. (a) General. Any provisions of the Agreement that are subject to Section 409A of the Code and the regulations and other authoritative guidance issued thereunder (“Section 409A”), are intended to comply with all applicable requirements of Section 409A, or an exemption from the application of Section 409A, and shall be interpreted and administered accordingly. Notwithstanding any provision of this Agreement to the contrary, a termination of Employment shall not be deemed to have occurred for purposes of any provision of this Agreement providing for the payment of any amount or benefit that constitutes “non-qualified deferred compensation” (within the meaning of Section 409A) upon or following a termination of the Executive’s Employment unless such termination is also a “separation from service” (as defined under Section 409A) (a “Separation from Service”) and, for purposes of any such provision, references herein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17 a “termination,” “termination of employment” or like terms shall mean a Separation from Service, if applicable. Each payment under this Agreement shall be treated as a separate payment for purposes of Section 409A. In no event may the Executive, directly or indirectly, designate the calendar year of any payment to be made under this Agreement. (b) Specified Employee. Notwithstanding any provision of this Agreement to the contrary, if any payment or other benefit provided hereunder would be subject to additional taxes and interest under Section 409A because the timing of such payment is not delayed as required by Section 409A for a “specified employee” (as defined under Section 409A), then if the Executive is on the date of Executive’s Separation from Service a specified employee, any such payment or benefit that Executive would otherwise be entitled to receive during the first six months following the Separation from Service shall be accumulated and paid in a lump sum within ten (10) days after the date that is six months following the date of the Separation from Service, or such earlier date upon which such amount can be paid under Section 409A without being subject to such additional taxes and interest such as, for example, upon the Executive’s death. Any remaining payments due to Executive under this Agreement shall be paid as otherwise provided in this Agreement. (c) Reimbursements and In-Kind Benefits. Notwithstanding any provision of this Agreement to the contrary, any reimbursements or in-kind benefits provided under this Agreement that constitute “deferred compensation” within the meaning of Section 409A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other benefits. (d) No Section 409A Representations. Notwithstanding the foregoing, the Company makes no representations, warranties, or guarantees regarding the tax consequences of this Agreement, or any payments made hereunder, under Section 409A or otherwise, and has advised the Executive to consult with Executive’s own tax advisor. 31. Survival of Certain Provisions. Provisions of this Agreement which by their terms must survive the termination of this Agreement shall survive any such termination of this Agreement or termination of Executive’s Employment, as applicable, including, without limitation, Executive’s obligations under Sections 9 through 16 and the Company’s obligations under Section 6. 32. Waiver of Breach. No waiver by any party hereto of a breach of any provision of this Agreement by any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any party hereto to take any action by reason of any breach will not deprive such party of the right to take action at any time while such breach continues. 33. Successors and Assigns. This Agreement shall be binding upon and inure to the benefit of the Company and its Affiliates (and its and their successors), as well as upon any person or entity acquiring, whether by merger, consolidation, purchase of assets, dissolution or otherwise, all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18 substantially all of the capital stock, business and/or assets of the Company (or its successor) regardless of whether the Company is the surviving or resulting entity. The Company shall require any successor (whether direct or indirect, by purchase, merger, consolidation, dissolution or otherwise) to all or substantially all of the capital stock, business or assets of the Company to expressly assume and agree to perform this Agreement in the same manner and to the same extent that the Company would be required to perform it if no such succession had occurred; provided, however, no such assumption shall relieve the Company or any of its Affiliates (or any successor thereof) of any of its duties or obligations hereunder unless otherwise agreed, in writing, by Executive. This Agreement shall inure to the benefit of and be enforceable by Executive’s personal or legal representative, executors, administrators, successors, and heirs. In the event of the death of Executive while any amount is payable hereunder, all such amounts shall be paid to the Designated Beneficiary. 34. Notice. Each notice or other communication required or permitted under this Agreement shall be in writing and transmitted, delivered, or sent by personal delivery, prepaid courier or messenger service (whether overnight or same-day), or prepaid certified United States mail (with return receipt requested), addressed (in any case) to the other party at the address for that party set forth below that party’s signature on this Agreement, or at such other address as the recipient has designated by Notice to the other party, by electronic mail, delivery and read receipt required, or by facsimile, confirmation of delivery required. Each notice or communication so transmitted, delivered, or sent (a) in person, by courier or messenger service, or by certified United States mail shall be deemed given, received, and effective on the date delivered to or refused by the intended recipient (with the return receipt, or the equivalent record of the courier or messenger, being deemed conclusive evidence of delivery or refusal), or (b) by telecopy or facsimile shall be deemed given received) and effective on the date of actual receipt (with the confirmation of transmission being deemed conclusive evidence of receipt, except where the intended recipient has promptly notified the other party that the transmission is illegible). Nevertheless, if the date of delivery or transmission is not a business day, or if the delivery or transmission is after 5:00 p.m. (local time) on a business day, the notice or other communication shall be deemed given, received, and effective on the next business day. 35. Deemed Resignations. Unless otherwise agreed to in writing by the Company and Executive prior to the termination of Executive’s Employment, any termination of Executive’s Employment shall constitute: (a) an automatic resignation of Executive as an officer of the Company and each Affiliate and subsidiary of the Company, as applicable, and (b) an automatic resignation of Executive from the Board (if applicable), from the board of directors of any Affiliate and subsidiary of the Company (if applicable), and from the board of directors or any similar governing body of any corporation, limited liability entity or other entity (i) in which the Company or any Affiliate or subsidiary holds an equity interest and (ii) with respect to which board or similar governing body the Executive serves as the Company’s or such Affiliate’s or subsidiary’s designee or other representative (if applicable). 36. Executive Acknowledgment. Executive acknowledges (a) being knowledgeable and sophisticated as to business matters, including the subject matter of this Agreement, (b) having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19 read this Agreement and understanding its terms and conditions, (c) having been given an ample opportunity to discuss this Agreement with his personal legal counsel prior to execution, and (d) that no strict rules of construction shall apply for or against the drafter or any other party. Executive hereby represents that he is free to enter into this Agreement including, without limitation, that he is not subject to any covenant not to compete, confidentiality agreement or other restrictive agreement or covenant, with former employer or otherwise, that could conflict with this Agreement or his duties hereunder. 37. Counterparts. 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hereto, but together signed by both Parties. IN WITNESS WHEREOF, Executive has executed this Agreement, the Company has caused this Agreement to be executed in its name and on its behalf by its duly authorized officer, to be effective as of the Effective Date. EXECUTIVE: ________________________________________ Rob Franch Address for Notices: 5651 North Lockwood Chicago, IL 60646 COMPANY: CARRIAGE SERVICES, INC. By: _________________________________ Name: Carlos Quezada Title: President &amp; Chief Operating Officer Address for Notices: Carriage Services, Inc. 3040 Post Oak Blvd, Suite 300 Houston, Texas 77056 Attn: General Counsel [End of Signatures.]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 Franch - Employment Agreement 20 Schedule I 1. The following entities, together with all Affiliated Parties thereof: Service Corporation International StoneMor Partners LP NorthStar Memorial Group, LLC Park Lawn Corporation Legacy Funeral Group, LLC Foundation Partners Group, LLC For purposes of this Schedule I, an “Affiliated Party” of an entity is an entity that directly or indirectly controls, is under the control of or is under common control with such entity. 2. Any new entity which may hereafter be established which acquires any combination of ten or more funeral homes and/or cemeteries from any of the entities described in Section 1 of this Schedule I. 3. Any funeral home, cemetery or other death care enterprise which is managed by any entity described in Section 1 or 2 of this Schedule I.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robfranchfirstamendment0.htm"/>
      <w:bookmarkStart w:id="3" w:name="ksrobfranchfirstamendment0"/>
      <w:bookmarkEnd w:id="2"/>
      <w:bookmarkEnd w:id="3"/>
      <w:r>
        <w:rPr/>
        <w:drawing>
          <wp:inline distT="0" distB="0" distL="0" distR="0">
            <wp:extent cx="10048875" cy="13001625"/>
            <wp:effectExtent l="0" t="0" r="0" b="0"/>
            <wp:docPr id="7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shanepudenzagreementfebr.htm"/>
      <w:bookmarkStart w:id="5" w:name="ksshanepudenzagreementfebr"/>
      <w:bookmarkEnd w:id="4"/>
      <w:bookmarkEnd w:id="5"/>
      <w:r>
        <w:rPr/>
        <w:drawing>
          <wp:inline distT="0" distB="0" distL="0" distR="0">
            <wp:extent cx="10048875" cy="1300162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6" w:name="signedshanepudenzfirstam.htm"/>
      <w:bookmarkStart w:id="7" w:name="kssignedshanepudenzfirstam"/>
      <w:bookmarkEnd w:id="6"/>
      <w:bookmarkEnd w:id="7"/>
      <w:r>
        <w:rPr/>
        <w:drawing>
          <wp:inline distT="0" distB="0" distL="0" distR="0">
            <wp:extent cx="10048875" cy="13001625"/>
            <wp:effectExtent l="0" t="0" r="0" b="0"/>
            <wp:docPr id="9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ltiperformanceaward03072.htm"/>
      <w:bookmarkStart w:id="9" w:name="ksltiperformanceaward03072"/>
      <w:bookmarkEnd w:id="8"/>
      <w:bookmarkEnd w:id="9"/>
      <w:r>
        <w:rPr/>
        <w:drawing>
          <wp:inline distT="0" distB="0" distL="0" distR="0">
            <wp:extent cx="10048875" cy="13001625"/>
            <wp:effectExtent l="0" t="0" r="0" b="0"/>
            <wp:docPr id="10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of 7 CARRIAGE SERVICES, INC. 2017 OMNIBUS INCENTIVE PLAN 2025 LONG-TERM INCENTIVE PERFORMANCE AWARD This Performance Award Agreement (this “Agreement”) is made and entered into as of March 7, 2025 (the “Grant Date”) by and between Carriage Services, Inc. (the “Company”) and __________________________ (the “Employee”). Capitalized terms that are used in this Agreement, but not defined herein, have the meanings ascribed to them in the Company’s 2017 Omnibus Incentive Plan (the “Plan”). 1. Grant of Performance Award. Pursuant to the terms and conditions set forth in the Plan and this Agreement, the Company hereby grants to the Employee a Stock Award in the form of a Performance Award pursuant to which the Employee may earn shares of the Company’s common stock (the “Award”). The target number of shares of common stock subject to the Award is _______________ shares (the “Target Performance Shares”).1 Notwithstanding the foregoing, and subject to the terms of this Agreement, the aggregate number of shares of common stock that the Employee actually earns pursuant to the Award (up to a maximum of 200% of the Target Performance Shares) shall be calculated by the Company’s Compensation Committee (the “Committee”) based upon the Payout definition as outlined in Exhibit I attached hereto). 2. Performance Period. For purposes of this Agreement, the term “Performance Period” shall be the period commencing on the Grant Date and ending on March 31, 2028. 3. Performance Criteria. (a) The performance criteria applicable to the Award are set forth on Exhibit I attached hereto (the “Performance Criteria”), which exhibit is hereby incorporated by reference. All determinations of whether the Performance Criteria have been achieved (and, if applicable, the extent of any such achievement), the number of shares of common stock earned by the Employee, and all other matters related to this Section 3, shall be made by the Committee in its sole discretion. (b) If any of the Performance Criteria are achieved during the Performance Period, the Committee shall review and certify in writing, (i) whether, and to what extent, the Performance Criteria for the Performance Period has been achieved, and (ii) the number of shares of common stock that the Employee has earned, if any, subject to compliance with the requirements of Section 4. Such certification shall be final, conclusive, and binding on the Employee, and on all other persons, to the maximum extent permitted by law. 1 The Target Performance Shares are based on Employee’s annual long-term incentive award target and the closing price of CSV stock of $38.59 on March 7,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Any of the four tiers of the Performance Criteria may be achieved during any rolling twelve-month period that concludes at the end of a quarter, and occurs during the Performance Period (a “Measurement Period”), pending certification by the Committee of the achievement of the Performance Criteria in accordance with Section 3(b) above, and subject to the Employee’s continuous employment with the Company from the Grant Date through the date on which the Committee certifies the achievement of the Performance Criteria. The number of shares of common stock that vest and become payable under this Agreement shall be determined by the Committee following a Measurement Period by referencing Exhibit 1. (d) To achieve any of the four tiers of the Performance Criteria during a particular Measurement Period, the Company must achieve a minimum compound annual organic growth rate of at least 4% during that Measurement Period. 4. Vesting Date. The Award is subject to forfeiture until it vests. Except as otherwise provided herein, the Award will vest, and no longer be subject to forfeiture, once the Committee has certified that any of the four tiers included within the Performance Criteria have been achieved (the “Vesting Date”). The Vesting Date may occur at any time during the Performance Period, and in no case shall it occur later than sixty days following the achievement of any tier of Performance Criteria. Upon certification by the Committee of achievement of any tier of Performance Criteria, Employee shall remain eligible to achieve the remaining tiers during the Performance Period. Upon the Committee’s certification of Employee’s achievement of an additional tier, Employee shall be entitled to the “Additional Shares” outlined in Exhibit 1. 5. Settlement. Payment in respect of the Award earned during the Performance Period shall be made in shares of common stock, which shares of common stock shall be issued to the Employee within 30 days following a Vesting Date. The Company shall, (a) issue and deliver to the Employee the number of shares of common stock earned by the Employee during the Performance Period, if any, as determined and awarded by the Committee in accordance with the terms of this Agreement; and (b) enter the Employee’s name on the books of the Company as the shareholder of record with respect to the shares of common stock delivered to the Employee. 6. Termination of Employment. Except as otherwise expressly provided in this Agreement, if the Employee’s continuous employment with the Company terminates at any time before a Vesting Date, the Award shall be automatically forfeited upon such termination of employment and neither the Company nor any Affiliate shall have any further obligations to the Employee under this Agreement. 7. Corporate Change. In the event of a Corporate Change during the Performance Period, notwithstanding anything in the Plan to the contrary, if Employee’s employment with the Company is terminated without Cause or Good Reason, and a Payout was earned in accordance with this Agreement prior to Employee’s termination, the Employee shall receive payment in settlement of the Award in an amount equivalent to the value of such Award at the time of such settlement, which amount shall be paid no later than thirty (30) days following the date of such termination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Restrictions. Neither the Award nor any of the rights relating thereto may be assigned, alienated, pledged, attached, sold or otherwise transferred or encumbered by the Employee. Any attempt to assign, alienate, pledge, attach, sell or otherwise transfer or encumber the Award or the rights relating thereto shall be wholly ineffective and, if any such attempt is made, the Award will be forfeited by the Employee and all the Employee’s rights to such Award shall immediately terminate without any payment or consideration by the Company. 9. No Rights as Shareholder; No Dividend Equivalents. The Employee shall not have any rights of a shareholder with respect to the shares of common stock underlying the Award (including, without limitation, any right to receive dividends or dividend equivalents) unless and until the Award vests and is settled pursuant to this Agreement. Upon and following the settlement of the Award, the Employee shall be the record owner of the shares of common stock underlying the Award unless and until such shares are sold or otherwise disposed of, and as record owner shall be entitled to all rights of a shareholder of the Company (including voting rights). 10. No Right to Continued Employment. Neither the Plan nor this Agreement shall confer upon the Employee any right to continued employment. Further, nothing in the Plan or this Agreement shall be construed to limit the discretion of the Company to terminate the Employee’s employment at any time, with or without Cause. 11. Adjustments. If any change is made to the Company’s outstanding common stock or the capital structure of the Company, if required, the number of shares of common stock subject to the Award shall be adjusted or terminated in any manner as contemplated by Section 4.4 of the Plan. 12. Tax Withholding. Unless other arrangements have been made that are acceptable to the Company, the Company and each of its Affiliates is authorized to deduct or withhold from the Award, or cause to be deducted or withheld from any compensation or other amount owing to the Employee, the amount (in cash, common stock, other securities or property, or common stock that would otherwise be issued pursuant to the Award) of any applicable taxes payable in respect of the vesting and/or settlement of the Award and to take such other actions as may be necessary in the opinion of the Company or any of its Affiliates to satisfy its tax withholding obligations. Notwithstanding the foregoing, if the Employee is subject to Rule 16b- 3 at the time of vesting and/or settlement of the Award, except as otherwise provided in any tax withholding policy or procedure adopted by the Company, such tax withholding automatically shall be effected by the Company or one of its Affiliates either by (i) withholding shares of common stock otherwise deliverable to the Employee on the settlement of the Award or (ii) requiring the Employee to tender a cash payment to the Company or such Affiliate in an amount equal to the applicable taxes. In the event that shares of common stock that would otherwise be delivered pursuant to the Award are used to satisfy such withholding obligations, the number of shares that may be withheld shall be limited to the number of shares that have a Fair Market Value, on the date of withholding, equal to the aggregate amount of such liabilities based on the minimum statutory withholding rates for federal, state, local and foreign income tax and payroll tax purposes that are applicable to such taxable income; provided, however, that such withholding may be based on rates in excess of the minimum statutory withholding rates if (A) the Committee (x) determines that such withholding would not result in adverse accounting,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tax or other consequences to the Company (other than immaterial administrative, reporting or similar consequences) and (y) authorizes such withholding at such greater rates and (B) the Employee consents to such withholding at such greater rates. 13. Compliance with Applicable Laws. The issuance and transfer of shares of common stock shall be subject to compliance by the Company and the Employee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14. Notices. Any notice required to be delivered to the Company under this Agreement shall be in writing and addressed to the General Counsel of the Company at the Company’s principal corporate offices. Any notice required to be delivered to the Employee under this Agreement shall be in writing and addressed to the Employee at the Employee’s address as shown in the records of the Company. Either party may designate another address in writing (or by such other method approved by the Company) from time to time. 15. Governing Law. This Agreement will be construed and interpreted in accordance with the laws of the State of Texas without regard to conflict of law principles thereof. 16. Interpretation. Any dispute regarding the interpretation of this Agreement shall be submitted by the Employee or the Company to the Committee for review. The resolution of such dispute by the Committee shall be final and binding on the Employee and the Company. 17. Award Subject to Plan.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18. Successors and Assigns.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Award may be transferred by will or the laws of descent or distribution. 19. Severability.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 20. Discretionary Nature of Plan. The Plan is discretionary and may be amended, cancelled or terminated by the Company at any time, in its discretion. The grant of the Award in this Agreement does not create any contractual right or other right to receive any award in the future. Future awards, if any, will be at the sole discretion of the Company. Any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modification, or termination of the Plan shall not constitute a change or impairment of the terms and conditions of the Employee’s employment with the Company. 21. Entire Agreement. This Agreement constitutes the entire agreement of the parties with regard to the subject matter hereof, and contains all the covenants, promises, representations, warranties and agreements between the parties with respect to the Award granted hereby; provided, however, that the terms of this Agreement shall not modify, and shall be subject to the terms and conditions of, any employment and/or severance agreement between the Company and it Affiliates and the Employee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22. Amendment. The Committee has the right to amend, alter, suspend, discontinue or cancel the Award, prospectively or retroactively; provided, however, that no such amendment shall adversely affect the Employee’s material rights under this Agreement without the Employee’s consent. 23. Section 409A. Neither the Award nor any of the amounts that may be payable pursuant to this Agreement are intended to constitute or provide for a deferral of compensation that is subject to Section 409A of the Code and the Treasury regulations and other interpretive guidance issued thereunder (collectively, “Section 409A”). Notwithstanding the foregoing, (a) the Company makes no representations that the Award or any amounts payable under this Agreement are exempt from Section 409A and in no event shall the Company or any of its Affiliates be liable for all or any portion of any taxes, penalties, interest or other expenses that may be incurred by the Employee on account of non-compliance with Section 409A, and (b) if any payment provided for under this Agreement would be subject to additional taxes and interest under Section 409A if the Employee’s receipt of such payment is not delayed in accordance with the requirements of Section 409A(a)(2)(B)(i) of the Code, then such payment shall not be provided to the Employee (or the Employee’s estate, if applicable) until the earlier of, (i) the date of the Employee’s death or (ii) the date that is six months after the date of the Employee’s separation from service with the Company. 24. No Impact on Other Benefits. The value of the Award is not part of the Employee’s normal or expected compensation for purposes of calculating any severance, retirement, welfare, insurance or similar employee benefit. 25. Acceptance. The Employee hereby acknowledges receipt of a copy of the Plan and this Agreement. The Employee has read and understands the terms and provisions thereof and accepts the Award subject to all of the terms and conditions of the Plan and this Agreement. The Employee acknowledges that there may be adverse tax consequences upon the vesting or settlement of the Award or disposition of the underlying shares and that the Employee has been advised to consult a tax advisor prior to such vesting, settlement, or disposition. The Employee acknowledges and agrees that none of the Board, the Committee, the Company, or any of their respective Affiliates have made any representation or warranty as to the tax consequences to the Employee as a result of the receipt of the Award or the vesting, settlement or disposition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Clawback. Notwithstanding any provision in this Agreement to the contrary, this Award and all common stock issued hereunder shall be subject to any applicable clawback policies or procedures adopted in accordance with the Plan. 27. Counterparts. This Agreement may be executed in one or more counterparts, each of which shall be deemed an original and all of which together shall constitute one instrument. Delivery of an executed counterpart of this Agreement by facsimile or pdf attachment to electronic mail shall be effective as delivery of a manually executed counterpart of this Agreement. IN WITNESS WHEREOF, the Company has caused this Agreement to be executed by its duly authorized officer, and the Employee has executed this Agreement, effective for all purposes as provided above. CARRIAGE SERVICES, INC. By: __________________________________________ EMPLOYEE _____________________________________________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7 EXHIBIT 1 PERFORMANCE CRITERIA Payout Determination The “Payout” shall be determined by the Adjusted Consolidated EBITDA generated by the Company, as calculated in accordance with the Company’s public company reporting practices, during any Measurement Period that occurs during the Performance Period. If the Adjusted Consolidated EBITDA reaches any of the Performance Tiers listed below, the Employee will be entitled to the corresponding Payout, subject to the provisions of the Agreement. Performance Tiers Tier 1 Tier 2 Tier 3 Tier 4 Adjusted Consolidated EBITDA2 (in thousands) $142,008 $148,644 $155,360 $164,656 Compound Annual Growth Rate 4% 5% 6% 7% Payout (in shares of Company common stock) TBD Additional Shares TBD Additional Shares TBD Additional Shares TBD The Employee will be eligible to achieve each of the four tiers during the Performance Period. By way of example: Example: The Company generates Adjusted Consolidated EBITDA of $143,000,000 during a Measurement Period, while achieving a compound annual organic growth rate of at least 4%. The Employee will be eligible to receive a Payout of TBD shares. During a subsequent Measurement Period, the Company generates Adjusted Consolidated EBITDA of $150,000,000, while achieving a compound annual organic growth rate of at least 4%. The Employee will be eligible to receive a Payout of an additional TBD shares. 2 Adjusted Consolidated EBITDA growth targets are based on a baseline of 2024 Adjusted Consolidated EBITDA of $126,245.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851"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Enwright,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105"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458"/>
        <w:gridCol w:w="1458"/>
        <w:gridCol w:w="2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Chief Executive Officer and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105"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454"/>
        <w:gridCol w:w="1454"/>
        <w:gridCol w:w="20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37335</Words>
  <Characters>203074</Characters>
  <CharactersWithSpaces>238082</CharactersWithSpaces>
  <Paragraphs>4456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ltiperformanceaward03072</dc:title>
</cp:coreProperties>
</file>