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84" w:lineRule="exact"/>
        <w:rPr>
          <w:sz w:val="24"/>
          <w:szCs w:val="24"/>
          <w:color w:val="auto"/>
        </w:rPr>
      </w:pPr>
    </w:p>
    <w:p>
      <w:pPr>
        <w:ind w:left="5280"/>
        <w:spacing w:after="0"/>
        <w:rPr>
          <w:sz w:val="20"/>
          <w:szCs w:val="20"/>
          <w:color w:val="auto"/>
        </w:rPr>
      </w:pPr>
      <w:r>
        <w:rPr>
          <w:rFonts w:ascii="Arial" w:cs="Arial" w:eastAsia="Arial" w:hAnsi="Arial"/>
          <w:sz w:val="29"/>
          <w:szCs w:val="29"/>
          <w:b w:val="1"/>
          <w:bCs w:val="1"/>
          <w:color w:val="auto"/>
        </w:rPr>
        <w:t>FORM10-Q</w:t>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660" w:right="320" w:hanging="652"/>
        <w:spacing w:after="0" w:line="254" w:lineRule="auto"/>
        <w:tabs>
          <w:tab w:leader="none" w:pos="441"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660" w:right="300" w:hanging="652"/>
        <w:spacing w:after="0" w:line="260" w:lineRule="auto"/>
        <w:tabs>
          <w:tab w:leader="none" w:pos="441"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For the transition period from ___________ to  ____________</w:t>
      </w:r>
    </w:p>
    <w:p>
      <w:pPr>
        <w:spacing w:after="0" w:line="221" w:lineRule="exact"/>
        <w:rPr>
          <w:sz w:val="24"/>
          <w:szCs w:val="24"/>
          <w:color w:val="auto"/>
        </w:rPr>
      </w:pPr>
    </w:p>
    <w:tbl>
      <w:tblPr>
        <w:tblLayout w:type="fixed"/>
        <w:tblInd w:w="2340" w:type="dxa"/>
        <w:tblCellMar>
          <w:top w:w="0" w:type="dxa"/>
          <w:left w:w="0" w:type="dxa"/>
          <w:bottom w:w="0" w:type="dxa"/>
          <w:right w:w="0" w:type="dxa"/>
        </w:tblCellMar>
      </w:tblPr>
      <w:tr>
        <w:trPr>
          <w:trHeight w:val="252"/>
        </w:trPr>
        <w:tc>
          <w:tcPr>
            <w:tcW w:w="4160" w:type="dxa"/>
            <w:vAlign w:val="bottom"/>
            <w:tcBorders>
              <w:bottom w:val="single" w:sz="8" w:color="auto"/>
            </w:tcBorders>
          </w:tcPr>
          <w:p>
            <w:pPr>
              <w:ind w:left="1700"/>
              <w:spacing w:after="0"/>
              <w:rPr>
                <w:sz w:val="20"/>
                <w:szCs w:val="20"/>
                <w:color w:val="auto"/>
              </w:rPr>
            </w:pPr>
            <w:r>
              <w:rPr>
                <w:rFonts w:ascii="Arial" w:cs="Arial" w:eastAsia="Arial" w:hAnsi="Arial"/>
                <w:sz w:val="20"/>
                <w:szCs w:val="20"/>
                <w:b w:val="1"/>
                <w:bCs w:val="1"/>
                <w:color w:val="auto"/>
                <w:w w:val="98"/>
              </w:rPr>
              <w:t>Commission File Number:</w:t>
            </w:r>
          </w:p>
        </w:tc>
        <w:tc>
          <w:tcPr>
            <w:tcW w:w="2400" w:type="dxa"/>
            <w:vAlign w:val="bottom"/>
            <w:tcBorders>
              <w:bottom w:val="single" w:sz="8" w:color="auto"/>
            </w:tcBorders>
          </w:tcPr>
          <w:p>
            <w:pPr>
              <w:jc w:val="right"/>
              <w:ind w:right="1421"/>
              <w:spacing w:after="0"/>
              <w:rPr>
                <w:sz w:val="20"/>
                <w:szCs w:val="20"/>
                <w:color w:val="auto"/>
              </w:rPr>
            </w:pPr>
            <w:r>
              <w:rPr>
                <w:rFonts w:ascii="Arial" w:cs="Arial" w:eastAsia="Arial" w:hAnsi="Arial"/>
                <w:sz w:val="20"/>
                <w:szCs w:val="20"/>
                <w:b w:val="1"/>
                <w:bCs w:val="1"/>
                <w:color w:val="auto"/>
              </w:rPr>
              <w:t>1-11961</w:t>
            </w:r>
          </w:p>
        </w:tc>
      </w:tr>
    </w:tbl>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CARRIAGE SERVICES,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73025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7"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820" w:type="dxa"/>
            <w:vAlign w:val="bottom"/>
            <w:gridSpan w:val="2"/>
          </w:tcPr>
          <w:p>
            <w:pPr>
              <w:jc w:val="center"/>
              <w:ind w:left="1705"/>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960" w:type="dxa"/>
            <w:vAlign w:val="bottom"/>
            <w:gridSpan w:val="2"/>
          </w:tcPr>
          <w:p>
            <w:pPr>
              <w:jc w:val="center"/>
              <w:ind w:right="1648"/>
              <w:spacing w:after="0"/>
              <w:rPr>
                <w:sz w:val="20"/>
                <w:szCs w:val="20"/>
                <w:color w:val="auto"/>
              </w:rPr>
            </w:pPr>
            <w:r>
              <w:rPr>
                <w:rFonts w:ascii="Arial" w:cs="Arial" w:eastAsia="Arial" w:hAnsi="Arial"/>
                <w:sz w:val="18"/>
                <w:szCs w:val="18"/>
                <w:b w:val="1"/>
                <w:bCs w:val="1"/>
                <w:color w:val="auto"/>
                <w:w w:val="91"/>
              </w:rPr>
              <w:t>76-0423828</w:t>
            </w:r>
          </w:p>
        </w:tc>
      </w:tr>
      <w:tr>
        <w:trPr>
          <w:trHeight w:val="144"/>
        </w:trPr>
        <w:tc>
          <w:tcPr>
            <w:tcW w:w="3820" w:type="dxa"/>
            <w:vAlign w:val="bottom"/>
            <w:gridSpan w:val="2"/>
          </w:tcPr>
          <w:p>
            <w:pPr>
              <w:jc w:val="center"/>
              <w:ind w:left="1705"/>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2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20" w:type="dxa"/>
            <w:vAlign w:val="bottom"/>
          </w:tcPr>
          <w:p>
            <w:pPr>
              <w:jc w:val="center"/>
              <w:ind w:right="2188"/>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20" w:type="dxa"/>
            <w:vAlign w:val="bottom"/>
            <w:gridSpan w:val="2"/>
          </w:tcPr>
          <w:p>
            <w:pPr>
              <w:jc w:val="center"/>
              <w:ind w:left="1705"/>
              <w:spacing w:after="0"/>
              <w:rPr>
                <w:sz w:val="20"/>
                <w:szCs w:val="20"/>
                <w:color w:val="auto"/>
              </w:rPr>
            </w:pPr>
            <w:r>
              <w:rPr>
                <w:rFonts w:ascii="Arial" w:cs="Arial" w:eastAsia="Arial" w:hAnsi="Arial"/>
                <w:sz w:val="14"/>
                <w:szCs w:val="14"/>
                <w:b w:val="1"/>
                <w:bCs w:val="1"/>
                <w:color w:val="auto"/>
                <w:w w:val="94"/>
              </w:rPr>
              <w:t>incorporation or organization)</w:t>
            </w:r>
          </w:p>
        </w:tc>
        <w:tc>
          <w:tcPr>
            <w:tcW w:w="2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20" w:type="dxa"/>
            <w:vAlign w:val="bottom"/>
          </w:tcPr>
          <w:p>
            <w:pPr>
              <w:jc w:val="center"/>
              <w:ind w:right="2188"/>
              <w:spacing w:after="0"/>
              <w:rPr>
                <w:sz w:val="20"/>
                <w:szCs w:val="20"/>
                <w:color w:val="auto"/>
              </w:rPr>
            </w:pPr>
            <w:r>
              <w:rPr>
                <w:rFonts w:ascii="Arial" w:cs="Arial" w:eastAsia="Arial" w:hAnsi="Arial"/>
                <w:sz w:val="14"/>
                <w:szCs w:val="14"/>
                <w:b w:val="1"/>
                <w:bCs w:val="1"/>
                <w:color w:val="auto"/>
                <w:w w:val="94"/>
              </w:rPr>
              <w:t>Identification No.)</w:t>
            </w:r>
          </w:p>
        </w:tc>
      </w:tr>
      <w:tr>
        <w:trPr>
          <w:trHeight w:val="389"/>
        </w:trPr>
        <w:tc>
          <w:tcPr>
            <w:tcW w:w="3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60" w:type="dxa"/>
            <w:vAlign w:val="bottom"/>
            <w:gridSpan w:val="2"/>
          </w:tcPr>
          <w:p>
            <w:pPr>
              <w:jc w:val="center"/>
              <w:ind w:left="60"/>
              <w:spacing w:after="0"/>
              <w:rPr>
                <w:sz w:val="20"/>
                <w:szCs w:val="20"/>
                <w:color w:val="auto"/>
              </w:rPr>
            </w:pPr>
            <w:r>
              <w:rPr>
                <w:rFonts w:ascii="Arial" w:cs="Arial" w:eastAsia="Arial" w:hAnsi="Arial"/>
                <w:sz w:val="18"/>
                <w:szCs w:val="18"/>
                <w:b w:val="1"/>
                <w:bCs w:val="1"/>
                <w:color w:val="auto"/>
                <w:w w:val="90"/>
              </w:rPr>
              <w:t>3040 Post Oak Boulevard, Suite 300</w:t>
            </w: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2"/>
        </w:trPr>
        <w:tc>
          <w:tcPr>
            <w:tcW w:w="3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2"/>
          </w:tcPr>
          <w:p>
            <w:pPr>
              <w:jc w:val="center"/>
              <w:ind w:left="60"/>
              <w:spacing w:after="0"/>
              <w:rPr>
                <w:sz w:val="20"/>
                <w:szCs w:val="20"/>
                <w:color w:val="auto"/>
              </w:rPr>
            </w:pPr>
            <w:r>
              <w:rPr>
                <w:rFonts w:ascii="Arial" w:cs="Arial" w:eastAsia="Arial" w:hAnsi="Arial"/>
                <w:sz w:val="18"/>
                <w:szCs w:val="18"/>
                <w:b w:val="1"/>
                <w:bCs w:val="1"/>
                <w:color w:val="auto"/>
                <w:w w:val="88"/>
              </w:rPr>
              <w:t>Houston, Texas, 77056</w:t>
            </w: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66"/>
        </w:trPr>
        <w:tc>
          <w:tcPr>
            <w:tcW w:w="3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gridSpan w:val="2"/>
          </w:tcPr>
          <w:p>
            <w:pPr>
              <w:jc w:val="center"/>
              <w:ind w:left="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212"/>
        </w:trPr>
        <w:tc>
          <w:tcPr>
            <w:tcW w:w="3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60" w:type="dxa"/>
            <w:vAlign w:val="bottom"/>
            <w:gridSpan w:val="2"/>
          </w:tcPr>
          <w:p>
            <w:pPr>
              <w:jc w:val="center"/>
              <w:ind w:left="60"/>
              <w:spacing w:after="0"/>
              <w:rPr>
                <w:sz w:val="20"/>
                <w:szCs w:val="20"/>
                <w:color w:val="auto"/>
              </w:rPr>
            </w:pPr>
            <w:r>
              <w:rPr>
                <w:rFonts w:ascii="Arial" w:cs="Arial" w:eastAsia="Arial" w:hAnsi="Arial"/>
                <w:sz w:val="18"/>
                <w:szCs w:val="18"/>
                <w:b w:val="1"/>
                <w:bCs w:val="1"/>
                <w:color w:val="auto"/>
                <w:w w:val="90"/>
              </w:rPr>
              <w:t>(713) 332-8400</w:t>
            </w:r>
          </w:p>
        </w:tc>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186"/>
        </w:trPr>
        <w:tc>
          <w:tcPr>
            <w:tcW w:w="3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6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4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107"/>
        </w:trPr>
        <w:tc>
          <w:tcPr>
            <w:tcW w:w="34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r>
      <w:tr>
        <w:trPr>
          <w:trHeight w:val="360"/>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82"/>
        </w:trPr>
        <w:tc>
          <w:tcPr>
            <w:tcW w:w="3820" w:type="dxa"/>
            <w:vAlign w:val="bottom"/>
            <w:tcBorders>
              <w:bottom w:val="single" w:sz="8" w:color="auto"/>
            </w:tcBorders>
            <w:gridSpan w:val="2"/>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2"/>
          </w:tcPr>
          <w:p>
            <w:pPr>
              <w:spacing w:after="0"/>
              <w:rPr>
                <w:sz w:val="24"/>
                <w:szCs w:val="24"/>
                <w:color w:val="auto"/>
              </w:rPr>
            </w:pPr>
          </w:p>
        </w:tc>
      </w:tr>
      <w:tr>
        <w:trPr>
          <w:trHeight w:val="179"/>
        </w:trPr>
        <w:tc>
          <w:tcPr>
            <w:tcW w:w="3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2"/>
              </w:rPr>
              <w:t>Title of each class</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1360" w:type="dxa"/>
            <w:vAlign w:val="bottom"/>
            <w:tcBorders>
              <w:bottom w:val="single" w:sz="8" w:color="auto"/>
            </w:tcBorders>
          </w:tcPr>
          <w:p>
            <w:pPr>
              <w:spacing w:after="0"/>
              <w:rPr>
                <w:sz w:val="15"/>
                <w:szCs w:val="15"/>
                <w:color w:val="auto"/>
              </w:rPr>
            </w:pPr>
          </w:p>
        </w:tc>
        <w:tc>
          <w:tcPr>
            <w:tcW w:w="3960" w:type="dxa"/>
            <w:vAlign w:val="bottom"/>
            <w:tcBorders>
              <w:bottom w:val="single" w:sz="8" w:color="auto"/>
              <w:right w:val="single" w:sz="8" w:color="auto"/>
            </w:tcBorders>
            <w:gridSpan w:val="2"/>
          </w:tcPr>
          <w:p>
            <w:pPr>
              <w:jc w:val="center"/>
              <w:ind w:right="1308"/>
              <w:spacing w:after="0"/>
              <w:rPr>
                <w:sz w:val="20"/>
                <w:szCs w:val="20"/>
                <w:color w:val="auto"/>
              </w:rPr>
            </w:pPr>
            <w:r>
              <w:rPr>
                <w:rFonts w:ascii="Arial" w:cs="Arial" w:eastAsia="Arial" w:hAnsi="Arial"/>
                <w:sz w:val="14"/>
                <w:szCs w:val="14"/>
                <w:color w:val="auto"/>
                <w:w w:val="91"/>
              </w:rPr>
              <w:t>Name of each exchange on which registered</w:t>
            </w:r>
          </w:p>
        </w:tc>
      </w:tr>
      <w:tr>
        <w:trPr>
          <w:trHeight w:val="183"/>
        </w:trPr>
        <w:tc>
          <w:tcPr>
            <w:tcW w:w="38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Common Stock, par value $.01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CSV</w:t>
            </w:r>
          </w:p>
        </w:tc>
        <w:tc>
          <w:tcPr>
            <w:tcW w:w="1360" w:type="dxa"/>
            <w:vAlign w:val="bottom"/>
            <w:tcBorders>
              <w:bottom w:val="single" w:sz="8" w:color="auto"/>
            </w:tcBorders>
          </w:tcPr>
          <w:p>
            <w:pPr>
              <w:spacing w:after="0"/>
              <w:rPr>
                <w:sz w:val="15"/>
                <w:szCs w:val="15"/>
                <w:color w:val="auto"/>
              </w:rPr>
            </w:pPr>
          </w:p>
        </w:tc>
        <w:tc>
          <w:tcPr>
            <w:tcW w:w="3960" w:type="dxa"/>
            <w:vAlign w:val="bottom"/>
            <w:tcBorders>
              <w:bottom w:val="single" w:sz="8" w:color="auto"/>
              <w:right w:val="single" w:sz="8" w:color="auto"/>
            </w:tcBorders>
            <w:gridSpan w:val="2"/>
          </w:tcPr>
          <w:p>
            <w:pPr>
              <w:jc w:val="center"/>
              <w:ind w:right="1328"/>
              <w:spacing w:after="0"/>
              <w:rPr>
                <w:sz w:val="20"/>
                <w:szCs w:val="20"/>
                <w:color w:val="auto"/>
              </w:rPr>
            </w:pPr>
            <w:r>
              <w:rPr>
                <w:rFonts w:ascii="Arial" w:cs="Arial" w:eastAsia="Arial" w:hAnsi="Arial"/>
                <w:sz w:val="14"/>
                <w:szCs w:val="14"/>
                <w:color w:val="auto"/>
                <w:w w:val="94"/>
              </w:rPr>
              <w:t>New York Stock Exchange</w:t>
            </w:r>
          </w:p>
        </w:tc>
      </w:tr>
    </w:tbl>
    <w:p>
      <w:pPr>
        <w:spacing w:after="0" w:line="116" w:lineRule="exact"/>
        <w:rPr>
          <w:sz w:val="24"/>
          <w:szCs w:val="24"/>
          <w:color w:val="auto"/>
        </w:rPr>
      </w:pPr>
    </w:p>
    <w:p>
      <w:pPr>
        <w:jc w:val="both"/>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right="20"/>
        <w:spacing w:after="0" w:line="197" w:lineRule="exact"/>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w:t>
      </w:r>
      <w:r>
        <w:rPr>
          <w:rFonts w:ascii="Arial" w:cs="Arial" w:eastAsia="Arial" w:hAnsi="Arial"/>
          <w:sz w:val="17"/>
          <w:szCs w:val="17"/>
          <w:color w:val="211D1E"/>
        </w:rPr>
        <w:t>§</w:t>
      </w:r>
      <w:r>
        <w:rPr>
          <w:rFonts w:ascii="Arial" w:cs="Arial" w:eastAsia="Arial" w:hAnsi="Arial"/>
          <w:sz w:val="14"/>
          <w:szCs w:val="14"/>
          <w:color w:val="auto"/>
        </w:rPr>
        <w:t xml:space="preserve">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1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206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160" w:type="dxa"/>
            <w:vAlign w:val="bottom"/>
          </w:tcPr>
          <w:p>
            <w:pPr>
              <w:ind w:left="2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20" w:type="dxa"/>
            <w:vAlign w:val="bottom"/>
          </w:tcPr>
          <w:p>
            <w:pPr>
              <w:ind w:left="206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920" w:type="dxa"/>
            <w:vAlign w:val="bottom"/>
          </w:tcPr>
          <w:p>
            <w:pPr>
              <w:ind w:left="206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$.01 par value per share, outstanding as of April 30, 2021 was 18,048,354.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6"/>
          </w:tcPr>
          <w:p>
            <w:pPr>
              <w:ind w:left="82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tcPr>
          <w:p>
            <w:pPr>
              <w:spacing w:after="0"/>
              <w:rPr>
                <w:sz w:val="18"/>
                <w:szCs w:val="18"/>
                <w:color w:val="auto"/>
              </w:rPr>
            </w:pPr>
          </w:p>
        </w:tc>
        <w:tc>
          <w:tcPr>
            <w:tcW w:w="9820" w:type="dxa"/>
            <w:vAlign w:val="bottom"/>
            <w:gridSpan w:val="22"/>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8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780" w:type="dxa"/>
            <w:vAlign w:val="bottom"/>
            <w:tcBorders>
              <w:top w:val="single" w:sz="8" w:color="0000FF"/>
            </w:tcBorders>
            <w:gridSpan w:val="1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6660" w:type="dxa"/>
            <w:vAlign w:val="bottom"/>
            <w:gridSpan w:val="10"/>
          </w:tcPr>
          <w:p>
            <w:pPr>
              <w:spacing w:after="0"/>
              <w:rPr>
                <w:sz w:val="22"/>
                <w:szCs w:val="22"/>
                <w:color w:val="auto"/>
              </w:rPr>
            </w:pPr>
          </w:p>
        </w:tc>
        <w:tc>
          <w:tcPr>
            <w:tcW w:w="1400" w:type="dxa"/>
            <w:vAlign w:val="bottom"/>
            <w:gridSpan w:val="6"/>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3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Balance Sheet as of December 31, 2020 and March 31, 2021</w:t>
              </w:r>
            </w:hyperlink>
          </w:p>
        </w:tc>
        <w:tc>
          <w:tcPr>
            <w:tcW w:w="3800" w:type="dxa"/>
            <w:vAlign w:val="bottom"/>
            <w:gridSpan w:val="5"/>
          </w:tcPr>
          <w:p>
            <w:pPr>
              <w:spacing w:after="0"/>
              <w:rPr>
                <w:sz w:val="22"/>
                <w:szCs w:val="22"/>
                <w:color w:val="auto"/>
              </w:rPr>
            </w:pPr>
          </w:p>
        </w:tc>
        <w:tc>
          <w:tcPr>
            <w:tcW w:w="126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7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Operations for the Three Months ended March 31, 2020 and 2021</w:t>
              </w:r>
            </w:hyperlink>
          </w:p>
        </w:tc>
        <w:tc>
          <w:tcPr>
            <w:tcW w:w="2400" w:type="dxa"/>
            <w:vAlign w:val="bottom"/>
            <w:gridSpan w:val="4"/>
          </w:tcPr>
          <w:p>
            <w:pPr>
              <w:spacing w:after="0"/>
              <w:rPr>
                <w:sz w:val="22"/>
                <w:szCs w:val="22"/>
                <w:color w:val="auto"/>
              </w:rPr>
            </w:pPr>
          </w:p>
        </w:tc>
        <w:tc>
          <w:tcPr>
            <w:tcW w:w="126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2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Cash Flows for the Three Months ended March 31, 2020 and 2021</w:t>
              </w:r>
            </w:hyperlink>
          </w:p>
        </w:tc>
        <w:tc>
          <w:tcPr>
            <w:tcW w:w="2340" w:type="dxa"/>
            <w:vAlign w:val="bottom"/>
            <w:gridSpan w:val="3"/>
          </w:tcPr>
          <w:p>
            <w:pPr>
              <w:spacing w:after="0"/>
              <w:rPr>
                <w:sz w:val="22"/>
                <w:szCs w:val="22"/>
                <w:color w:val="auto"/>
              </w:rPr>
            </w:pPr>
          </w:p>
        </w:tc>
        <w:tc>
          <w:tcPr>
            <w:tcW w:w="126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32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Consolidated Statements of Changes in Stockholders' Equity for the Three Months ended March 31, 2020 and 2021</w:t>
              </w:r>
            </w:hyperlink>
          </w:p>
        </w:tc>
        <w:tc>
          <w:tcPr>
            <w:tcW w:w="840" w:type="dxa"/>
            <w:vAlign w:val="bottom"/>
          </w:tcPr>
          <w:p>
            <w:pPr>
              <w:spacing w:after="0"/>
              <w:rPr>
                <w:sz w:val="22"/>
                <w:szCs w:val="22"/>
                <w:color w:val="auto"/>
              </w:rPr>
            </w:pPr>
          </w:p>
        </w:tc>
        <w:tc>
          <w:tcPr>
            <w:tcW w:w="126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6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Notes to Consolidated Financial Statements</w:t>
              </w:r>
            </w:hyperlink>
          </w:p>
        </w:tc>
        <w:tc>
          <w:tcPr>
            <w:tcW w:w="1400" w:type="dxa"/>
            <w:vAlign w:val="bottom"/>
            <w:gridSpan w:val="6"/>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80" w:type="dxa"/>
            <w:vAlign w:val="bottom"/>
            <w:gridSpan w:val="12"/>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Cautionary Statement on Forward–Looking Statements</w:t>
              </w:r>
            </w:hyperlink>
          </w:p>
        </w:tc>
        <w:tc>
          <w:tcPr>
            <w:tcW w:w="5180" w:type="dxa"/>
            <w:vAlign w:val="bottom"/>
            <w:gridSpan w:val="8"/>
          </w:tcPr>
          <w:p>
            <w:pPr>
              <w:spacing w:after="0"/>
              <w:rPr>
                <w:sz w:val="22"/>
                <w:szCs w:val="22"/>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40</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40" w:type="dxa"/>
            <w:vAlign w:val="bottom"/>
            <w:gridSpan w:val="21"/>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2. Management’s Discussion and Analysis of Financial Condition and Results of Operations</w:t>
              </w:r>
            </w:hyperlink>
          </w:p>
        </w:tc>
        <w:tc>
          <w:tcPr>
            <w:tcW w:w="136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42</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0" w:type="dxa"/>
            <w:vAlign w:val="bottom"/>
            <w:gridSpan w:val="15"/>
          </w:tcPr>
          <w:p>
            <w:pPr>
              <w:spacing w:after="0"/>
              <w:rPr>
                <w:rFonts w:ascii="Arial" w:cs="Arial" w:eastAsia="Arial" w:hAnsi="Arial"/>
                <w:sz w:val="18"/>
                <w:szCs w:val="18"/>
                <w:b w:val="1"/>
                <w:bCs w:val="1"/>
                <w:color w:val="0000FF"/>
                <w:w w:val="90"/>
              </w:rPr>
            </w:pPr>
            <w:hyperlink w:anchor="page53">
              <w:r>
                <w:rPr>
                  <w:rFonts w:ascii="Arial" w:cs="Arial" w:eastAsia="Arial" w:hAnsi="Arial"/>
                  <w:sz w:val="18"/>
                  <w:szCs w:val="18"/>
                  <w:b w:val="1"/>
                  <w:bCs w:val="1"/>
                  <w:color w:val="0000FF"/>
                  <w:w w:val="90"/>
                </w:rPr>
                <w:t>Item 3. Quantitative and Qualitative Disclosures About Market Risk</w:t>
              </w:r>
            </w:hyperlink>
          </w:p>
        </w:tc>
        <w:tc>
          <w:tcPr>
            <w:tcW w:w="2160" w:type="dxa"/>
            <w:vAlign w:val="bottom"/>
            <w:gridSpan w:val="4"/>
          </w:tcPr>
          <w:p>
            <w:pPr>
              <w:spacing w:after="0"/>
              <w:rPr>
                <w:sz w:val="22"/>
                <w:szCs w:val="22"/>
                <w:color w:val="auto"/>
              </w:rPr>
            </w:pPr>
          </w:p>
        </w:tc>
        <w:tc>
          <w:tcPr>
            <w:tcW w:w="2080" w:type="dxa"/>
            <w:vAlign w:val="bottom"/>
            <w:gridSpan w:val="2"/>
          </w:tcPr>
          <w:p>
            <w:pPr>
              <w:spacing w:after="0"/>
              <w:rPr>
                <w:sz w:val="22"/>
                <w:szCs w:val="22"/>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57</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0" w:type="dxa"/>
            <w:vAlign w:val="bottom"/>
            <w:gridSpan w:val="15"/>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Item 4. Controls and Procedures</w:t>
              </w:r>
            </w:hyperlink>
          </w:p>
        </w:tc>
        <w:tc>
          <w:tcPr>
            <w:tcW w:w="4240" w:type="dxa"/>
            <w:vAlign w:val="bottom"/>
            <w:gridSpan w:val="6"/>
          </w:tcPr>
          <w:p>
            <w:pPr>
              <w:spacing w:after="0"/>
              <w:rPr>
                <w:sz w:val="22"/>
                <w:szCs w:val="22"/>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58</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20" w:type="dxa"/>
            <w:vAlign w:val="bottom"/>
            <w:gridSpan w:val="22"/>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PART II – OTHER INFORMATION</w:t>
              </w:r>
            </w:hyperlink>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940" w:type="dxa"/>
            <w:vAlign w:val="bottom"/>
            <w:tcBorders>
              <w:top w:val="single" w:sz="8" w:color="0000FF"/>
            </w:tcBorders>
            <w:gridSpan w:val="6"/>
          </w:tcPr>
          <w:p>
            <w:pPr>
              <w:spacing w:after="0"/>
              <w:rPr>
                <w:rFonts w:ascii="Arial" w:cs="Arial" w:eastAsia="Arial" w:hAnsi="Arial"/>
                <w:sz w:val="18"/>
                <w:szCs w:val="18"/>
                <w:b w:val="1"/>
                <w:bCs w:val="1"/>
                <w:color w:val="0000FF"/>
                <w:w w:val="86"/>
              </w:rPr>
            </w:pPr>
            <w:hyperlink w:anchor="page55">
              <w:r>
                <w:rPr>
                  <w:rFonts w:ascii="Arial" w:cs="Arial" w:eastAsia="Arial" w:hAnsi="Arial"/>
                  <w:sz w:val="18"/>
                  <w:szCs w:val="18"/>
                  <w:b w:val="1"/>
                  <w:bCs w:val="1"/>
                  <w:color w:val="0000FF"/>
                  <w:w w:val="86"/>
                </w:rPr>
                <w:t>Item 1. Legal Proceedings</w:t>
              </w:r>
            </w:hyperlink>
          </w:p>
        </w:tc>
        <w:tc>
          <w:tcPr>
            <w:tcW w:w="540" w:type="dxa"/>
            <w:vAlign w:val="bottom"/>
            <w:tcBorders>
              <w:top w:val="single" w:sz="8" w:color="0000FF"/>
            </w:tcBorders>
            <w:gridSpan w:val="4"/>
          </w:tcPr>
          <w:p>
            <w:pPr>
              <w:spacing w:after="0"/>
              <w:rPr>
                <w:sz w:val="22"/>
                <w:szCs w:val="22"/>
                <w:color w:val="auto"/>
              </w:rPr>
            </w:pPr>
          </w:p>
        </w:tc>
        <w:tc>
          <w:tcPr>
            <w:tcW w:w="6960" w:type="dxa"/>
            <w:vAlign w:val="bottom"/>
            <w:gridSpan w:val="11"/>
          </w:tcPr>
          <w:p>
            <w:pPr>
              <w:spacing w:after="0"/>
              <w:rPr>
                <w:sz w:val="22"/>
                <w:szCs w:val="22"/>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59</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40" w:type="dxa"/>
            <w:vAlign w:val="bottom"/>
            <w:gridSpan w:val="5"/>
          </w:tcPr>
          <w:p>
            <w:pPr>
              <w:spacing w:after="0"/>
              <w:rPr>
                <w:rFonts w:ascii="Arial" w:cs="Arial" w:eastAsia="Arial" w:hAnsi="Arial"/>
                <w:sz w:val="18"/>
                <w:szCs w:val="18"/>
                <w:b w:val="1"/>
                <w:bCs w:val="1"/>
                <w:color w:val="0000FF"/>
                <w:w w:val="88"/>
              </w:rPr>
            </w:pPr>
            <w:hyperlink w:anchor="page55">
              <w:r>
                <w:rPr>
                  <w:rFonts w:ascii="Arial" w:cs="Arial" w:eastAsia="Arial" w:hAnsi="Arial"/>
                  <w:sz w:val="18"/>
                  <w:szCs w:val="18"/>
                  <w:b w:val="1"/>
                  <w:bCs w:val="1"/>
                  <w:color w:val="0000FF"/>
                  <w:w w:val="88"/>
                </w:rPr>
                <w:t>Item 1A. Risk Factors</w:t>
              </w:r>
            </w:hyperlink>
          </w:p>
        </w:tc>
        <w:tc>
          <w:tcPr>
            <w:tcW w:w="300" w:type="dxa"/>
            <w:vAlign w:val="bottom"/>
          </w:tcPr>
          <w:p>
            <w:pPr>
              <w:spacing w:after="0"/>
              <w:rPr>
                <w:sz w:val="22"/>
                <w:szCs w:val="22"/>
                <w:color w:val="auto"/>
              </w:rPr>
            </w:pPr>
          </w:p>
        </w:tc>
        <w:tc>
          <w:tcPr>
            <w:tcW w:w="7500" w:type="dxa"/>
            <w:vAlign w:val="bottom"/>
            <w:gridSpan w:val="15"/>
          </w:tcPr>
          <w:p>
            <w:pPr>
              <w:spacing w:after="0"/>
              <w:rPr>
                <w:sz w:val="22"/>
                <w:szCs w:val="22"/>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59</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40" w:type="dxa"/>
            <w:vAlign w:val="bottom"/>
            <w:gridSpan w:val="21"/>
          </w:tcPr>
          <w:p>
            <w:pPr>
              <w:spacing w:after="0"/>
              <w:rPr>
                <w:sz w:val="20"/>
                <w:szCs w:val="20"/>
                <w:color w:val="auto"/>
              </w:rPr>
            </w:pPr>
            <w:r>
              <w:rPr>
                <w:rFonts w:ascii="Arial" w:cs="Arial" w:eastAsia="Arial" w:hAnsi="Arial"/>
                <w:sz w:val="18"/>
                <w:szCs w:val="18"/>
                <w:b w:val="1"/>
                <w:bCs w:val="1"/>
                <w:color w:val="0000FF"/>
              </w:rPr>
              <w:t>Item 2. Unregistered Sales of Equity Securities and Use of Proceeds</w:t>
            </w:r>
          </w:p>
        </w:tc>
        <w:tc>
          <w:tcPr>
            <w:tcW w:w="1360" w:type="dxa"/>
            <w:vAlign w:val="bottom"/>
            <w:gridSpan w:val="5"/>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60</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980" w:type="dxa"/>
            <w:vAlign w:val="bottom"/>
            <w:gridSpan w:val="12"/>
          </w:tcPr>
          <w:p>
            <w:pPr>
              <w:spacing w:after="0"/>
              <w:rPr>
                <w:sz w:val="20"/>
                <w:szCs w:val="20"/>
                <w:color w:val="auto"/>
              </w:rPr>
            </w:pPr>
            <w:r>
              <w:rPr>
                <w:rFonts w:ascii="Arial" w:cs="Arial" w:eastAsia="Arial" w:hAnsi="Arial"/>
                <w:sz w:val="18"/>
                <w:szCs w:val="18"/>
                <w:b w:val="1"/>
                <w:bCs w:val="1"/>
                <w:color w:val="0000FF"/>
                <w:w w:val="88"/>
              </w:rPr>
              <w:t>Item 3. Defaults Upon Senior Securities</w:t>
            </w:r>
          </w:p>
        </w:tc>
        <w:tc>
          <w:tcPr>
            <w:tcW w:w="2120" w:type="dxa"/>
            <w:vAlign w:val="bottom"/>
            <w:gridSpan w:val="2"/>
          </w:tcPr>
          <w:p>
            <w:pPr>
              <w:spacing w:after="0"/>
              <w:rPr>
                <w:sz w:val="22"/>
                <w:szCs w:val="22"/>
                <w:color w:val="auto"/>
              </w:rPr>
            </w:pPr>
          </w:p>
        </w:tc>
        <w:tc>
          <w:tcPr>
            <w:tcW w:w="4340" w:type="dxa"/>
            <w:vAlign w:val="bottom"/>
            <w:gridSpan w:val="7"/>
          </w:tcPr>
          <w:p>
            <w:pPr>
              <w:spacing w:after="0"/>
              <w:rPr>
                <w:sz w:val="22"/>
                <w:szCs w:val="22"/>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60</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380" w:type="dxa"/>
            <w:vAlign w:val="bottom"/>
            <w:gridSpan w:val="9"/>
          </w:tcPr>
          <w:p>
            <w:pPr>
              <w:spacing w:after="0"/>
              <w:rPr>
                <w:sz w:val="20"/>
                <w:szCs w:val="20"/>
                <w:color w:val="auto"/>
              </w:rPr>
            </w:pPr>
            <w:r>
              <w:rPr>
                <w:rFonts w:ascii="Arial" w:cs="Arial" w:eastAsia="Arial" w:hAnsi="Arial"/>
                <w:sz w:val="18"/>
                <w:szCs w:val="18"/>
                <w:b w:val="1"/>
                <w:bCs w:val="1"/>
                <w:color w:val="0000FF"/>
                <w:w w:val="86"/>
              </w:rPr>
              <w:t>Item 4. Mine Safety Disclosures</w:t>
            </w:r>
          </w:p>
        </w:tc>
        <w:tc>
          <w:tcPr>
            <w:tcW w:w="600" w:type="dxa"/>
            <w:vAlign w:val="bottom"/>
            <w:gridSpan w:val="3"/>
          </w:tcPr>
          <w:p>
            <w:pPr>
              <w:spacing w:after="0"/>
              <w:rPr>
                <w:sz w:val="22"/>
                <w:szCs w:val="22"/>
                <w:color w:val="auto"/>
              </w:rPr>
            </w:pPr>
          </w:p>
        </w:tc>
        <w:tc>
          <w:tcPr>
            <w:tcW w:w="6460" w:type="dxa"/>
            <w:vAlign w:val="bottom"/>
            <w:gridSpan w:val="9"/>
          </w:tcPr>
          <w:p>
            <w:pPr>
              <w:spacing w:after="0"/>
              <w:rPr>
                <w:sz w:val="22"/>
                <w:szCs w:val="22"/>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60</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60" w:type="dxa"/>
            <w:vAlign w:val="bottom"/>
            <w:gridSpan w:val="1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7"/>
          </w:tcPr>
          <w:p>
            <w:pPr>
              <w:spacing w:after="0"/>
              <w:rPr>
                <w:sz w:val="20"/>
                <w:szCs w:val="20"/>
                <w:color w:val="auto"/>
              </w:rPr>
            </w:pPr>
            <w:r>
              <w:rPr>
                <w:rFonts w:ascii="Arial" w:cs="Arial" w:eastAsia="Arial" w:hAnsi="Arial"/>
                <w:sz w:val="18"/>
                <w:szCs w:val="18"/>
                <w:b w:val="1"/>
                <w:bCs w:val="1"/>
                <w:color w:val="0000FF"/>
                <w:w w:val="91"/>
              </w:rPr>
              <w:t>Item 5. Other Information</w:t>
            </w:r>
          </w:p>
        </w:tc>
        <w:tc>
          <w:tcPr>
            <w:tcW w:w="400" w:type="dxa"/>
            <w:vAlign w:val="bottom"/>
            <w:gridSpan w:val="2"/>
          </w:tcPr>
          <w:p>
            <w:pPr>
              <w:spacing w:after="0"/>
              <w:rPr>
                <w:sz w:val="24"/>
                <w:szCs w:val="24"/>
                <w:color w:val="auto"/>
              </w:rPr>
            </w:pPr>
          </w:p>
        </w:tc>
        <w:tc>
          <w:tcPr>
            <w:tcW w:w="7060" w:type="dxa"/>
            <w:vAlign w:val="bottom"/>
            <w:gridSpan w:val="12"/>
          </w:tcPr>
          <w:p>
            <w:pPr>
              <w:spacing w:after="0"/>
              <w:rPr>
                <w:sz w:val="24"/>
                <w:szCs w:val="24"/>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60</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460" w:type="dxa"/>
            <w:vAlign w:val="bottom"/>
            <w:gridSpan w:val="1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3"/>
          </w:tcPr>
          <w:p>
            <w:pPr>
              <w:spacing w:after="0"/>
              <w:rPr>
                <w:rFonts w:ascii="Arial" w:cs="Arial" w:eastAsia="Arial" w:hAnsi="Arial"/>
                <w:sz w:val="18"/>
                <w:szCs w:val="18"/>
                <w:b w:val="1"/>
                <w:bCs w:val="1"/>
                <w:color w:val="0000FF"/>
                <w:w w:val="87"/>
              </w:rPr>
            </w:pPr>
            <w:hyperlink w:anchor="page56">
              <w:r>
                <w:rPr>
                  <w:rFonts w:ascii="Arial" w:cs="Arial" w:eastAsia="Arial" w:hAnsi="Arial"/>
                  <w:sz w:val="18"/>
                  <w:szCs w:val="18"/>
                  <w:b w:val="1"/>
                  <w:bCs w:val="1"/>
                  <w:color w:val="0000FF"/>
                  <w:w w:val="87"/>
                </w:rPr>
                <w:t>Item 6. Exhibits</w:t>
              </w:r>
            </w:hyperlink>
          </w:p>
        </w:tc>
        <w:tc>
          <w:tcPr>
            <w:tcW w:w="800" w:type="dxa"/>
            <w:vAlign w:val="bottom"/>
            <w:gridSpan w:val="4"/>
          </w:tcPr>
          <w:p>
            <w:pPr>
              <w:spacing w:after="0"/>
              <w:rPr>
                <w:sz w:val="24"/>
                <w:szCs w:val="24"/>
                <w:color w:val="auto"/>
              </w:rPr>
            </w:pPr>
          </w:p>
        </w:tc>
        <w:tc>
          <w:tcPr>
            <w:tcW w:w="7460" w:type="dxa"/>
            <w:vAlign w:val="bottom"/>
            <w:gridSpan w:val="14"/>
          </w:tcPr>
          <w:p>
            <w:pPr>
              <w:spacing w:after="0"/>
              <w:rPr>
                <w:sz w:val="24"/>
                <w:szCs w:val="24"/>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60</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20" w:type="dxa"/>
            <w:vAlign w:val="bottom"/>
            <w:gridSpan w:val="17"/>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20" w:type="dxa"/>
            <w:vAlign w:val="bottom"/>
            <w:gridSpan w:val="22"/>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SIGNATURE</w:t>
              </w:r>
            </w:hyperlink>
          </w:p>
        </w:tc>
        <w:tc>
          <w:tcPr>
            <w:tcW w:w="1360" w:type="dxa"/>
            <w:vAlign w:val="bottom"/>
            <w:gridSpan w:val="5"/>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61</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20" w:type="dxa"/>
            <w:vAlign w:val="bottom"/>
            <w:gridSpan w:val="17"/>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800" w:type="dxa"/>
            <w:vAlign w:val="bottom"/>
            <w:gridSpan w:val="5"/>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INDEX OF EXHIBITS</w:t>
              </w:r>
            </w:hyperlink>
          </w:p>
        </w:tc>
        <w:tc>
          <w:tcPr>
            <w:tcW w:w="8020" w:type="dxa"/>
            <w:vAlign w:val="bottom"/>
            <w:gridSpan w:val="17"/>
          </w:tcPr>
          <w:p>
            <w:pPr>
              <w:spacing w:after="0"/>
              <w:rPr>
                <w:sz w:val="22"/>
                <w:szCs w:val="22"/>
                <w:color w:val="auto"/>
              </w:rPr>
            </w:pPr>
          </w:p>
        </w:tc>
        <w:tc>
          <w:tcPr>
            <w:tcW w:w="1360" w:type="dxa"/>
            <w:vAlign w:val="bottom"/>
            <w:gridSpan w:val="5"/>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62</w:t>
              </w:r>
            </w:hyperlink>
          </w:p>
        </w:tc>
        <w:tc>
          <w:tcPr>
            <w:tcW w:w="40" w:type="dxa"/>
            <w:vAlign w:val="bottom"/>
          </w:tcPr>
          <w:p>
            <w:pPr>
              <w:spacing w:after="0"/>
              <w:rPr>
                <w:sz w:val="22"/>
                <w:szCs w:val="22"/>
                <w:color w:val="auto"/>
              </w:rPr>
            </w:pPr>
          </w:p>
        </w:tc>
      </w:tr>
      <w:tr>
        <w:trPr>
          <w:trHeight w:val="871"/>
        </w:trPr>
        <w:tc>
          <w:tcPr>
            <w:tcW w:w="20" w:type="dxa"/>
            <w:vAlign w:val="bottom"/>
          </w:tcPr>
          <w:p>
            <w:pPr>
              <w:spacing w:after="0"/>
              <w:rPr>
                <w:sz w:val="24"/>
                <w:szCs w:val="24"/>
                <w:color w:val="auto"/>
              </w:rPr>
            </w:pPr>
          </w:p>
        </w:tc>
        <w:tc>
          <w:tcPr>
            <w:tcW w:w="1800" w:type="dxa"/>
            <w:vAlign w:val="bottom"/>
            <w:tcBorders>
              <w:top w:val="single" w:sz="8" w:color="0000FF"/>
            </w:tcBorders>
            <w:gridSpan w:val="5"/>
          </w:tcPr>
          <w:p>
            <w:pPr>
              <w:spacing w:after="0"/>
              <w:rPr>
                <w:sz w:val="24"/>
                <w:szCs w:val="24"/>
                <w:color w:val="auto"/>
              </w:rPr>
            </w:pPr>
          </w:p>
        </w:tc>
        <w:tc>
          <w:tcPr>
            <w:tcW w:w="4220" w:type="dxa"/>
            <w:vAlign w:val="bottom"/>
            <w:gridSpan w:val="12"/>
          </w:tcPr>
          <w:p>
            <w:pPr>
              <w:jc w:val="right"/>
              <w:ind w:right="260"/>
              <w:spacing w:after="0"/>
              <w:rPr>
                <w:sz w:val="20"/>
                <w:szCs w:val="20"/>
                <w:color w:val="auto"/>
              </w:rPr>
            </w:pPr>
            <w:r>
              <w:rPr>
                <w:rFonts w:ascii="Arial" w:cs="Arial" w:eastAsia="Arial" w:hAnsi="Arial"/>
                <w:sz w:val="18"/>
                <w:szCs w:val="18"/>
                <w:color w:val="auto"/>
              </w:rPr>
              <w:t>- 2 -</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80" w:type="dxa"/>
            <w:vAlign w:val="bottom"/>
          </w:tcPr>
          <w:p>
            <w:pPr>
              <w:jc w:val="center"/>
              <w:ind w:left="333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58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8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CARRIAGE SERVICES, INC.</w:t>
            </w: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8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CONSOLIDATED BALANCE SHEET</w:t>
            </w: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80" w:type="dxa"/>
            <w:vAlign w:val="bottom"/>
          </w:tcPr>
          <w:p>
            <w:pPr>
              <w:jc w:val="center"/>
              <w:ind w:left="3330"/>
              <w:spacing w:after="0"/>
              <w:rPr>
                <w:sz w:val="20"/>
                <w:szCs w:val="20"/>
                <w:color w:val="auto"/>
              </w:rPr>
            </w:pPr>
            <w:r>
              <w:rPr>
                <w:rFonts w:ascii="Arial" w:cs="Arial" w:eastAsia="Arial" w:hAnsi="Arial"/>
                <w:sz w:val="17"/>
                <w:szCs w:val="17"/>
                <w:b w:val="1"/>
                <w:bCs w:val="1"/>
                <w:color w:val="auto"/>
                <w:w w:val="88"/>
              </w:rPr>
              <w:t>(in thousands, except share data)</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65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580" w:type="dxa"/>
            <w:vAlign w:val="bottom"/>
            <w:shd w:val="clear" w:color="auto" w:fill="CCEEFF"/>
          </w:tcPr>
          <w:p>
            <w:pPr>
              <w:ind w:left="266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25,103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Preneed cemetery trust investments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86,604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92,363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Preneed funeral trust investments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Preneed cemetery receivables,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21,081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from preneed trusts,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269,051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267,055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Cemetery property,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392,978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391,972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and other non-current assets, net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21,201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Cemetery perpetual care trust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70,828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8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1,145,825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58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debt and lease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Convertible subordinated notes due 2021</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Acquisition debt, net of current portion</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Senior notes due 2026</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395,968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396,122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Obligations under finance leases, net of current portion</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Obligations under operating leases, net of current portion</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20,302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preneed cemetery revenue</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Deferred preneed funeral revenue</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27,992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preneed cemetery receipts held in trust</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Deferred preneed funeral receipts held in trust</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101,235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Care trusts’ corpus</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905,323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Common stock, $0.01 par value; 80,000,000 shares authorized and 26,020,494 and 26,073,693</w:t>
            </w:r>
          </w:p>
        </w:tc>
        <w:tc>
          <w:tcPr>
            <w:tcW w:w="34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shares issued, respectively and 17,995,155 and 18,048,354 shares outstanding, respectively</w:t>
            </w:r>
          </w:p>
        </w:tc>
        <w:tc>
          <w:tcPr>
            <w:tcW w:w="34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239,989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Treasury stock, at cost; 8,025,339 at both December 31, 2020 and March 31, 2021</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(102,050)</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240,502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8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1,145,825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10"/>
        </w:trPr>
        <w:tc>
          <w:tcPr>
            <w:tcW w:w="80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40,732</w:t>
            </w:r>
          </w:p>
        </w:tc>
        <w:tc>
          <w:tcPr>
            <w:tcW w:w="2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47,757</w:t>
            </w: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merchandise revenue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31,271</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41,896</w:t>
            </w:r>
          </w:p>
        </w:tc>
      </w:tr>
      <w:tr>
        <w:trPr>
          <w:trHeight w:val="229"/>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w:t>
            </w:r>
          </w:p>
        </w:tc>
      </w:tr>
      <w:tr>
        <w:trPr>
          <w:trHeight w:val="223"/>
        </w:trPr>
        <w:tc>
          <w:tcPr>
            <w:tcW w:w="8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77,490</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96,637</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Field costs and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20,967</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Cost of merchandise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25,063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28,520</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Cemetery property amortization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Field depreciation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3,136</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and unallocated funeral and cemetery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r>
      <w:tr>
        <w:trPr>
          <w:trHeight w:val="229"/>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r>
      <w:tr>
        <w:trPr>
          <w:trHeight w:val="223"/>
        </w:trPr>
        <w:tc>
          <w:tcPr>
            <w:tcW w:w="8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54,319</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23,171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35,061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costs and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General, administrative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8,834</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office depreciation and amortization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(gain) on divestitures and impairments charges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14,693</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26,246</w:t>
            </w:r>
          </w:p>
        </w:tc>
      </w:tr>
      <w:tr>
        <w:trPr>
          <w:trHeight w:val="216"/>
        </w:trPr>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Accretion of discount on convertible subordinated notes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(6,347)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18,574</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(expense) for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adjustment related to discrete items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benefit (expense)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2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and common equivalent shares outstanding: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17,805</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17,965</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9"/>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and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10"/>
        </w:trPr>
        <w:tc>
          <w:tcPr>
            <w:tcW w:w="8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2"/>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(4,197)</w:t>
            </w:r>
          </w:p>
        </w:tc>
        <w:tc>
          <w:tcPr>
            <w:tcW w:w="2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12,933</w:t>
            </w:r>
          </w:p>
        </w:tc>
      </w:tr>
      <w:tr>
        <w:trPr>
          <w:trHeight w:val="229"/>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4,942</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Provision for bad debt and credit losses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capitalized commissions and non-compete agreements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Accretion of discount on convertible subordinated notes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Accretion of debt discount, net of debt premium on senior notes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Net loss (gain) on divestiture and impairment charges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14,693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on disposal of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48"/>
        </w:trPr>
        <w:tc>
          <w:tcPr>
            <w:tcW w:w="8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Changes in operating assets and liabilities that provided (required) cash:</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and preneed receivables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Inventories, prepaid and other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(8,748)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Intangible and other non-current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Preneed funeral and cemetery trust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(2,952)</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6,853</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preneed funeral and cemetery revenue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9"/>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Deferred preneed funeral and cemetery receipts held in trust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r>
      <w:tr>
        <w:trPr>
          <w:trHeight w:val="223"/>
        </w:trPr>
        <w:tc>
          <w:tcPr>
            <w:tcW w:w="8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26,811</w:t>
            </w:r>
          </w:p>
        </w:tc>
      </w:tr>
      <w:tr>
        <w:trPr>
          <w:trHeight w:val="148"/>
        </w:trPr>
        <w:tc>
          <w:tcPr>
            <w:tcW w:w="8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Acquisition of businesses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 of real estate</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Proceeds from divestitures and sale of other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r>
      <w:tr>
        <w:trPr>
          <w:trHeight w:val="223"/>
        </w:trPr>
        <w:tc>
          <w:tcPr>
            <w:tcW w:w="8020" w:type="dxa"/>
            <w:vAlign w:val="bottom"/>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(30,660)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148"/>
        </w:trPr>
        <w:tc>
          <w:tcPr>
            <w:tcW w:w="8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Borrowings from the credit facility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Payments against the credit facility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(33,000)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(34,068)</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Conversions and maturity of the convertible subordinated notes due 2021</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Payments of debt issuance costs and transaction costs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Payments on acquisition debt and obligations under finance leases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Payments on contingent consideration recorded at acquisition date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the exercise of stock options and employee stock purchase plan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8020" w:type="dxa"/>
            <w:vAlign w:val="bottom"/>
          </w:tcPr>
          <w:p>
            <w:pPr>
              <w:ind w:left="460"/>
              <w:spacing w:after="0"/>
              <w:rPr>
                <w:sz w:val="20"/>
                <w:szCs w:val="20"/>
                <w:color w:val="auto"/>
              </w:rPr>
            </w:pPr>
            <w:r>
              <w:rPr>
                <w:rFonts w:ascii="Arial" w:cs="Arial" w:eastAsia="Arial" w:hAnsi="Arial"/>
                <w:sz w:val="18"/>
                <w:szCs w:val="18"/>
                <w:color w:val="auto"/>
              </w:rPr>
              <w:t>Taxes paid on restricted stock vestings and exercise of stock options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Dividends paid on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3"/>
        </w:trPr>
        <w:tc>
          <w:tcPr>
            <w:tcW w:w="8020" w:type="dxa"/>
            <w:vAlign w:val="bottom"/>
          </w:tcPr>
          <w:p>
            <w:pPr>
              <w:ind w:left="78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28,318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(25,397)</w:t>
            </w:r>
          </w:p>
        </w:tc>
      </w:tr>
      <w:tr>
        <w:trPr>
          <w:trHeight w:val="149"/>
        </w:trPr>
        <w:tc>
          <w:tcPr>
            <w:tcW w:w="8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11,204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11,920</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1"/>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ectPr>
          <w:pgSz w:w="11900" w:h="16838" w:orient="portrait"/>
          <w:cols w:equalWidth="0" w:num="1">
            <w:col w:w="11180"/>
          </w:cols>
          <w:pgMar w:left="360" w:top="89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and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Shares</w:t>
            </w:r>
          </w:p>
        </w:tc>
        <w:tc>
          <w:tcPr>
            <w:tcW w:w="18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Common</w:t>
            </w:r>
          </w:p>
        </w:tc>
        <w:tc>
          <w:tcPr>
            <w:tcW w:w="16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jc w:val="center"/>
              <w:ind w:right="280"/>
              <w:spacing w:after="0" w:line="135" w:lineRule="exact"/>
              <w:rPr>
                <w:sz w:val="20"/>
                <w:szCs w:val="20"/>
                <w:color w:val="auto"/>
              </w:rPr>
            </w:pPr>
            <w:r>
              <w:rPr>
                <w:rFonts w:ascii="Arial" w:cs="Arial" w:eastAsia="Arial" w:hAnsi="Arial"/>
                <w:sz w:val="14"/>
                <w:szCs w:val="14"/>
                <w:color w:val="auto"/>
                <w:w w:val="96"/>
              </w:rPr>
              <w:t>Paid-in</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Outstanding</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160" w:type="dxa"/>
            <w:vAlign w:val="bottom"/>
          </w:tcPr>
          <w:p>
            <w:pPr>
              <w:spacing w:after="0"/>
              <w:rPr>
                <w:sz w:val="16"/>
                <w:szCs w:val="16"/>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242,147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3"/>
              </w:rPr>
              <w:t>(102,050)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226,569</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Net loss - 2020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Issuance of common stock from employee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w:t>
            </w: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Issuance of common stock to directors</w:t>
            </w: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restricted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80" w:type="dxa"/>
            <w:vAlign w:val="bottom"/>
          </w:tcPr>
          <w:p>
            <w:pPr>
              <w:ind w:left="220"/>
              <w:spacing w:after="0" w:line="176" w:lineRule="exact"/>
              <w:rPr>
                <w:sz w:val="20"/>
                <w:szCs w:val="20"/>
                <w:color w:val="auto"/>
              </w:rPr>
            </w:pPr>
            <w:r>
              <w:rPr>
                <w:rFonts w:ascii="Arial" w:cs="Arial" w:eastAsia="Arial" w:hAnsi="Arial"/>
                <w:sz w:val="18"/>
                <w:szCs w:val="18"/>
                <w:color w:val="auto"/>
                <w:w w:val="98"/>
              </w:rPr>
              <w:t>Cancellation and surrender of restricted common</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stock</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Dividends on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Balance – March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242,234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82,016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3"/>
              </w:rPr>
              <w:t>(102,050)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222,459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080" w:type="dxa"/>
            <w:vAlign w:val="bottom"/>
          </w:tcPr>
          <w:p>
            <w:pPr>
              <w:spacing w:after="0"/>
              <w:rPr>
                <w:sz w:val="24"/>
                <w:szCs w:val="2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Shares</w:t>
            </w:r>
          </w:p>
        </w:tc>
        <w:tc>
          <w:tcPr>
            <w:tcW w:w="180" w:type="dxa"/>
            <w:vAlign w:val="bottom"/>
          </w:tcPr>
          <w:p>
            <w:pPr>
              <w:spacing w:after="0"/>
              <w:rPr>
                <w:sz w:val="24"/>
                <w:szCs w:val="2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Common</w:t>
            </w:r>
          </w:p>
        </w:tc>
        <w:tc>
          <w:tcPr>
            <w:tcW w:w="160" w:type="dxa"/>
            <w:vAlign w:val="bottom"/>
          </w:tcPr>
          <w:p>
            <w:pPr>
              <w:spacing w:after="0"/>
              <w:rPr>
                <w:sz w:val="24"/>
                <w:szCs w:val="2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color w:val="auto"/>
                <w:w w:val="97"/>
              </w:rPr>
              <w:t>Additional</w:t>
            </w:r>
          </w:p>
        </w:tc>
        <w:tc>
          <w:tcPr>
            <w:tcW w:w="180" w:type="dxa"/>
            <w:vAlign w:val="bottom"/>
          </w:tcPr>
          <w:p>
            <w:pPr>
              <w:spacing w:after="0"/>
              <w:rPr>
                <w:sz w:val="24"/>
                <w:szCs w:val="2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24"/>
                <w:szCs w:val="2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jc w:val="center"/>
              <w:ind w:right="300"/>
              <w:spacing w:after="0" w:line="135" w:lineRule="exact"/>
              <w:rPr>
                <w:sz w:val="20"/>
                <w:szCs w:val="20"/>
                <w:color w:val="auto"/>
              </w:rPr>
            </w:pPr>
            <w:r>
              <w:rPr>
                <w:rFonts w:ascii="Arial" w:cs="Arial" w:eastAsia="Arial" w:hAnsi="Arial"/>
                <w:sz w:val="14"/>
                <w:szCs w:val="14"/>
                <w:color w:val="auto"/>
                <w:w w:val="91"/>
              </w:rPr>
              <w:t>Paid-in</w:t>
            </w: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Outstanding</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Stock</w:t>
            </w:r>
          </w:p>
        </w:tc>
        <w:tc>
          <w:tcPr>
            <w:tcW w:w="160" w:type="dxa"/>
            <w:vAlign w:val="bottom"/>
          </w:tcPr>
          <w:p>
            <w:pPr>
              <w:spacing w:after="0"/>
              <w:rPr>
                <w:sz w:val="16"/>
                <w:szCs w:val="16"/>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color w:val="auto"/>
                <w:w w:val="91"/>
              </w:rPr>
              <w:t>Capital</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239,989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3"/>
              </w:rPr>
              <w:t>(102,050)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240,502</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Net income - 2021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Issuance of common stock from employee stock</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w:t>
            </w: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Issuance of common stock to directors</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restricted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Cancellation and surrender of restricted common</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on 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Convertible notes conversions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March 31,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238,056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3"/>
              </w:rPr>
              <w:t>(102,050)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251,503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6" w:name="page7"/>
    <w:bookmarkEnd w:id="6"/>
    <w:p>
      <w:pPr>
        <w:ind w:left="4440"/>
        <w:spacing w:after="0"/>
        <w:rPr>
          <w:sz w:val="20"/>
          <w:szCs w:val="20"/>
          <w:color w:val="auto"/>
        </w:rPr>
      </w:pPr>
      <w:r>
        <w:rPr>
          <w:rFonts w:ascii="Arial" w:cs="Arial" w:eastAsia="Arial" w:hAnsi="Arial"/>
          <w:sz w:val="18"/>
          <w:szCs w:val="18"/>
          <w:b w:val="1"/>
          <w:bCs w:val="1"/>
          <w:color w:val="auto"/>
        </w:rPr>
        <w:t>CARRIAGE SERVICES,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Carriage Services, Inc. (“Carriage,” the “Company,” “we,” “us,” or “our”) is a leading provider of funeral and cemetery services and merchandise in the United States. As of March 31, 2021, we operated 173 funeral homes in 26 states and 32 cemeteries in 12 states. Our operations are reported in two business segments: Funeral Home Operations, which currently account for approximately 75% of our revenue and Cemetery Operations, which currently account for approximately 25% of our revenue.</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Interim Condensed Disclosures</w:t>
      </w:r>
    </w:p>
    <w:p>
      <w:pPr>
        <w:spacing w:after="0" w:line="11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Our unaudited consolidated financial statements have been prepared in a manner consistent with the accounting principles described in our Annual Report on Form 10-K for the year ended December 31, 2020 unless otherwise disclosed herein, and should be read in conjunction therewith.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Certain reclassifications have been made to prior period amounts on our Consolidated Statements of Cash Flows related to the amortization of non-compete agreements and on our Statement of Changes in Stockholders Equity related to the issuance of common stock to conform to the current period financial statement presentation with no effect on our previously reported Consolidated Statements of Operations and Consolidated Balance Sheet.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preparation of our Consolidated Financial Statements requires us to make estimates and judgments that affect the reported amounts of assets, liabilities, revenue and expenses. On an ongoing basis, we evaluate our estimates and judgments, which include those related to the realization of our accounts receivable, valuation of goodwill, intangible assets, deferred tax assets and liabilities and depreciation of property and equipment.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that our results of operations will be consistent from year to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Receivables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Our funeral receivables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and primarily consist of amounts due for funeral services already performed.</w:t>
      </w:r>
    </w:p>
    <w:p>
      <w:pPr>
        <w:spacing w:after="0" w:line="1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Atneed cemetery receivables and preneed cemetery receivables with payments expected to be received within one year from the balance sheet date are recorded in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Preneed cemetery receivables with payments expected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 xml:space="preserve">be received beyond one year from the balance sheet date are recorded in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Arial" w:cs="Arial" w:eastAsia="Arial" w:hAnsi="Arial"/>
          <w:sz w:val="18"/>
          <w:szCs w:val="18"/>
          <w:i w:val="1"/>
          <w:iCs w:val="1"/>
          <w:color w:val="auto"/>
        </w:rPr>
        <w:t>Other revenue</w:t>
      </w:r>
      <w:r>
        <w:rPr>
          <w:rFonts w:ascii="Arial" w:cs="Arial" w:eastAsia="Arial" w:hAnsi="Arial"/>
          <w:sz w:val="18"/>
          <w:szCs w:val="18"/>
          <w:color w:val="auto"/>
        </w:rPr>
        <w:t>. In substantially all cases, we receive an initial down payment at the time the contract is signed.</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our funeral and atneed cemetery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payment is received or the contract is cancelled.</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w:t>
      </w:r>
    </w:p>
    <w:p>
      <w:pPr>
        <w:spacing w:after="0" w:line="5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w:t>
      </w:r>
    </w:p>
    <w:p>
      <w:pPr>
        <w:spacing w:after="0" w:line="69" w:lineRule="exact"/>
        <w:rPr>
          <w:sz w:val="20"/>
          <w:szCs w:val="20"/>
          <w:color w:val="auto"/>
        </w:rPr>
      </w:pPr>
    </w:p>
    <w:p>
      <w:pPr>
        <w:ind w:right="1160" w:firstLine="405"/>
        <w:spacing w:after="0" w:line="406" w:lineRule="auto"/>
        <w:rPr>
          <w:sz w:val="20"/>
          <w:szCs w:val="20"/>
          <w:color w:val="auto"/>
        </w:rPr>
      </w:pPr>
      <w:r>
        <w:rPr>
          <w:rFonts w:ascii="Arial" w:cs="Arial" w:eastAsia="Arial" w:hAnsi="Arial"/>
          <w:sz w:val="18"/>
          <w:szCs w:val="18"/>
          <w:color w:val="auto"/>
        </w:rPr>
        <w:t xml:space="preserve">See Note 5 to the Consolidated Financial Statements herein for additional information related to our funeral and cemetery receivables. </w:t>
      </w:r>
      <w:r>
        <w:rPr>
          <w:rFonts w:ascii="Arial" w:cs="Arial" w:eastAsia="Arial" w:hAnsi="Arial"/>
          <w:sz w:val="18"/>
          <w:szCs w:val="18"/>
          <w:i w:val="1"/>
          <w:iCs w:val="1"/>
          <w:color w:val="auto"/>
        </w:rPr>
        <w:t>Inventory</w:t>
      </w:r>
    </w:p>
    <w:p>
      <w:pPr>
        <w:spacing w:after="0" w:line="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5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2020, we acquired one funeral home and cemetery combination business in Lafayette, California for $33.0 million in cash, of which $5.0 million was deposited in escrow in 2019 and $28.0 million was paid at closing in 2020. We acquired substantially all of the assets and assumed certain operating liabilities of these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Divested Operations</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apply the guidance in Accounting Standards Codification (“ASC”) Topic 350 – Intangibles – Goodwill and Other to determine the accounting treatment of goodwill for that set (see discussion of Goodwill below). Goodwill is only allocated to the sale if the set is considered to be a business.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Notes 3 and 4 to the Consolidated Financial Statements herein for additional information related to our divestitures.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05"/>
        <w:spacing w:after="0" w:line="278" w:lineRule="auto"/>
        <w:rPr>
          <w:sz w:val="20"/>
          <w:szCs w:val="20"/>
          <w:color w:val="auto"/>
        </w:rPr>
      </w:pPr>
      <w:r>
        <w:rPr>
          <w:rFonts w:ascii="Arial" w:cs="Arial" w:eastAsia="Arial" w:hAnsi="Arial"/>
          <w:sz w:val="16"/>
          <w:szCs w:val="16"/>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w:t>
      </w:r>
    </w:p>
    <w:p>
      <w:pPr>
        <w:spacing w:after="0" w:line="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intent is to perform a quantitative impairment test at least once every three years and perform a qualitative assessment during the remaining two years.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8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When we divest a portion of a reporting unit that constitutes a business in accordance with U.S. Generally Accepted Accounting Principles (“GAAP”), we allocate goodwill associated with that business to be included in the gain or loss on divestiture. The goodwill allocated is based on the relative fair values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w:t>
      </w:r>
    </w:p>
    <w:p>
      <w:pPr>
        <w:spacing w:after="0" w:line="68" w:lineRule="exact"/>
        <w:rPr>
          <w:sz w:val="20"/>
          <w:szCs w:val="20"/>
          <w:color w:val="auto"/>
        </w:rPr>
      </w:pPr>
    </w:p>
    <w:p>
      <w:pPr>
        <w:ind w:right="2240" w:firstLine="405"/>
        <w:spacing w:after="0" w:line="406" w:lineRule="auto"/>
        <w:rPr>
          <w:sz w:val="20"/>
          <w:szCs w:val="20"/>
          <w:color w:val="auto"/>
        </w:rPr>
      </w:pPr>
      <w:r>
        <w:rPr>
          <w:rFonts w:ascii="Arial" w:cs="Arial" w:eastAsia="Arial" w:hAnsi="Arial"/>
          <w:sz w:val="18"/>
          <w:szCs w:val="18"/>
          <w:color w:val="auto"/>
        </w:rPr>
        <w:t xml:space="preserve">See Note 3 to the Consolidated Financial Statements included herein for additional information related to our goodwill. </w:t>
      </w:r>
      <w:r>
        <w:rPr>
          <w:rFonts w:ascii="Arial" w:cs="Arial" w:eastAsia="Arial" w:hAnsi="Arial"/>
          <w:sz w:val="18"/>
          <w:szCs w:val="18"/>
          <w:i w:val="1"/>
          <w:iCs w:val="1"/>
          <w:color w:val="auto"/>
        </w:rPr>
        <w:t>Intangible Assets</w:t>
      </w:r>
    </w:p>
    <w:p>
      <w:pPr>
        <w:spacing w:after="0" w:line="2"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 xml:space="preserve">Our intangible assets include tradenames resulting from acquisitions and are included in </w:t>
      </w:r>
      <w:r>
        <w:rPr>
          <w:rFonts w:ascii="Arial" w:cs="Arial" w:eastAsia="Arial" w:hAnsi="Arial"/>
          <w:sz w:val="18"/>
          <w:szCs w:val="18"/>
          <w:i w:val="1"/>
          <w:iCs w:val="1"/>
          <w:color w:val="auto"/>
        </w:rPr>
        <w:t>Intangible and other non-current assets, net</w:t>
      </w:r>
      <w:r>
        <w:rPr>
          <w:rFonts w:ascii="Arial" w:cs="Arial" w:eastAsia="Arial" w:hAnsi="Arial"/>
          <w:sz w:val="18"/>
          <w:szCs w:val="18"/>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9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intent is to perform a quantitative impairment test at least once every three years and perform a qualitative assessment during the remaining two years. In addition to our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49" w:lineRule="exact"/>
        <w:rPr>
          <w:sz w:val="20"/>
          <w:szCs w:val="20"/>
          <w:color w:val="auto"/>
        </w:rPr>
      </w:pPr>
    </w:p>
    <w:p>
      <w:pPr>
        <w:ind w:right="1700" w:firstLine="405"/>
        <w:spacing w:after="0" w:line="406" w:lineRule="auto"/>
        <w:rPr>
          <w:sz w:val="20"/>
          <w:szCs w:val="20"/>
          <w:color w:val="auto"/>
        </w:rPr>
      </w:pPr>
      <w:r>
        <w:rPr>
          <w:rFonts w:ascii="Arial" w:cs="Arial" w:eastAsia="Arial" w:hAnsi="Arial"/>
          <w:sz w:val="18"/>
          <w:szCs w:val="18"/>
          <w:color w:val="auto"/>
        </w:rPr>
        <w:t xml:space="preserve">See Note 9 to the Consolidated Financial Statements included herein for additional information related to our intangible assets. </w:t>
      </w:r>
      <w:r>
        <w:rPr>
          <w:rFonts w:ascii="Arial" w:cs="Arial" w:eastAsia="Arial" w:hAnsi="Arial"/>
          <w:sz w:val="18"/>
          <w:szCs w:val="18"/>
          <w:i w:val="1"/>
          <w:iCs w:val="1"/>
          <w:color w:val="auto"/>
        </w:rPr>
        <w:t>Preneed and Perpetual Care Trust Funds</w:t>
      </w:r>
    </w:p>
    <w:p>
      <w:pPr>
        <w:spacing w:after="0" w:line="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Our trust fund assets are reflected in our financial statements as </w:t>
      </w:r>
      <w:r>
        <w:rPr>
          <w:rFonts w:ascii="Arial" w:cs="Arial" w:eastAsia="Arial" w:hAnsi="Arial"/>
          <w:sz w:val="18"/>
          <w:szCs w:val="18"/>
          <w:i w:val="1"/>
          <w:iCs w:val="1"/>
          <w:color w:val="auto"/>
        </w:rPr>
        <w:t>Preneed cemetery trust investments, Preneed funeral trust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Cemetery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perpetual care trust investments. </w:t>
      </w:r>
      <w:r>
        <w:rPr>
          <w:rFonts w:ascii="Arial" w:cs="Arial" w:eastAsia="Arial" w:hAnsi="Arial"/>
          <w:sz w:val="18"/>
          <w:szCs w:val="18"/>
          <w:color w:val="auto"/>
        </w:rPr>
        <w:t>We have recognized financial interests of third parties in the trust funds in our financial statements as</w:t>
      </w:r>
      <w:r>
        <w:rPr>
          <w:rFonts w:ascii="Arial" w:cs="Arial" w:eastAsia="Arial" w:hAnsi="Arial"/>
          <w:sz w:val="18"/>
          <w:szCs w:val="18"/>
          <w:i w:val="1"/>
          <w:iCs w:val="1"/>
          <w:color w:val="auto"/>
        </w:rPr>
        <w:t xml:space="preserve"> Deferred preneed funeral and cemetery receipts held in trust </w:t>
      </w:r>
      <w:r>
        <w:rPr>
          <w:rFonts w:ascii="Arial" w:cs="Arial" w:eastAsia="Arial" w:hAnsi="Arial"/>
          <w:sz w:val="18"/>
          <w:szCs w:val="18"/>
          <w:color w:val="auto"/>
        </w:rPr>
        <w:t>and</w:t>
      </w:r>
      <w:r>
        <w:rPr>
          <w:rFonts w:ascii="Arial" w:cs="Arial" w:eastAsia="Arial" w:hAnsi="Arial"/>
          <w:sz w:val="18"/>
          <w:szCs w:val="18"/>
          <w:i w:val="1"/>
          <w:iCs w:val="1"/>
          <w:color w:val="auto"/>
        </w:rPr>
        <w:t xml:space="preserve"> Care trusts’ corpus</w:t>
      </w:r>
      <w:r>
        <w:rPr>
          <w:rFonts w:ascii="Arial" w:cs="Arial" w:eastAsia="Arial" w:hAnsi="Arial"/>
          <w:sz w:val="18"/>
          <w:szCs w:val="18"/>
          <w:color w:val="auto"/>
        </w:rPr>
        <w:t>.</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our trust fund assets are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 w:name="page10"/>
    <w:bookmarkEnd w:id="9"/>
    <w:p>
      <w:pPr>
        <w:jc w:val="both"/>
        <w:ind w:right="20" w:firstLine="405"/>
        <w:spacing w:after="0" w:line="277" w:lineRule="auto"/>
        <w:rPr>
          <w:sz w:val="20"/>
          <w:szCs w:val="20"/>
          <w:color w:val="auto"/>
        </w:rPr>
      </w:pPr>
      <w:r>
        <w:rPr>
          <w:rFonts w:ascii="Arial" w:cs="Arial" w:eastAsia="Arial" w:hAnsi="Arial"/>
          <w:sz w:val="18"/>
          <w:szCs w:val="18"/>
          <w:color w:val="auto"/>
        </w:rPr>
        <w:t>In accordance with ASC Topic 326, we present our credit losses for fixed income securities as an allowance rather than as a write-down on the fixed income securities we do not intend to sell and it is likely that we will not be required to sell prior to their anticipated recovery.</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Such trust fund income is recognized as revenue when realized by the trust and distributable to us. We are restricted from withdrawing any of the principal balances of these funds.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80" w:lineRule="exact"/>
        <w:rPr>
          <w:sz w:val="20"/>
          <w:szCs w:val="20"/>
          <w:color w:val="auto"/>
        </w:rPr>
      </w:pPr>
    </w:p>
    <w:p>
      <w:pPr>
        <w:ind w:right="280" w:firstLine="405"/>
        <w:spacing w:after="0" w:line="406" w:lineRule="auto"/>
        <w:rPr>
          <w:sz w:val="20"/>
          <w:szCs w:val="20"/>
          <w:color w:val="auto"/>
        </w:rPr>
      </w:pPr>
      <w:r>
        <w:rPr>
          <w:rFonts w:ascii="Arial" w:cs="Arial" w:eastAsia="Arial" w:hAnsi="Arial"/>
          <w:sz w:val="18"/>
          <w:szCs w:val="18"/>
          <w:color w:val="auto"/>
        </w:rPr>
        <w:t xml:space="preserve">See Notes 6 and 7 to the Consolidated Financial Statements herein for additional information related to our preneed and perpetual care trust funds. </w:t>
      </w:r>
      <w:r>
        <w:rPr>
          <w:rFonts w:ascii="Arial" w:cs="Arial" w:eastAsia="Arial" w:hAnsi="Arial"/>
          <w:sz w:val="18"/>
          <w:szCs w:val="18"/>
          <w:i w:val="1"/>
          <w:iCs w:val="1"/>
          <w:color w:val="auto"/>
        </w:rPr>
        <w:t>Fair Value Measurements</w:t>
      </w:r>
    </w:p>
    <w:p>
      <w:pPr>
        <w:spacing w:after="0" w:line="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spacing w:after="0" w:line="53"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 We have not elected to measure any additional financial instruments and certain other items at fair value that are not currently required to be measured at fair value.</w:t>
      </w:r>
    </w:p>
    <w:p>
      <w:pPr>
        <w:spacing w:after="0" w:line="4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Notes 6 and 8 to the Consolidated Financial Statements herein for additional required disclosures related to our fair value measurement of our financial assets and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Commissions on Preneed Contracts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9" w:lineRule="exact"/>
        <w:rPr>
          <w:sz w:val="20"/>
          <w:szCs w:val="20"/>
          <w:color w:val="auto"/>
        </w:rPr>
      </w:pPr>
    </w:p>
    <w:p>
      <w:pPr>
        <w:ind w:right="240" w:firstLine="405"/>
        <w:spacing w:after="0" w:line="406" w:lineRule="auto"/>
        <w:rPr>
          <w:sz w:val="20"/>
          <w:szCs w:val="20"/>
          <w:color w:val="auto"/>
        </w:rPr>
      </w:pPr>
      <w:r>
        <w:rPr>
          <w:rFonts w:ascii="Arial" w:cs="Arial" w:eastAsia="Arial" w:hAnsi="Arial"/>
          <w:sz w:val="18"/>
          <w:szCs w:val="18"/>
          <w:color w:val="auto"/>
        </w:rPr>
        <w:t xml:space="preserve">See Note 9 to the Consolidated Financial Statements herein for additional information related to our capitalized commissions on preneed contracts. </w:t>
      </w:r>
      <w:r>
        <w:rPr>
          <w:rFonts w:ascii="Arial" w:cs="Arial" w:eastAsia="Arial" w:hAnsi="Arial"/>
          <w:sz w:val="18"/>
          <w:szCs w:val="18"/>
          <w:i w:val="1"/>
          <w:iCs w:val="1"/>
          <w:color w:val="auto"/>
        </w:rPr>
        <w:t>Property, Plant and Equipment</w:t>
      </w:r>
    </w:p>
    <w:p>
      <w:pPr>
        <w:spacing w:after="0" w:line="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estimated useful lives of the assets.</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Long-lived assets, such as property, plant and equipment subject to depreciation and amortization, are reviewed for impairment at least annually or whenever events or changes in circumstances indicate that the carrying amount of an asset may not be recoverable in accordance with ASC Topic 360 – Property, Plant and Equipment.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color w:val="auto"/>
        </w:rPr>
        <w:t>Property, plant and equipment is comprised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82,615</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81,981</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240,567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240,988</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equipment and automobiles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91,302</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91,481</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414,484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414,450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(145,433)</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(147,395)</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269,051</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267,055</w:t>
            </w: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 xml:space="preserve">During the three months ended March 31, 2021, we acquired land for $0.4 million. We also divested two funeral homes that had a carrying value of property, plant and equipment of $1.5 million, which was included in the gain on sale of divestitures and recorded in </w:t>
      </w:r>
      <w:r>
        <w:rPr>
          <w:rFonts w:ascii="Arial" w:cs="Arial" w:eastAsia="Arial" w:hAnsi="Arial"/>
          <w:sz w:val="16"/>
          <w:szCs w:val="16"/>
          <w:i w:val="1"/>
          <w:iCs w:val="1"/>
          <w:color w:val="auto"/>
        </w:rPr>
        <w:t>Net loss (gain) on divestitures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charges </w:t>
      </w:r>
      <w:r>
        <w:rPr>
          <w:rFonts w:ascii="Arial" w:cs="Arial" w:eastAsia="Arial" w:hAnsi="Arial"/>
          <w:sz w:val="16"/>
          <w:szCs w:val="16"/>
          <w:color w:val="auto"/>
        </w:rPr>
        <w:t>on our Consolidated Statements of Operations, described in Note 4 to the Consolidated Financial Statements included herein.</w:t>
      </w:r>
    </w:p>
    <w:p>
      <w:pPr>
        <w:spacing w:after="0" w:line="4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growth and maintenance capital expenditures totaled $2.7 million and $4.3 million for the three months ended March 31, 2020 and 2021, respectively, for property, plant, equipment and cemetery development. In addition, we recorded depreciation expense of $3.6 million and $3.4 million for the three months ended March 31, 2020 and 2021,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Property</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w:t>
      </w:r>
    </w:p>
    <w:p>
      <w:pPr>
        <w:spacing w:after="0" w:line="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Cemetery property was $101.1 million at both December 31, 2020 and March 31, 2021, net of accumulated amortization of $46.6 million and $48.1 million, respectively. When cemetery property is sold, the value of the cemetery property (interment right costs) is expensed as amortization using the specific identification method in the period in which the sale of the interment right is recognized as revenue. We recorded amortization expense for cemetery interment rights of $0.9 million and $1.5 million for the three months ended March 31, 2020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have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w:t>
      </w:r>
    </w:p>
    <w:p>
      <w:pPr>
        <w:spacing w:after="0" w:line="4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in determining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accelerated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account for these as a single lease component. Leases with an initial term of 12 months or less, that do not include an option to renew the underlying asset, are not recorded on our Consolidated Balance Sheet and expense is recognized on a straight-line basis over the lease term.</w:t>
      </w:r>
    </w:p>
    <w:p>
      <w:pPr>
        <w:spacing w:after="0" w:line="6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Operating lease ROU assets are included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operating lease liabilities are included in </w:t>
      </w:r>
      <w:r>
        <w:rPr>
          <w:rFonts w:ascii="Arial" w:cs="Arial" w:eastAsia="Arial" w:hAnsi="Arial"/>
          <w:sz w:val="18"/>
          <w:szCs w:val="18"/>
          <w:i w:val="1"/>
          <w:iCs w:val="1"/>
          <w:color w:val="auto"/>
        </w:rPr>
        <w:t>Current portion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lease obligation</w:t>
      </w:r>
      <w:r>
        <w:rPr>
          <w:rFonts w:ascii="Arial" w:cs="Arial" w:eastAsia="Arial" w:hAnsi="Arial"/>
          <w:sz w:val="18"/>
          <w:szCs w:val="18"/>
          <w:color w:val="auto"/>
        </w:rPr>
        <w:t>s and</w:t>
      </w:r>
      <w:r>
        <w:rPr>
          <w:rFonts w:ascii="Arial" w:cs="Arial" w:eastAsia="Arial" w:hAnsi="Arial"/>
          <w:sz w:val="18"/>
          <w:szCs w:val="18"/>
          <w:i w:val="1"/>
          <w:iCs w:val="1"/>
          <w:color w:val="auto"/>
        </w:rPr>
        <w:t xml:space="preserve"> Obligations under operating leases, net of current portion </w:t>
      </w:r>
      <w:r>
        <w:rPr>
          <w:rFonts w:ascii="Arial" w:cs="Arial" w:eastAsia="Arial" w:hAnsi="Arial"/>
          <w:sz w:val="18"/>
          <w:szCs w:val="18"/>
          <w:color w:val="auto"/>
        </w:rPr>
        <w:t>on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jc w:val="both"/>
        <w:spacing w:after="0" w:line="308" w:lineRule="auto"/>
        <w:rPr>
          <w:sz w:val="20"/>
          <w:szCs w:val="20"/>
          <w:color w:val="auto"/>
        </w:rPr>
      </w:pPr>
      <w:r>
        <w:rPr>
          <w:rFonts w:ascii="Arial" w:cs="Arial" w:eastAsia="Arial" w:hAnsi="Arial"/>
          <w:sz w:val="17"/>
          <w:szCs w:val="17"/>
          <w:color w:val="auto"/>
        </w:rPr>
        <w:t xml:space="preserve">Consolidated Balance Sheet. Finance lease ROU assets are included in </w:t>
      </w:r>
      <w:r>
        <w:rPr>
          <w:rFonts w:ascii="Arial" w:cs="Arial" w:eastAsia="Arial" w:hAnsi="Arial"/>
          <w:sz w:val="17"/>
          <w:szCs w:val="17"/>
          <w:i w:val="1"/>
          <w:iCs w:val="1"/>
          <w:color w:val="auto"/>
        </w:rPr>
        <w:t>Property, plant and equipment, net</w:t>
      </w:r>
      <w:r>
        <w:rPr>
          <w:rFonts w:ascii="Arial" w:cs="Arial" w:eastAsia="Arial" w:hAnsi="Arial"/>
          <w:sz w:val="17"/>
          <w:szCs w:val="17"/>
          <w:color w:val="auto"/>
        </w:rPr>
        <w:t xml:space="preserve"> and finance lease liabilities are included in </w:t>
      </w:r>
      <w:r>
        <w:rPr>
          <w:rFonts w:ascii="Arial" w:cs="Arial" w:eastAsia="Arial" w:hAnsi="Arial"/>
          <w:sz w:val="17"/>
          <w:szCs w:val="17"/>
          <w:i w:val="1"/>
          <w:iCs w:val="1"/>
          <w:color w:val="auto"/>
        </w:rPr>
        <w:t xml:space="preserve">Current portion of finance lease obligations </w:t>
      </w:r>
      <w:r>
        <w:rPr>
          <w:rFonts w:ascii="Arial" w:cs="Arial" w:eastAsia="Arial" w:hAnsi="Arial"/>
          <w:sz w:val="17"/>
          <w:szCs w:val="17"/>
          <w:color w:val="auto"/>
        </w:rPr>
        <w:t>and O</w:t>
      </w:r>
      <w:r>
        <w:rPr>
          <w:rFonts w:ascii="Arial" w:cs="Arial" w:eastAsia="Arial" w:hAnsi="Arial"/>
          <w:sz w:val="17"/>
          <w:szCs w:val="17"/>
          <w:i w:val="1"/>
          <w:iCs w:val="1"/>
          <w:color w:val="auto"/>
        </w:rPr>
        <w:t xml:space="preserve">bligations under finance leases, net of current portion </w:t>
      </w:r>
      <w:r>
        <w:rPr>
          <w:rFonts w:ascii="Arial" w:cs="Arial" w:eastAsia="Arial" w:hAnsi="Arial"/>
          <w:sz w:val="17"/>
          <w:szCs w:val="17"/>
          <w:color w:val="auto"/>
        </w:rPr>
        <w:t>on our Consolidated Balance Sheet.</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Notes 13 to the Consolidated Financial Statements included herein for additional information related to our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 and Stock-Based Compensation</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Fair value is determined on the date of the grant. The fair value of restricted stock is determined using the stock price on the grant date. The fair value of options or awards containing options is determined using the Black-Scholes valuation model or the Monte-Carlo simulation pricing model. The fair value of the performance awards related to market performance conditions is determined using a Monte-Carlo simulation pricing model. The fair value of the ESPP is determined based on the discount element offered to employees and the embedded option element, which is determined using an option calculation model.</w:t>
      </w:r>
    </w:p>
    <w:p>
      <w:pPr>
        <w:spacing w:after="0" w:line="8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Excess tax benefits or deficiencies related to share-based payments are included in operating cash flows on the Consolidated Statements of Cash Flows.</w:t>
      </w:r>
    </w:p>
    <w:p>
      <w:pPr>
        <w:spacing w:after="0" w:line="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14 to the Consolidated Financial Statements included herein for additional information related to our equity plans and stock-based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Sales taxes collected are recognized on a net basis in our consolidated financial statements. On our atneed contracts, we generally deliver the merchandise and perform the services at the time of need.</w:t>
      </w:r>
    </w:p>
    <w:p>
      <w:pPr>
        <w:spacing w:after="0" w:line="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8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Arial" w:cs="Arial" w:eastAsia="Arial" w:hAnsi="Arial"/>
          <w:sz w:val="17"/>
          <w:szCs w:val="17"/>
          <w:i w:val="1"/>
          <w:iCs w:val="1"/>
          <w:color w:val="auto"/>
        </w:rPr>
        <w:t>Revenue</w:t>
      </w:r>
      <w:r>
        <w:rPr>
          <w:rFonts w:ascii="Arial" w:cs="Arial" w:eastAsia="Arial" w:hAnsi="Arial"/>
          <w:sz w:val="17"/>
          <w:szCs w:val="17"/>
          <w:color w:val="auto"/>
        </w:rPr>
        <w:t>. We recognize revenue when the merchandise is transferred or the service is performed, in satisfaction of the corresponding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Sales taxes collected are recognized on a net basis in our Consolidated Financial Statements.</w:t>
      </w:r>
    </w:p>
    <w:p>
      <w:pPr>
        <w:spacing w:after="0" w:line="6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Ancillary funeral service revenue, which is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represents revenue from our flower shop, pet cremation and online cremation businesses</w:t>
      </w:r>
      <w:r>
        <w:rPr>
          <w:rFonts w:ascii="Arial" w:cs="Arial" w:eastAsia="Arial" w:hAnsi="Arial"/>
          <w:sz w:val="18"/>
          <w:szCs w:val="18"/>
          <w:i w:val="1"/>
          <w:iCs w:val="1"/>
          <w:color w:val="auto"/>
        </w:rPr>
        <w:t>.</w:t>
      </w:r>
    </w:p>
    <w:p>
      <w:pPr>
        <w:spacing w:after="0" w:line="6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earnings from our preneed trust investments, as well as trust management fees charged by our wholly-owned registered investment advisory firm (“CSV RIA”) are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As of March 31, 2021, CSV RIA 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Balances due on undelivered preneed funeral trust contracts have been reclassified to reduce </w:t>
      </w:r>
      <w:r>
        <w:rPr>
          <w:rFonts w:ascii="Arial" w:cs="Arial" w:eastAsia="Arial" w:hAnsi="Arial"/>
          <w:sz w:val="18"/>
          <w:szCs w:val="18"/>
          <w:i w:val="1"/>
          <w:iCs w:val="1"/>
          <w:color w:val="auto"/>
        </w:rPr>
        <w:t>Deferred preneed funeral revenue</w:t>
      </w:r>
      <w:r>
        <w:rPr>
          <w:rFonts w:ascii="Arial" w:cs="Arial" w:eastAsia="Arial" w:hAnsi="Arial"/>
          <w:sz w:val="18"/>
          <w:szCs w:val="18"/>
          <w:color w:val="auto"/>
        </w:rPr>
        <w:t xml:space="preserve"> on our Consolidated Balance Sheet of $8.2 million and $8.1 million at December 31, 2020 and March 31, 2021,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jc w:val="both"/>
        <w:ind w:firstLine="405"/>
        <w:spacing w:after="0" w:line="255" w:lineRule="auto"/>
        <w:rPr>
          <w:sz w:val="20"/>
          <w:szCs w:val="20"/>
          <w:color w:val="auto"/>
        </w:rPr>
      </w:pPr>
      <w:r>
        <w:rPr>
          <w:rFonts w:ascii="Arial" w:cs="Arial" w:eastAsia="Arial" w:hAnsi="Arial"/>
          <w:sz w:val="18"/>
          <w:szCs w:val="18"/>
          <w:color w:val="auto"/>
        </w:rPr>
        <w:t xml:space="preserve">Balances due from customers on delivered preneed cemetery contracts are included in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on our Consolidated Balance Sheet. Balances due on undelivered preneed cemetery contracts have been reclassified to reduce </w:t>
      </w:r>
      <w:r>
        <w:rPr>
          <w:rFonts w:ascii="Arial" w:cs="Arial" w:eastAsia="Arial" w:hAnsi="Arial"/>
          <w:sz w:val="18"/>
          <w:szCs w:val="18"/>
          <w:i w:val="1"/>
          <w:iCs w:val="1"/>
          <w:color w:val="auto"/>
        </w:rPr>
        <w:t>Deferred preneed cemetery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on our Consolidated Balance Sheet. The transaction price allocated to preneed merchandise and service performance obligations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unfulfilled were $7.9 million and $8.5 million at December 31, 2020 and March 31, 2021,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16 to the Consolidated Financial Statements herein for additional information related to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4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Consolidated Appropriations Act was signed into law on December 27, 2020. This Act included several tax provisions directly benefiting individual and corporate taxpayers. The primary benefit in this legislation is a temporary allowance for full deduction for business meals paid or incurred between December 31, 2020 and January 1, 2023.</w:t>
      </w:r>
    </w:p>
    <w:p>
      <w:pPr>
        <w:spacing w:after="0" w:line="7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filed carryback refund claims for the 2018 and 2019 tax years as allowed by the legislative changes included in the Coronavirus Aid, Relief, and Economic Security Act (the “CARES Act”), which was enacted March 27, 2020. As a result of requesting a tax refund in excess of $5 million, we must receive Joint Committee approval and undergo an audit for the tax year ending December 31, 2018. This audit is currently in progress. In 2020, the 2018 tax return was amended to take full advantage of the CARES Act legislative benefits resulting in additional losses that increase the amount of our carryback refund claim. The majority of the net operating losses generated in 2018 are the result of filing non-automatic accounting method changes relating to the recognition of revenue from our cemetery property and merchandise and services sales. Due to the uncertainty of receiving Internal Revenue Service (“IRS”) approval regarding our non-automatic accounting method changes, a reserve has been recorded against the benefit derived from this carrying back that the net operating losses generated. At both December 31, 2020 and March 31, 2021, the reserve for uncertain tax positions was $3.7 million.</w:t>
      </w:r>
    </w:p>
    <w:p>
      <w:pPr>
        <w:spacing w:after="0" w:line="5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Income tax expense during interim periods is based on our forecasted annual effective tax rate plus any discrete items, which are recorded in the period in which they occur. Discrete items include, but are not limited to, such events as changes in estimates due to finalization of income tax returns, tax audit settlements, tax effects of exercised or vested stock-based awards and increases or decreases in valuation allowances on deferred tax assets.</w:t>
      </w:r>
    </w:p>
    <w:p>
      <w:pPr>
        <w:spacing w:after="0" w:line="4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income tax benefit was $2.2 million for the three months ended March 31, 2020 compared to an income tax expense of $5.6 million for the three months ended March 31, 2021. Our operating tax rate before discrete items was 33.6% and 31.0% for the three months ended March 31, 2020 and 2021,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to the Consolidated Financial Statements included herein related to the computation of earnings per share.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evaluated events and transactions during the period subsequent to March 31, 2021 through the date the financial statements were issued for potential recognition or disclosure in the accompanying financial statements covered by this report.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18 to the Consolidated Financial Statements included herein for additional information related to our subsequent events.</w:t>
      </w:r>
    </w:p>
    <w:p>
      <w:pPr>
        <w:spacing w:after="0" w:line="275" w:lineRule="exact"/>
        <w:rPr>
          <w:sz w:val="20"/>
          <w:szCs w:val="20"/>
          <w:color w:val="auto"/>
        </w:rPr>
      </w:pPr>
    </w:p>
    <w:p>
      <w:pPr>
        <w:ind w:right="6480" w:firstLine="8"/>
        <w:spacing w:after="0" w:line="466" w:lineRule="auto"/>
        <w:tabs>
          <w:tab w:leader="none" w:pos="64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RECENTLY ISSUED ACCOUNTING STANDARDS Accounting Pronouncements Not Yet Adopted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In March 2020, the FASB issued ASU,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to provide optional guidance for a limited time to ease the potential burden in accounting for reference rate reform. The new guidance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The Company did not utilize the optional expedients and exceptions provided by this ASU during the three months ended March 31, 2021.</w:t>
      </w:r>
    </w:p>
    <w:p>
      <w:pPr>
        <w:spacing w:after="0" w:line="24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goodwill in the accompanying Consolidated Balance Sheet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the beginning of the period</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398,292</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392,978</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increase in goodwill related to acquisitions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14,054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goodwill related to divestitures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goodwill related to impairments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(13,632)</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the end of the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391,972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During the three months ended March 31, 2021, we allocated $1.0 million of goodwill to the sale of one funeral home for a loss recorded in </w:t>
      </w:r>
      <w:r>
        <w:rPr>
          <w:rFonts w:ascii="Arial" w:cs="Arial" w:eastAsia="Arial" w:hAnsi="Arial"/>
          <w:sz w:val="18"/>
          <w:szCs w:val="18"/>
          <w:i w:val="1"/>
          <w:iCs w:val="1"/>
          <w:color w:val="auto"/>
        </w:rPr>
        <w:t>Net loss</w:t>
      </w:r>
      <w:r>
        <w:rPr>
          <w:rFonts w:ascii="Arial" w:cs="Arial" w:eastAsia="Arial" w:hAnsi="Arial"/>
          <w:sz w:val="18"/>
          <w:szCs w:val="18"/>
          <w:color w:val="auto"/>
        </w:rPr>
        <w:t xml:space="preserve"> </w:t>
      </w:r>
      <w:r>
        <w:rPr>
          <w:rFonts w:ascii="Arial" w:cs="Arial" w:eastAsia="Arial" w:hAnsi="Arial"/>
          <w:sz w:val="18"/>
          <w:szCs w:val="18"/>
          <w:i w:val="1"/>
          <w:iCs w:val="1"/>
          <w:color w:val="auto"/>
        </w:rPr>
        <w:t>(gain) on divestitures and impairment charges</w:t>
      </w:r>
      <w:r>
        <w:rPr>
          <w:rFonts w:ascii="Arial" w:cs="Arial" w:eastAsia="Arial" w:hAnsi="Arial"/>
          <w:sz w:val="18"/>
          <w:szCs w:val="18"/>
          <w:color w:val="auto"/>
        </w:rPr>
        <w:t>.</w:t>
      </w:r>
    </w:p>
    <w:p>
      <w:pPr>
        <w:spacing w:after="0" w:line="22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DIVESTED OPERATIONS</w:t>
      </w:r>
    </w:p>
    <w:p>
      <w:pPr>
        <w:spacing w:after="0" w:line="12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During the three months ended March 31, 2021, we sold two funeral homes for $2.8 million. During the three months ended March 31, 2020, we did not sell any funeral homes or cemeteries.</w:t>
      </w:r>
    </w:p>
    <w:p>
      <w:pPr>
        <w:spacing w:after="0" w:line="62" w:lineRule="exact"/>
        <w:rPr>
          <w:sz w:val="20"/>
          <w:szCs w:val="20"/>
          <w:color w:val="auto"/>
        </w:rPr>
      </w:pPr>
    </w:p>
    <w:p>
      <w:pPr>
        <w:ind w:firstLine="405"/>
        <w:spacing w:after="0" w:line="274" w:lineRule="auto"/>
        <w:rPr>
          <w:sz w:val="20"/>
          <w:szCs w:val="20"/>
          <w:color w:val="auto"/>
        </w:rPr>
      </w:pPr>
      <w:r>
        <w:rPr>
          <w:rFonts w:ascii="Arial" w:cs="Arial" w:eastAsia="Arial" w:hAnsi="Arial"/>
          <w:sz w:val="18"/>
          <w:szCs w:val="18"/>
          <w:color w:val="auto"/>
        </w:rPr>
        <w:t>The operating results of these divested funeral homes are reflected in our Consolidated Statements of Operations as shown in the table below (in thousands):</w:t>
      </w: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733"/>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9"/>
                <w:szCs w:val="19"/>
                <w:color w:val="auto"/>
              </w:rPr>
            </w:pPr>
          </w:p>
        </w:tc>
      </w:tr>
      <w:tr>
        <w:trPr>
          <w:trHeight w:val="108"/>
        </w:trPr>
        <w:tc>
          <w:tcPr>
            <w:tcW w:w="8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line="230" w:lineRule="exact"/>
              <w:rPr>
                <w:sz w:val="20"/>
                <w:szCs w:val="20"/>
                <w:color w:val="auto"/>
              </w:rPr>
            </w:pPr>
            <w:r>
              <w:rPr>
                <w:rFonts w:ascii="Arial" w:cs="Arial" w:eastAsia="Arial" w:hAnsi="Arial"/>
                <w:sz w:val="18"/>
                <w:szCs w:val="18"/>
                <w:color w:val="auto"/>
              </w:rPr>
              <w:t>Gain on divestitures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42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9"/>
                <w:szCs w:val="19"/>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Net income from divested operations, after tax</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center"/>
              <w:ind w:left="753"/>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40" w:type="dxa"/>
            <w:vAlign w:val="bottom"/>
            <w:tcBorders>
              <w:top w:val="single" w:sz="8" w:color="auto"/>
              <w:bottom w:val="single" w:sz="8" w:color="auto"/>
            </w:tcBorders>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75"/>
        </w:trPr>
        <w:tc>
          <w:tcPr>
            <w:tcW w:w="80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4" w:lineRule="exact"/>
        <w:rPr>
          <w:sz w:val="20"/>
          <w:szCs w:val="20"/>
          <w:color w:val="auto"/>
        </w:rPr>
      </w:pPr>
    </w:p>
    <w:p>
      <w:pPr>
        <w:ind w:left="400" w:hanging="374"/>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Gain on divestitures is recorded in </w:t>
      </w:r>
      <w:r>
        <w:rPr>
          <w:rFonts w:ascii="Arial" w:cs="Arial" w:eastAsia="Arial" w:hAnsi="Arial"/>
          <w:sz w:val="16"/>
          <w:szCs w:val="16"/>
          <w:i w:val="1"/>
          <w:iCs w:val="1"/>
          <w:color w:val="auto"/>
        </w:rPr>
        <w:t>Net loss (gain) on divestitures and impairment charges</w:t>
      </w:r>
      <w:r>
        <w:rPr>
          <w:rFonts w:ascii="Arial" w:cs="Arial" w:eastAsia="Arial" w:hAnsi="Arial"/>
          <w:sz w:val="16"/>
          <w:szCs w:val="16"/>
          <w:color w:val="auto"/>
        </w:rPr>
        <w:t xml:space="preserve"> on our Consolidated Statements of Operations.</w:t>
      </w:r>
    </w:p>
    <w:p>
      <w:pPr>
        <w:spacing w:after="0" w:line="200" w:lineRule="exact"/>
        <w:rPr>
          <w:rFonts w:ascii="Arial" w:cs="Arial" w:eastAsia="Arial" w:hAnsi="Arial"/>
          <w:sz w:val="16"/>
          <w:szCs w:val="16"/>
          <w:color w:val="auto"/>
        </w:rPr>
      </w:pPr>
    </w:p>
    <w:p>
      <w:pPr>
        <w:spacing w:after="0" w:line="367" w:lineRule="exact"/>
        <w:rPr>
          <w:rFonts w:ascii="Arial" w:cs="Arial" w:eastAsia="Arial" w:hAnsi="Arial"/>
          <w:sz w:val="16"/>
          <w:szCs w:val="16"/>
          <w:color w:val="auto"/>
        </w:rPr>
      </w:pPr>
    </w:p>
    <w:p>
      <w:pPr>
        <w:ind w:left="5540" w:hanging="111"/>
        <w:spacing w:after="0"/>
        <w:tabs>
          <w:tab w:leader="none" w:pos="5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5020" w:type="dxa"/>
            <w:vAlign w:val="bottom"/>
          </w:tcPr>
          <w:p>
            <w:pPr>
              <w:ind w:left="380"/>
              <w:spacing w:after="0"/>
              <w:rPr>
                <w:sz w:val="20"/>
                <w:szCs w:val="20"/>
                <w:color w:val="auto"/>
              </w:rPr>
            </w:pPr>
            <w:r>
              <w:rPr>
                <w:rFonts w:ascii="Arial" w:cs="Arial" w:eastAsia="Arial" w:hAnsi="Arial"/>
                <w:sz w:val="18"/>
                <w:szCs w:val="18"/>
                <w:b w:val="1"/>
                <w:bCs w:val="1"/>
                <w:color w:val="auto"/>
              </w:rPr>
              <w:t>RECEIVABLES</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5300" w:type="dxa"/>
            <w:vAlign w:val="bottom"/>
            <w:gridSpan w:val="3"/>
          </w:tcPr>
          <w:p>
            <w:pPr>
              <w:spacing w:after="0"/>
              <w:rPr>
                <w:sz w:val="20"/>
                <w:szCs w:val="20"/>
                <w:color w:val="auto"/>
              </w:rPr>
            </w:pPr>
            <w:r>
              <w:rPr>
                <w:rFonts w:ascii="Arial" w:cs="Arial" w:eastAsia="Arial" w:hAnsi="Arial"/>
                <w:sz w:val="18"/>
                <w:szCs w:val="18"/>
                <w:i w:val="1"/>
                <w:iCs w:val="1"/>
                <w:color w:val="auto"/>
              </w:rPr>
              <w:t>Accounts Receivable</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w w:val="94"/>
              </w:rPr>
              <w:t>Accounts receivable is comprised of the following (in thousands):</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March 31, 2021</w:t>
            </w: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ind w:left="280"/>
              <w:spacing w:after="0"/>
              <w:rPr>
                <w:sz w:val="20"/>
                <w:szCs w:val="20"/>
                <w:color w:val="auto"/>
              </w:rPr>
            </w:pPr>
            <w:r>
              <w:rPr>
                <w:rFonts w:ascii="Arial" w:cs="Arial" w:eastAsia="Arial" w:hAnsi="Arial"/>
                <w:sz w:val="16"/>
                <w:szCs w:val="16"/>
                <w:b w:val="1"/>
                <w:bCs w:val="1"/>
                <w:color w:val="auto"/>
              </w:rPr>
              <w:t>Funeral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ind w:left="240"/>
              <w:spacing w:after="0"/>
              <w:rPr>
                <w:sz w:val="20"/>
                <w:szCs w:val="20"/>
                <w:color w:val="auto"/>
              </w:rPr>
            </w:pPr>
            <w:r>
              <w:rPr>
                <w:rFonts w:ascii="Arial" w:cs="Arial" w:eastAsia="Arial" w:hAnsi="Arial"/>
                <w:sz w:val="16"/>
                <w:szCs w:val="16"/>
                <w:b w:val="1"/>
                <w:bCs w:val="1"/>
                <w:color w:val="auto"/>
              </w:rPr>
              <w:t>Cemetery</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and financed receivables</w:t>
            </w:r>
          </w:p>
        </w:tc>
        <w:tc>
          <w:tcPr>
            <w:tcW w:w="460" w:type="dxa"/>
            <w:vAlign w:val="bottom"/>
            <w:tcBorders>
              <w:top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22,278</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4,590</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25,585</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ind w:left="420"/>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ind w:left="340"/>
              <w:spacing w:after="0"/>
              <w:rPr>
                <w:sz w:val="20"/>
                <w:szCs w:val="20"/>
                <w:color w:val="auto"/>
              </w:rPr>
            </w:pPr>
            <w:r>
              <w:rPr>
                <w:rFonts w:ascii="Arial" w:cs="Arial" w:eastAsia="Arial" w:hAnsi="Arial"/>
                <w:sz w:val="16"/>
                <w:szCs w:val="16"/>
                <w:b w:val="1"/>
                <w:bCs w:val="1"/>
                <w:color w:val="auto"/>
              </w:rPr>
              <w:t>Funeral</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ind w:left="300"/>
              <w:spacing w:after="0"/>
              <w:rPr>
                <w:sz w:val="20"/>
                <w:szCs w:val="20"/>
                <w:color w:val="auto"/>
              </w:rPr>
            </w:pPr>
            <w:r>
              <w:rPr>
                <w:rFonts w:ascii="Arial" w:cs="Arial" w:eastAsia="Arial" w:hAnsi="Arial"/>
                <w:sz w:val="16"/>
                <w:szCs w:val="16"/>
                <w:b w:val="1"/>
                <w:bCs w:val="1"/>
                <w:color w:val="auto"/>
              </w:rPr>
              <w:t>Cemetery</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3"/>
          </w:tcPr>
          <w:p>
            <w:pPr>
              <w:ind w:left="14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and financed receivables</w:t>
            </w:r>
          </w:p>
        </w:tc>
        <w:tc>
          <w:tcPr>
            <w:tcW w:w="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11,448</w:t>
            </w: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12,230</w:t>
            </w: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23,678</w:t>
            </w:r>
          </w:p>
        </w:tc>
        <w:tc>
          <w:tcPr>
            <w:tcW w:w="4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Other receivables</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2,712</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w:t>
            </w:r>
          </w:p>
        </w:tc>
      </w:tr>
      <w:tr>
        <w:trPr>
          <w:trHeight w:val="223"/>
        </w:trPr>
        <w:tc>
          <w:tcPr>
            <w:tcW w:w="20" w:type="dxa"/>
            <w:vAlign w:val="bottom"/>
          </w:tcPr>
          <w:p>
            <w:pPr>
              <w:spacing w:after="0"/>
              <w:rPr>
                <w:sz w:val="19"/>
                <w:szCs w:val="19"/>
                <w:color w:val="auto"/>
              </w:rPr>
            </w:pP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11,488</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13,414</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25,103</w:t>
            </w:r>
          </w:p>
        </w:tc>
        <w:tc>
          <w:tcPr>
            <w:tcW w:w="40" w:type="dxa"/>
            <w:vAlign w:val="bottom"/>
            <w:tcBorders>
              <w:top w:val="single" w:sz="8" w:color="auto"/>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receivables include supplier rebates, commissions due from third party insurance companies, perpetual care income receivables and proceeds due from an insurance claim. We do not provide an allowance for credit losses for these receivables as we have historically not had any collectability issues nor do we expect any in the foreseeable future.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activity in our allowance for credit losses by portfolio segment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1,</w:t>
            </w:r>
          </w:p>
        </w:tc>
        <w:tc>
          <w:tcPr>
            <w:tcW w:w="12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Provision for</w:t>
            </w:r>
          </w:p>
        </w:tc>
        <w:tc>
          <w:tcPr>
            <w:tcW w:w="16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Write Offs</w:t>
            </w:r>
          </w:p>
        </w:tc>
        <w:tc>
          <w:tcPr>
            <w:tcW w:w="124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Recoveries</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4"/>
              </w:rPr>
              <w:t>March 31, 2021</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40" w:type="dxa"/>
            <w:vAlign w:val="bottom"/>
            <w:gridSpan w:val="4"/>
          </w:tcPr>
          <w:p>
            <w:pPr>
              <w:ind w:left="100"/>
              <w:spacing w:after="0"/>
              <w:rPr>
                <w:sz w:val="20"/>
                <w:szCs w:val="20"/>
                <w:color w:val="auto"/>
              </w:rPr>
            </w:pPr>
            <w:r>
              <w:rPr>
                <w:rFonts w:ascii="Arial" w:cs="Arial" w:eastAsia="Arial" w:hAnsi="Arial"/>
                <w:sz w:val="16"/>
                <w:szCs w:val="16"/>
                <w:b w:val="1"/>
                <w:bCs w:val="1"/>
                <w:color w:val="auto"/>
              </w:rPr>
              <w:t>Credit Losses</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rPr>
                <w:sz w:val="20"/>
                <w:szCs w:val="20"/>
                <w:color w:val="auto"/>
              </w:rPr>
            </w:pPr>
            <w:r>
              <w:rPr>
                <w:rFonts w:ascii="Arial" w:cs="Arial" w:eastAsia="Arial" w:hAnsi="Arial"/>
                <w:sz w:val="18"/>
                <w:szCs w:val="18"/>
                <w:color w:val="auto"/>
              </w:rPr>
              <w:t>Trade and financed receivables: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Funeral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6"/>
              </w:rPr>
              <w:t>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Cemetery</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left="472"/>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 allowance for credit losses on Trade and financed receivables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6"/>
              </w:rPr>
              <w:t>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Preneed Cemetery Receivables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80" w:type="dxa"/>
            <w:vAlign w:val="bottom"/>
            <w:gridSpan w:val="4"/>
          </w:tcPr>
          <w:p>
            <w:pPr>
              <w:ind w:left="420"/>
              <w:spacing w:after="0"/>
              <w:rPr>
                <w:sz w:val="20"/>
                <w:szCs w:val="20"/>
                <w:color w:val="auto"/>
              </w:rPr>
            </w:pPr>
            <w:r>
              <w:rPr>
                <w:rFonts w:ascii="Arial" w:cs="Arial" w:eastAsia="Arial" w:hAnsi="Arial"/>
                <w:sz w:val="18"/>
                <w:szCs w:val="18"/>
                <w:color w:val="auto"/>
                <w:w w:val="92"/>
              </w:rPr>
              <w:t>Our preneed cemetery receivables are comprised of the following (in thousands):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December 31, 2020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w w:val="98"/>
              </w:rPr>
              <w:t>March 31, 2021</w:t>
            </w:r>
          </w:p>
        </w:tc>
        <w:tc>
          <w:tcPr>
            <w:tcW w:w="0" w:type="dxa"/>
            <w:vAlign w:val="bottom"/>
          </w:tcPr>
          <w:p>
            <w:pPr>
              <w:spacing w:after="0"/>
              <w:rPr>
                <w:sz w:val="1"/>
                <w:szCs w:val="1"/>
                <w:color w:val="auto"/>
              </w:rPr>
            </w:pPr>
          </w:p>
        </w:tc>
      </w:tr>
      <w:tr>
        <w:trPr>
          <w:trHeight w:val="22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Cemetery interment rights</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36,696</w:t>
            </w:r>
          </w:p>
        </w:tc>
        <w:tc>
          <w:tcPr>
            <w:tcW w:w="2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Cemetery merchandise and services</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10,526</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Cemetery financed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47,222</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our preneed cemetery receivables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2020</w:t>
            </w:r>
          </w:p>
        </w:tc>
        <w:tc>
          <w:tcPr>
            <w:tcW w:w="400" w:type="dxa"/>
            <w:vAlign w:val="bottom"/>
          </w:tcPr>
          <w:p>
            <w:pPr>
              <w:spacing w:after="0"/>
              <w:rPr>
                <w:sz w:val="18"/>
                <w:szCs w:val="18"/>
                <w:color w:val="auto"/>
              </w:rPr>
            </w:pP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w w:val="96"/>
              </w:rPr>
              <w:t>March 31, 2021</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Preneed cemetery receivables</w:t>
            </w:r>
          </w:p>
        </w:tc>
        <w:tc>
          <w:tcPr>
            <w:tcW w:w="24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47,222</w:t>
            </w:r>
          </w:p>
        </w:tc>
        <w:tc>
          <w:tcPr>
            <w:tcW w:w="2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unearned finance charges</w:t>
            </w:r>
          </w:p>
        </w:tc>
        <w:tc>
          <w:tcPr>
            <w:tcW w:w="2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Preneed cemetery receivables, at amortized cost</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(2,604)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balances due on undelivered cemetery preneed contracts</w:t>
            </w: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amounts in accounts receivable</w:t>
            </w:r>
          </w:p>
        </w:tc>
        <w:tc>
          <w:tcPr>
            <w:tcW w:w="2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Preneed cemetery receivables, net</w:t>
            </w: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Arial" w:cs="Arial" w:eastAsia="Arial" w:hAnsi="Arial"/>
                <w:sz w:val="18"/>
                <w:szCs w:val="18"/>
                <w:color w:val="auto"/>
              </w:rPr>
              <w:t>- 15 -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color w:val="auto"/>
        </w:rPr>
        <w:t xml:space="preserve">The following table summarizes the activity in our allowance for credit losses for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10"/>
            <w:vMerge w:val="restart"/>
          </w:tcPr>
          <w:p>
            <w:pPr>
              <w:spacing w:after="0"/>
              <w:rPr>
                <w:sz w:val="20"/>
                <w:szCs w:val="20"/>
                <w:color w:val="auto"/>
              </w:rPr>
            </w:pPr>
            <w:r>
              <w:rPr>
                <w:rFonts w:ascii="Arial" w:cs="Arial" w:eastAsia="Arial" w:hAnsi="Arial"/>
                <w:sz w:val="16"/>
                <w:szCs w:val="16"/>
                <w:b w:val="1"/>
                <w:bCs w:val="1"/>
                <w:color w:val="auto"/>
              </w:rPr>
              <w:t>January 1, 2021</w:t>
            </w:r>
          </w:p>
        </w:tc>
        <w:tc>
          <w:tcPr>
            <w:tcW w:w="1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Provision for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4"/>
              </w:rPr>
              <w:t>Write Offs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10"/>
            <w:vMerge w:val="continue"/>
          </w:tcPr>
          <w:p>
            <w:pPr>
              <w:spacing w:after="0"/>
              <w:rPr>
                <w:sz w:val="18"/>
                <w:szCs w:val="18"/>
                <w:color w:val="auto"/>
              </w:rPr>
            </w:pPr>
          </w:p>
        </w:tc>
        <w:tc>
          <w:tcPr>
            <w:tcW w:w="1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Credit Losses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40" w:type="dxa"/>
            <w:vAlign w:val="bottom"/>
            <w:tcBorders>
              <w:top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w w:val="92"/>
              </w:rPr>
              <w:t xml:space="preserve">Total allowance for credit losses on </w:t>
            </w:r>
            <w:r>
              <w:rPr>
                <w:rFonts w:ascii="Arial" w:cs="Arial" w:eastAsia="Arial" w:hAnsi="Arial"/>
                <w:sz w:val="18"/>
                <w:szCs w:val="18"/>
                <w:i w:val="1"/>
                <w:iCs w:val="1"/>
                <w:color w:val="auto"/>
                <w:w w:val="92"/>
              </w:rPr>
              <w:t>Preneed cemetery receivables, net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4"/>
              </w:rPr>
              <w:t>(1,644)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4"/>
              </w:rPr>
              <w:t>(1,865)</w:t>
            </w:r>
          </w:p>
        </w:tc>
        <w:tc>
          <w:tcPr>
            <w:tcW w:w="0" w:type="dxa"/>
            <w:vAlign w:val="bottom"/>
          </w:tcPr>
          <w:p>
            <w:pPr>
              <w:spacing w:after="0"/>
              <w:rPr>
                <w:sz w:val="1"/>
                <w:szCs w:val="1"/>
                <w:color w:val="auto"/>
              </w:rPr>
            </w:pPr>
          </w:p>
        </w:tc>
      </w:tr>
      <w:tr>
        <w:trPr>
          <w:trHeight w:val="432"/>
        </w:trPr>
        <w:tc>
          <w:tcPr>
            <w:tcW w:w="10120" w:type="dxa"/>
            <w:vAlign w:val="bottom"/>
            <w:gridSpan w:val="40"/>
          </w:tcPr>
          <w:p>
            <w:pPr>
              <w:ind w:left="420"/>
              <w:spacing w:after="0"/>
              <w:rPr>
                <w:sz w:val="20"/>
                <w:szCs w:val="20"/>
                <w:color w:val="auto"/>
              </w:rPr>
            </w:pPr>
            <w:r>
              <w:rPr>
                <w:rFonts w:ascii="Arial" w:cs="Arial" w:eastAsia="Arial" w:hAnsi="Arial"/>
                <w:sz w:val="18"/>
                <w:szCs w:val="18"/>
                <w:color w:val="auto"/>
                <w:w w:val="90"/>
              </w:rPr>
              <w:t>The amortized cost basis of our preneed cemetery receivables by year of origination as of March 31, 2021 is as follows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Prior</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56"/>
        </w:trPr>
        <w:tc>
          <w:tcPr>
            <w:tcW w:w="358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w w:val="89"/>
              </w:rPr>
              <w:t>Total preneed cemetery receivables, at amortized</w:t>
            </w:r>
          </w:p>
        </w:tc>
        <w:tc>
          <w:tcPr>
            <w:tcW w:w="46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16,490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280" w:type="dxa"/>
            <w:vAlign w:val="bottom"/>
            <w:gridSpan w:val="4"/>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46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58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5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8"/>
              </w:rPr>
              <w:t>44,389</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6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80" w:type="dxa"/>
            <w:vAlign w:val="bottom"/>
            <w:gridSpan w:val="4"/>
            <w:vMerge w:val="continue"/>
            <w:shd w:val="clear" w:color="auto" w:fill="CCEEFF"/>
          </w:tcPr>
          <w:p>
            <w:pPr>
              <w:spacing w:after="0"/>
              <w:rPr>
                <w:sz w:val="19"/>
                <w:szCs w:val="19"/>
                <w:color w:val="auto"/>
              </w:rPr>
            </w:pPr>
          </w:p>
        </w:tc>
        <w:tc>
          <w:tcPr>
            <w:tcW w:w="280" w:type="dxa"/>
            <w:vAlign w:val="bottom"/>
            <w:gridSpan w:val="4"/>
            <w:vMerge w:val="continue"/>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580" w:type="dxa"/>
            <w:vAlign w:val="bottom"/>
            <w:gridSpan w:val="5"/>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580" w:type="dxa"/>
            <w:vAlign w:val="bottom"/>
            <w:gridSpan w:val="4"/>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00" w:type="dxa"/>
            <w:vAlign w:val="bottom"/>
            <w:gridSpan w:val="26"/>
          </w:tcPr>
          <w:p>
            <w:pPr>
              <w:ind w:left="420"/>
              <w:spacing w:after="0"/>
              <w:rPr>
                <w:sz w:val="20"/>
                <w:szCs w:val="20"/>
                <w:color w:val="auto"/>
              </w:rPr>
            </w:pPr>
            <w:r>
              <w:rPr>
                <w:rFonts w:ascii="Arial" w:cs="Arial" w:eastAsia="Arial" w:hAnsi="Arial"/>
                <w:sz w:val="18"/>
                <w:szCs w:val="18"/>
                <w:color w:val="auto"/>
                <w:w w:val="90"/>
              </w:rPr>
              <w:t>The aging of past due preneed cemetery receivables as of March 31, 2021 is as follows (in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31-60</w:t>
            </w:r>
          </w:p>
        </w:tc>
        <w:tc>
          <w:tcPr>
            <w:tcW w:w="840" w:type="dxa"/>
            <w:vAlign w:val="bottom"/>
            <w:gridSpan w:val="4"/>
          </w:tcPr>
          <w:p>
            <w:pPr>
              <w:jc w:val="right"/>
              <w:spacing w:after="0"/>
              <w:rPr>
                <w:sz w:val="20"/>
                <w:szCs w:val="20"/>
                <w:color w:val="auto"/>
              </w:rPr>
            </w:pPr>
            <w:r>
              <w:rPr>
                <w:rFonts w:ascii="Arial" w:cs="Arial" w:eastAsia="Arial" w:hAnsi="Arial"/>
                <w:sz w:val="16"/>
                <w:szCs w:val="16"/>
                <w:b w:val="1"/>
                <w:bCs w:val="1"/>
                <w:color w:val="auto"/>
              </w:rPr>
              <w:t>61-90</w:t>
            </w:r>
          </w:p>
        </w:tc>
        <w:tc>
          <w:tcPr>
            <w:tcW w:w="360" w:type="dxa"/>
            <w:vAlign w:val="bottom"/>
          </w:tcPr>
          <w:p>
            <w:pPr>
              <w:spacing w:after="0"/>
              <w:rPr>
                <w:sz w:val="16"/>
                <w:szCs w:val="16"/>
                <w:color w:val="auto"/>
              </w:rPr>
            </w:pPr>
          </w:p>
        </w:tc>
        <w:tc>
          <w:tcPr>
            <w:tcW w:w="1140" w:type="dxa"/>
            <w:vAlign w:val="bottom"/>
            <w:gridSpan w:val="7"/>
          </w:tcPr>
          <w:p>
            <w:pPr>
              <w:ind w:left="420"/>
              <w:spacing w:after="0"/>
              <w:rPr>
                <w:sz w:val="20"/>
                <w:szCs w:val="20"/>
                <w:color w:val="auto"/>
              </w:rPr>
            </w:pPr>
            <w:r>
              <w:rPr>
                <w:rFonts w:ascii="Arial" w:cs="Arial" w:eastAsia="Arial" w:hAnsi="Arial"/>
                <w:sz w:val="16"/>
                <w:szCs w:val="16"/>
                <w:b w:val="1"/>
                <w:bCs w:val="1"/>
                <w:color w:val="auto"/>
              </w:rPr>
              <w:t>91-120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5"/>
          </w:tcPr>
          <w:p>
            <w:pPr>
              <w:ind w:left="140"/>
              <w:spacing w:after="0"/>
              <w:rPr>
                <w:sz w:val="20"/>
                <w:szCs w:val="20"/>
                <w:color w:val="auto"/>
              </w:rPr>
            </w:pPr>
            <w:r>
              <w:rPr>
                <w:rFonts w:ascii="Arial" w:cs="Arial" w:eastAsia="Arial" w:hAnsi="Arial"/>
                <w:sz w:val="16"/>
                <w:szCs w:val="16"/>
                <w:b w:val="1"/>
                <w:bCs w:val="1"/>
                <w:color w:val="auto"/>
              </w:rPr>
              <w:t>&gt;120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5"/>
          </w:tcPr>
          <w:p>
            <w:pPr>
              <w:jc w:val="right"/>
              <w:ind w:right="50"/>
              <w:spacing w:after="0"/>
              <w:rPr>
                <w:sz w:val="20"/>
                <w:szCs w:val="20"/>
                <w:color w:val="auto"/>
              </w:rPr>
            </w:pPr>
            <w:r>
              <w:rPr>
                <w:rFonts w:ascii="Arial" w:cs="Arial" w:eastAsia="Arial" w:hAnsi="Arial"/>
                <w:sz w:val="16"/>
                <w:szCs w:val="16"/>
                <w:b w:val="1"/>
                <w:bCs w:val="1"/>
                <w:color w:val="auto"/>
                <w:w w:val="94"/>
              </w:rPr>
              <w:t>Total Past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6"/>
              </w:rPr>
              <w:t>Past Due</w:t>
            </w:r>
          </w:p>
        </w:tc>
        <w:tc>
          <w:tcPr>
            <w:tcW w:w="10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Past Due</w:t>
            </w:r>
          </w:p>
        </w:tc>
        <w:tc>
          <w:tcPr>
            <w:tcW w:w="100" w:type="dxa"/>
            <w:vAlign w:val="bottom"/>
          </w:tcPr>
          <w:p>
            <w:pPr>
              <w:spacing w:after="0"/>
              <w:rPr>
                <w:sz w:val="18"/>
                <w:szCs w:val="18"/>
                <w:color w:val="auto"/>
              </w:rPr>
            </w:pPr>
          </w:p>
        </w:tc>
        <w:tc>
          <w:tcPr>
            <w:tcW w:w="1040" w:type="dxa"/>
            <w:vAlign w:val="bottom"/>
            <w:gridSpan w:val="6"/>
          </w:tcPr>
          <w:p>
            <w:pPr>
              <w:jc w:val="right"/>
              <w:ind w:right="90"/>
              <w:spacing w:after="0"/>
              <w:rPr>
                <w:sz w:val="20"/>
                <w:szCs w:val="20"/>
                <w:color w:val="auto"/>
              </w:rPr>
            </w:pPr>
            <w:r>
              <w:rPr>
                <w:rFonts w:ascii="Arial" w:cs="Arial" w:eastAsia="Arial" w:hAnsi="Arial"/>
                <w:sz w:val="16"/>
                <w:szCs w:val="16"/>
                <w:b w:val="1"/>
                <w:bCs w:val="1"/>
                <w:color w:val="auto"/>
              </w:rPr>
              <w:t>Past Due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6"/>
          </w:tcPr>
          <w:p>
            <w:pPr>
              <w:spacing w:after="0"/>
              <w:rPr>
                <w:sz w:val="20"/>
                <w:szCs w:val="20"/>
                <w:color w:val="auto"/>
              </w:rPr>
            </w:pPr>
            <w:r>
              <w:rPr>
                <w:rFonts w:ascii="Arial" w:cs="Arial" w:eastAsia="Arial" w:hAnsi="Arial"/>
                <w:sz w:val="16"/>
                <w:szCs w:val="16"/>
                <w:b w:val="1"/>
                <w:bCs w:val="1"/>
                <w:color w:val="auto"/>
              </w:rPr>
              <w:t>Past Due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270"/>
              <w:spacing w:after="0"/>
              <w:rPr>
                <w:sz w:val="20"/>
                <w:szCs w:val="20"/>
                <w:color w:val="auto"/>
              </w:rPr>
            </w:pPr>
            <w:r>
              <w:rPr>
                <w:rFonts w:ascii="Arial" w:cs="Arial" w:eastAsia="Arial" w:hAnsi="Arial"/>
                <w:sz w:val="16"/>
                <w:szCs w:val="16"/>
                <w:b w:val="1"/>
                <w:bCs w:val="1"/>
                <w:color w:val="auto"/>
              </w:rPr>
              <w:t>Due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3,211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32,953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8"/>
              </w:rPr>
              <w:t>36,164</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970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11,763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8"/>
              </w:rPr>
              <w:t>12,733</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44,716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8"/>
              </w:rPr>
              <w:t>48,897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TRUST INVESTMENTS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on our 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Cemetery perpetual care trust investments represent a portion of the proceeds from the sale of cemetery property interment rights which we are required by various state laws to deposit into perpetual care trust funds. The income earned from these perpetual care trusts offsets maintenance expenses for cemetery property and memorials. This trust fund income is recognized in </w:t>
      </w:r>
      <w:r>
        <w:rPr>
          <w:rFonts w:ascii="Arial" w:cs="Arial" w:eastAsia="Arial" w:hAnsi="Arial"/>
          <w:sz w:val="18"/>
          <w:szCs w:val="18"/>
          <w:i w:val="1"/>
          <w:iCs w:val="1"/>
          <w:color w:val="auto"/>
        </w:rPr>
        <w:t>Other revenue.</w:t>
      </w:r>
    </w:p>
    <w:p>
      <w:pPr>
        <w:spacing w:after="0" w:line="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foreign debt, corporate debt, preferred stocks, mortgage-backed securities and fixed income mutual funds and other investments, all of which are classified within Level 2 of the valuation hierarchy. We review and update our fair value hierarchy classifications quarterly. See Note 8 to the Consolidated Financial Statements included herein for further information of the fair value measurement.</w:t>
      </w:r>
    </w:p>
    <w:p>
      <w:pPr>
        <w:spacing w:after="0" w:line="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Changes in the fair value of our trust fund assets (</w:t>
      </w:r>
      <w:r>
        <w:rPr>
          <w:rFonts w:ascii="Arial" w:cs="Arial" w:eastAsia="Arial" w:hAnsi="Arial"/>
          <w:sz w:val="18"/>
          <w:szCs w:val="18"/>
          <w:i w:val="1"/>
          <w:iCs w:val="1"/>
          <w:color w:val="auto"/>
        </w:rPr>
        <w:t>Preneed funeral, cemetery and perpetual care trust investments</w:t>
      </w:r>
      <w:r>
        <w:rPr>
          <w:rFonts w:ascii="Arial" w:cs="Arial" w:eastAsia="Arial" w:hAnsi="Arial"/>
          <w:sz w:val="18"/>
          <w:szCs w:val="18"/>
          <w:color w:val="auto"/>
        </w:rPr>
        <w:t>) are offset by changes in the fair value of our trust fund liabilities (</w:t>
      </w:r>
      <w:r>
        <w:rPr>
          <w:rFonts w:ascii="Arial" w:cs="Arial" w:eastAsia="Arial" w:hAnsi="Arial"/>
          <w:sz w:val="18"/>
          <w:szCs w:val="18"/>
          <w:i w:val="1"/>
          <w:iCs w:val="1"/>
          <w:color w:val="auto"/>
        </w:rPr>
        <w:t>Deferred preneed funeral and cemetery receipts held in trust</w:t>
      </w:r>
      <w:r>
        <w:rPr>
          <w:rFonts w:ascii="Arial" w:cs="Arial" w:eastAsia="Arial" w:hAnsi="Arial"/>
          <w:sz w:val="18"/>
          <w:szCs w:val="18"/>
          <w:color w:val="auto"/>
        </w:rPr>
        <w:t xml:space="preserve"> and </w:t>
      </w:r>
      <w:r>
        <w:rPr>
          <w:rFonts w:ascii="Arial" w:cs="Arial" w:eastAsia="Arial" w:hAnsi="Arial"/>
          <w:sz w:val="18"/>
          <w:szCs w:val="18"/>
          <w:i w:val="1"/>
          <w:iCs w:val="1"/>
          <w:color w:val="auto"/>
        </w:rPr>
        <w:t>Care trusts’ corpus</w:t>
      </w:r>
      <w:r>
        <w:rPr>
          <w:rFonts w:ascii="Arial" w:cs="Arial" w:eastAsia="Arial" w:hAnsi="Arial"/>
          <w:sz w:val="18"/>
          <w:szCs w:val="18"/>
          <w:color w:val="auto"/>
        </w:rPr>
        <w:t xml:space="preserve">) and reflected in </w:t>
      </w:r>
      <w:r>
        <w:rPr>
          <w:rFonts w:ascii="Arial" w:cs="Arial" w:eastAsia="Arial" w:hAnsi="Arial"/>
          <w:sz w:val="18"/>
          <w:szCs w:val="18"/>
          <w:i w:val="1"/>
          <w:iCs w:val="1"/>
          <w:color w:val="auto"/>
        </w:rPr>
        <w:t>Other, net</w:t>
      </w:r>
      <w:r>
        <w:rPr>
          <w:rFonts w:ascii="Arial" w:cs="Arial" w:eastAsia="Arial" w:hAnsi="Arial"/>
          <w:sz w:val="18"/>
          <w:szCs w:val="18"/>
          <w:color w:val="auto"/>
        </w:rPr>
        <w:t>. There is no impact on earnings until such time the services are performed or the merchandise is delivered, causing the contract to be withdrawn from the trust in accordance with state regulations and the gain or loss is allocated to the contract.</w:t>
      </w:r>
    </w:p>
    <w:p>
      <w:pPr>
        <w:spacing w:after="0" w:line="7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For fixed income securities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fixed income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security by a rating agency, and adverse conditions specifically related to the security, among other factors. If our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ind w:firstLine="405"/>
        <w:spacing w:after="0" w:line="259" w:lineRule="auto"/>
        <w:rPr>
          <w:sz w:val="20"/>
          <w:szCs w:val="20"/>
          <w:color w:val="auto"/>
        </w:rPr>
      </w:pPr>
      <w:r>
        <w:rPr>
          <w:rFonts w:ascii="Arial" w:cs="Arial" w:eastAsia="Arial" w:hAnsi="Arial"/>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Cemetery Trust Investments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cemetery trust investments</w:t>
      </w:r>
      <w:r>
        <w:rPr>
          <w:rFonts w:ascii="Arial" w:cs="Arial" w:eastAsia="Arial" w:hAnsi="Arial"/>
          <w:sz w:val="18"/>
          <w:szCs w:val="18"/>
          <w:color w:val="auto"/>
        </w:rPr>
        <w:t xml:space="preserve"> on our Consolidated Balance Sheet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440" w:type="dxa"/>
            <w:vAlign w:val="bottom"/>
          </w:tcPr>
          <w:p>
            <w:pPr>
              <w:spacing w:after="0"/>
              <w:rPr>
                <w:sz w:val="18"/>
                <w:szCs w:val="18"/>
                <w:color w:val="auto"/>
              </w:rPr>
            </w:pPr>
          </w:p>
        </w:tc>
        <w:tc>
          <w:tcPr>
            <w:tcW w:w="1420" w:type="dxa"/>
            <w:vAlign w:val="bottom"/>
          </w:tcPr>
          <w:p>
            <w:pPr>
              <w:ind w:left="320"/>
              <w:spacing w:after="0"/>
              <w:rPr>
                <w:sz w:val="20"/>
                <w:szCs w:val="20"/>
                <w:color w:val="auto"/>
              </w:rPr>
            </w:pPr>
            <w:r>
              <w:rPr>
                <w:rFonts w:ascii="Arial" w:cs="Arial" w:eastAsia="Arial" w:hAnsi="Arial"/>
                <w:sz w:val="16"/>
                <w:szCs w:val="16"/>
                <w:b w:val="1"/>
                <w:bCs w:val="1"/>
                <w:color w:val="auto"/>
                <w:w w:val="94"/>
              </w:rPr>
              <w:t>March 31, 2021</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Preneed cemetery trust investments, at market value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89,081</w:t>
            </w:r>
          </w:p>
        </w:tc>
        <w:tc>
          <w:tcPr>
            <w:tcW w:w="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94,882</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(2,477)</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4"/>
              </w:rPr>
              <w:t>(2,519)</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Preneed cemetery trust investments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86,604</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92,363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and market values associated with preneed cemetery trust investments at March 31, 2021 are detailed below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1,464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17,620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12,251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36,329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Fixed Income</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8,110</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9,702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83,953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93,661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00" w:type="dxa"/>
            <w:vAlign w:val="bottom"/>
            <w:tcBorders>
              <w:top w:val="single" w:sz="8" w:color="CCEEFF"/>
            </w:tcBorders>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1,221</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1,221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Preneed cemetery trust investments</w:t>
            </w: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gridSpan w:val="2"/>
            <w:shd w:val="clear" w:color="auto" w:fill="CCEEFF"/>
          </w:tcPr>
          <w:p>
            <w:pPr>
              <w:jc w:val="right"/>
              <w:ind w:right="10"/>
              <w:spacing w:after="0" w:line="190"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bottom w:val="single" w:sz="8" w:color="auto"/>
            </w:tcBorders>
            <w:shd w:val="clear" w:color="auto" w:fill="CCEEFF"/>
          </w:tcPr>
          <w:p>
            <w:pPr>
              <w:jc w:val="right"/>
              <w:ind w:right="112"/>
              <w:spacing w:after="0" w:line="190" w:lineRule="exact"/>
              <w:rPr>
                <w:sz w:val="20"/>
                <w:szCs w:val="20"/>
                <w:color w:val="auto"/>
              </w:rPr>
            </w:pPr>
            <w:r>
              <w:rPr>
                <w:rFonts w:ascii="Arial" w:cs="Arial" w:eastAsia="Arial" w:hAnsi="Arial"/>
                <w:sz w:val="18"/>
                <w:szCs w:val="18"/>
                <w:color w:val="auto"/>
              </w:rPr>
              <w:t>94,882</w:t>
            </w: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111.6 %</w:t>
            </w:r>
          </w:p>
        </w:tc>
        <w:tc>
          <w:tcPr>
            <w:tcW w:w="0" w:type="dxa"/>
            <w:vAlign w:val="bottom"/>
          </w:tcPr>
          <w:p>
            <w:pPr>
              <w:spacing w:after="0"/>
              <w:rPr>
                <w:sz w:val="1"/>
                <w:szCs w:val="1"/>
                <w:color w:val="auto"/>
              </w:rPr>
            </w:pPr>
          </w:p>
        </w:tc>
      </w:tr>
      <w:tr>
        <w:trPr>
          <w:trHeight w:val="20"/>
        </w:trPr>
        <w:tc>
          <w:tcPr>
            <w:tcW w:w="9880" w:type="dxa"/>
            <w:vAlign w:val="bottom"/>
            <w:gridSpan w:val="12"/>
            <w:vMerge w:val="restart"/>
          </w:tcPr>
          <w:p>
            <w:pPr>
              <w:ind w:left="420"/>
              <w:spacing w:after="0"/>
              <w:rPr>
                <w:sz w:val="20"/>
                <w:szCs w:val="20"/>
                <w:color w:val="auto"/>
              </w:rPr>
            </w:pPr>
            <w:r>
              <w:rPr>
                <w:rFonts w:ascii="Arial" w:cs="Arial" w:eastAsia="Arial" w:hAnsi="Arial"/>
                <w:sz w:val="18"/>
                <w:szCs w:val="18"/>
                <w:color w:val="auto"/>
                <w:w w:val="94"/>
              </w:rPr>
              <w:t>The estimated maturities of the fixed income securities (excluding mutual funds) included above are as follows (in thousands):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9880" w:type="dxa"/>
            <w:vAlign w:val="bottom"/>
            <w:gridSpan w:val="1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income securities</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Arial" w:cs="Arial" w:eastAsia="Arial" w:hAnsi="Arial"/>
                <w:sz w:val="18"/>
                <w:szCs w:val="18"/>
                <w:color w:val="auto"/>
                <w:w w:val="90"/>
              </w:rPr>
              <w:t>- 20 -</w:t>
            </w: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7"/>
          <w:szCs w:val="17"/>
          <w:color w:val="auto"/>
        </w:rPr>
        <w:t>The cost and market values associated with preneed cemetery trust investments at December 31, 2020 are detailed below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1160" w:type="dxa"/>
            <w:vAlign w:val="bottom"/>
          </w:tcPr>
          <w:p>
            <w:pPr>
              <w:jc w:val="right"/>
              <w:ind w:right="213"/>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17,334</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31,294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Trust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82,573</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88,088</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190"/>
        </w:trPr>
        <w:tc>
          <w:tcPr>
            <w:tcW w:w="4200" w:type="dxa"/>
            <w:vAlign w:val="bottom"/>
            <w:tcBorders>
              <w:top w:val="single" w:sz="8" w:color="CCEEFF"/>
            </w:tcBorders>
          </w:tcPr>
          <w:p>
            <w:pPr>
              <w:ind w:left="20"/>
              <w:spacing w:after="0" w:line="190" w:lineRule="exact"/>
              <w:rPr>
                <w:sz w:val="20"/>
                <w:szCs w:val="20"/>
                <w:color w:val="auto"/>
              </w:rPr>
            </w:pPr>
            <w:r>
              <w:rPr>
                <w:rFonts w:ascii="Arial" w:cs="Arial" w:eastAsia="Arial" w:hAnsi="Arial"/>
                <w:sz w:val="18"/>
                <w:szCs w:val="18"/>
                <w:color w:val="auto"/>
              </w:rPr>
              <w:t>Preneed cemetery trust investments</w:t>
            </w:r>
          </w:p>
        </w:tc>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0"/>
              <w:spacing w:after="0" w:line="19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3"/>
              <w:spacing w:after="0" w:line="190" w:lineRule="exact"/>
              <w:rPr>
                <w:sz w:val="20"/>
                <w:szCs w:val="20"/>
                <w:color w:val="auto"/>
              </w:rPr>
            </w:pPr>
            <w:r>
              <w:rPr>
                <w:rFonts w:ascii="Arial" w:cs="Arial" w:eastAsia="Arial" w:hAnsi="Arial"/>
                <w:sz w:val="18"/>
                <w:szCs w:val="18"/>
                <w:color w:val="auto"/>
              </w:rPr>
              <w:t>89,081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cemetery trust investments in an unrealized loss position at March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spacing w:after="0" w:line="158" w:lineRule="exact"/>
              <w:rPr>
                <w:sz w:val="20"/>
                <w:szCs w:val="20"/>
                <w:color w:val="auto"/>
              </w:rPr>
            </w:pPr>
            <w:r>
              <w:rPr>
                <w:rFonts w:ascii="Arial" w:cs="Arial" w:eastAsia="Arial" w:hAnsi="Arial"/>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Arial" w:cs="Arial" w:eastAsia="Arial" w:hAnsi="Arial"/>
                <w:sz w:val="14"/>
                <w:szCs w:val="14"/>
                <w:color w:val="auto"/>
                <w:w w:val="95"/>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6"/>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Arial" w:cs="Arial" w:eastAsia="Arial" w:hAnsi="Arial"/>
                <w:sz w:val="14"/>
                <w:szCs w:val="14"/>
                <w:color w:val="auto"/>
                <w:w w:val="95"/>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6"/>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6"/>
              <w:spacing w:after="0" w:line="131" w:lineRule="exact"/>
              <w:rPr>
                <w:sz w:val="20"/>
                <w:szCs w:val="20"/>
                <w:color w:val="auto"/>
              </w:rPr>
            </w:pPr>
            <w:r>
              <w:rPr>
                <w:rFonts w:ascii="Arial" w:cs="Arial" w:eastAsia="Arial" w:hAnsi="Arial"/>
                <w:sz w:val="14"/>
                <w:szCs w:val="14"/>
                <w:color w:val="auto"/>
                <w:w w:val="95"/>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6"/>
              <w:spacing w:after="0" w:line="131" w:lineRule="exact"/>
              <w:rPr>
                <w:sz w:val="20"/>
                <w:szCs w:val="20"/>
                <w:color w:val="auto"/>
              </w:rPr>
            </w:pPr>
            <w:r>
              <w:rPr>
                <w:rFonts w:ascii="Arial" w:cs="Arial" w:eastAsia="Arial" w:hAnsi="Arial"/>
                <w:sz w:val="14"/>
                <w:szCs w:val="14"/>
                <w:color w:val="auto"/>
                <w:w w:val="98"/>
              </w:rPr>
              <w:t>Unrealized</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6"/>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1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Foreign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3,099</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Preferred stock</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Total fixed income securities with an unrealized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308"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cemetery trust investments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1"/>
              </w:rPr>
              <w:t>December 31, 2020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spacing w:after="0" w:line="158" w:lineRule="exact"/>
              <w:rPr>
                <w:sz w:val="20"/>
                <w:szCs w:val="20"/>
                <w:color w:val="auto"/>
              </w:rPr>
            </w:pPr>
            <w:r>
              <w:rPr>
                <w:rFonts w:ascii="Arial" w:cs="Arial" w:eastAsia="Arial" w:hAnsi="Arial"/>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Arial" w:cs="Arial" w:eastAsia="Arial" w:hAnsi="Arial"/>
                <w:sz w:val="14"/>
                <w:szCs w:val="14"/>
                <w:color w:val="auto"/>
                <w:w w:val="95"/>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Arial" w:cs="Arial" w:eastAsia="Arial" w:hAnsi="Arial"/>
                <w:sz w:val="14"/>
                <w:szCs w:val="14"/>
                <w:color w:val="auto"/>
                <w:w w:val="95"/>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
              <w:spacing w:after="0" w:line="131" w:lineRule="exact"/>
              <w:rPr>
                <w:sz w:val="20"/>
                <w:szCs w:val="20"/>
                <w:color w:val="auto"/>
              </w:rPr>
            </w:pPr>
            <w:r>
              <w:rPr>
                <w:rFonts w:ascii="Arial" w:cs="Arial" w:eastAsia="Arial" w:hAnsi="Arial"/>
                <w:sz w:val="14"/>
                <w:szCs w:val="14"/>
                <w:color w:val="auto"/>
                <w:w w:val="95"/>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Arial" w:cs="Arial" w:eastAsia="Arial" w:hAnsi="Arial"/>
                <w:sz w:val="14"/>
                <w:szCs w:val="14"/>
                <w:color w:val="auto"/>
                <w:w w:val="95"/>
              </w:rPr>
              <w:t>Unrealized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Losses</w:t>
            </w:r>
          </w:p>
        </w:tc>
        <w:tc>
          <w:tcPr>
            <w:tcW w:w="0" w:type="dxa"/>
            <w:vAlign w:val="bottom"/>
          </w:tcPr>
          <w:p>
            <w:pPr>
              <w:spacing w:after="0"/>
              <w:rPr>
                <w:sz w:val="1"/>
                <w:szCs w:val="1"/>
                <w:color w:val="auto"/>
              </w:rPr>
            </w:pPr>
          </w:p>
        </w:tc>
      </w:tr>
      <w:tr>
        <w:trPr>
          <w:trHeight w:val="21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2,888</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w w:val="97"/>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9,084</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75"/>
              <w:spacing w:after="0"/>
              <w:rPr>
                <w:sz w:val="20"/>
                <w:szCs w:val="20"/>
                <w:color w:val="auto"/>
              </w:rPr>
            </w:pPr>
            <w:r>
              <w:rPr>
                <w:rFonts w:ascii="Arial" w:cs="Arial" w:eastAsia="Arial" w:hAnsi="Arial"/>
                <w:sz w:val="18"/>
                <w:szCs w:val="18"/>
                <w:color w:val="auto"/>
                <w:w w:val="90"/>
              </w:rPr>
              <w:t>- 21 -</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ind w:firstLine="405"/>
        <w:spacing w:after="0" w:line="274" w:lineRule="auto"/>
        <w:rPr>
          <w:sz w:val="20"/>
          <w:szCs w:val="20"/>
          <w:color w:val="auto"/>
        </w:rPr>
      </w:pPr>
      <w:r>
        <w:rPr>
          <w:rFonts w:ascii="Arial" w:cs="Arial" w:eastAsia="Arial" w:hAnsi="Arial"/>
          <w:sz w:val="18"/>
          <w:szCs w:val="18"/>
          <w:color w:val="auto"/>
        </w:rPr>
        <w:t xml:space="preserve">Preneed cemetery trust investment security transactions recorded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on our Consolidated Statements of Operations are as follows (in thousands):</w:t>
      </w: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Realized gains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Unrealized gains (losses),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(16,305)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9,708</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and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deferred preneed cemetery receipts held in trust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15,629</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Purchases and sales of investments in the preneed cemetery trusts are as follows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13,231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Trust Investments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Preneed funeral trust investments represent trust fund assets that we are permitted to withdraw as services and merchandise are provided to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Preneed funeral contracts are secured by payments from customers, less retained amounts not required to be deposited into trust.</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funeral trust investments</w:t>
      </w:r>
      <w:r>
        <w:rPr>
          <w:rFonts w:ascii="Arial" w:cs="Arial" w:eastAsia="Arial" w:hAnsi="Arial"/>
          <w:sz w:val="18"/>
          <w:szCs w:val="18"/>
          <w:color w:val="auto"/>
        </w:rPr>
        <w:t xml:space="preserve"> on our Consolidated Balance Sheet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8"/>
              </w:rPr>
              <w:t>March 31, 2021</w:t>
            </w:r>
          </w:p>
        </w:tc>
        <w:tc>
          <w:tcPr>
            <w:tcW w:w="0" w:type="dxa"/>
            <w:vAlign w:val="bottom"/>
          </w:tcPr>
          <w:p>
            <w:pPr>
              <w:spacing w:after="0"/>
              <w:rPr>
                <w:sz w:val="1"/>
                <w:szCs w:val="1"/>
                <w:color w:val="auto"/>
              </w:rPr>
            </w:pPr>
          </w:p>
        </w:tc>
      </w:tr>
      <w:tr>
        <w:trPr>
          <w:trHeight w:val="22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Preneed funeral trust investments, at market value</w:t>
            </w:r>
          </w:p>
        </w:tc>
        <w:tc>
          <w:tcPr>
            <w:tcW w:w="1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104,166</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contract cancellation</w:t>
            </w: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(2,931)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Preneed funeral trust investments</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101,235</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gridSpan w:val="3"/>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880" w:type="dxa"/>
            <w:vAlign w:val="bottom"/>
            <w:gridSpan w:val="13"/>
          </w:tcPr>
          <w:p>
            <w:pPr>
              <w:ind w:left="420"/>
              <w:spacing w:after="0"/>
              <w:rPr>
                <w:sz w:val="20"/>
                <w:szCs w:val="20"/>
                <w:color w:val="auto"/>
              </w:rPr>
            </w:pPr>
            <w:r>
              <w:rPr>
                <w:rFonts w:ascii="Arial" w:cs="Arial" w:eastAsia="Arial" w:hAnsi="Arial"/>
                <w:sz w:val="18"/>
                <w:szCs w:val="18"/>
                <w:color w:val="auto"/>
                <w:w w:val="90"/>
              </w:rPr>
              <w:t>The cost and market values associated with preneed funeral trust investments at March 31, 2021 are detailed below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18,119</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debt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821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2,142</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16,550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14,378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(3,120)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34,044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Fixed income</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1,534</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8,047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Trust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97,681</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13,504</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(4,185)</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107,000</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1,131</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00" w:type="dxa"/>
            <w:vAlign w:val="bottom"/>
            <w:tcBorders>
              <w:top w:val="single" w:sz="8" w:color="CCEEFF"/>
            </w:tcBorders>
          </w:tcPr>
          <w:p>
            <w:pPr>
              <w:ind w:left="20"/>
              <w:spacing w:after="0" w:line="190" w:lineRule="exact"/>
              <w:rPr>
                <w:sz w:val="20"/>
                <w:szCs w:val="20"/>
                <w:color w:val="auto"/>
              </w:rPr>
            </w:pPr>
            <w:r>
              <w:rPr>
                <w:rFonts w:ascii="Arial" w:cs="Arial" w:eastAsia="Arial" w:hAnsi="Arial"/>
                <w:sz w:val="18"/>
                <w:szCs w:val="18"/>
                <w:color w:val="auto"/>
              </w:rPr>
              <w:t>Preneed funeral trust investments</w:t>
            </w:r>
          </w:p>
        </w:tc>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92"/>
              <w:spacing w:after="0" w:line="190" w:lineRule="exact"/>
              <w:rPr>
                <w:sz w:val="20"/>
                <w:szCs w:val="20"/>
                <w:color w:val="auto"/>
              </w:rPr>
            </w:pPr>
            <w:r>
              <w:rPr>
                <w:rFonts w:ascii="Arial" w:cs="Arial" w:eastAsia="Arial" w:hAnsi="Arial"/>
                <w:sz w:val="18"/>
                <w:szCs w:val="18"/>
                <w:color w:val="auto"/>
              </w:rPr>
              <w:t>108,131</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Arial" w:cs="Arial" w:eastAsia="Arial" w:hAnsi="Arial"/>
                <w:sz w:val="18"/>
                <w:szCs w:val="18"/>
                <w:color w:val="auto"/>
                <w:w w:val="90"/>
              </w:rPr>
              <w:t>- 22 -</w:t>
            </w: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9880" w:type="dxa"/>
            <w:vAlign w:val="bottom"/>
          </w:tcPr>
          <w:p>
            <w:pPr>
              <w:ind w:left="420"/>
              <w:spacing w:after="0"/>
              <w:rPr>
                <w:sz w:val="20"/>
                <w:szCs w:val="20"/>
                <w:color w:val="auto"/>
              </w:rPr>
            </w:pPr>
            <w:r>
              <w:rPr>
                <w:rFonts w:ascii="Arial" w:cs="Arial" w:eastAsia="Arial" w:hAnsi="Arial"/>
                <w:sz w:val="18"/>
                <w:szCs w:val="18"/>
                <w:color w:val="auto"/>
                <w:w w:val="94"/>
              </w:rPr>
              <w:t>The estimated maturities of the fixed income securities (excluding mutual funds) included above are as follows (in thousands):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9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12,143</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22,043</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income securities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and market values associated with preneed funeral trust investments at December 31, 2020 are detailed below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1160" w:type="dxa"/>
            <w:vAlign w:val="bottom"/>
          </w:tcPr>
          <w:p>
            <w:pPr>
              <w:jc w:val="right"/>
              <w:ind w:right="212"/>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Hierarchy Level</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18,478</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debt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(6,052)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29,639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Fixed income</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investments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Trust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97,700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103,255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190"/>
        </w:trPr>
        <w:tc>
          <w:tcPr>
            <w:tcW w:w="4200" w:type="dxa"/>
            <w:vAlign w:val="bottom"/>
            <w:tcBorders>
              <w:top w:val="single" w:sz="8" w:color="CCEEFF"/>
            </w:tcBorders>
          </w:tcPr>
          <w:p>
            <w:pPr>
              <w:ind w:left="20"/>
              <w:spacing w:after="0" w:line="190" w:lineRule="exact"/>
              <w:rPr>
                <w:sz w:val="20"/>
                <w:szCs w:val="20"/>
                <w:color w:val="auto"/>
              </w:rPr>
            </w:pPr>
            <w:r>
              <w:rPr>
                <w:rFonts w:ascii="Arial" w:cs="Arial" w:eastAsia="Arial" w:hAnsi="Arial"/>
                <w:sz w:val="18"/>
                <w:szCs w:val="18"/>
                <w:color w:val="auto"/>
              </w:rPr>
              <w:t>Preneed funeral trust investments</w:t>
            </w:r>
          </w:p>
        </w:tc>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0"/>
              <w:spacing w:after="0" w:line="19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2"/>
              <w:spacing w:after="0" w:line="190" w:lineRule="exact"/>
              <w:rPr>
                <w:sz w:val="20"/>
                <w:szCs w:val="20"/>
                <w:color w:val="auto"/>
              </w:rPr>
            </w:pPr>
            <w:r>
              <w:rPr>
                <w:rFonts w:ascii="Arial" w:cs="Arial" w:eastAsia="Arial" w:hAnsi="Arial"/>
                <w:sz w:val="18"/>
                <w:szCs w:val="18"/>
                <w:color w:val="auto"/>
              </w:rPr>
              <w:t>104,166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funeral trust investment in an unrealized loss position at March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spacing w:after="0" w:line="158" w:lineRule="exact"/>
              <w:rPr>
                <w:sz w:val="20"/>
                <w:szCs w:val="20"/>
                <w:color w:val="auto"/>
              </w:rPr>
            </w:pPr>
            <w:r>
              <w:rPr>
                <w:rFonts w:ascii="Arial" w:cs="Arial" w:eastAsia="Arial" w:hAnsi="Arial"/>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Arial" w:cs="Arial" w:eastAsia="Arial" w:hAnsi="Arial"/>
                <w:sz w:val="14"/>
                <w:szCs w:val="14"/>
                <w:color w:val="auto"/>
                <w:w w:val="95"/>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6"/>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Arial" w:cs="Arial" w:eastAsia="Arial" w:hAnsi="Arial"/>
                <w:sz w:val="14"/>
                <w:szCs w:val="14"/>
                <w:color w:val="auto"/>
                <w:w w:val="95"/>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6"/>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6"/>
              <w:spacing w:after="0" w:line="131" w:lineRule="exact"/>
              <w:rPr>
                <w:sz w:val="20"/>
                <w:szCs w:val="20"/>
                <w:color w:val="auto"/>
              </w:rPr>
            </w:pPr>
            <w:r>
              <w:rPr>
                <w:rFonts w:ascii="Arial" w:cs="Arial" w:eastAsia="Arial" w:hAnsi="Arial"/>
                <w:sz w:val="14"/>
                <w:szCs w:val="14"/>
                <w:color w:val="auto"/>
                <w:w w:val="95"/>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6"/>
              <w:spacing w:after="0" w:line="131" w:lineRule="exact"/>
              <w:rPr>
                <w:sz w:val="20"/>
                <w:szCs w:val="20"/>
                <w:color w:val="auto"/>
              </w:rPr>
            </w:pPr>
            <w:r>
              <w:rPr>
                <w:rFonts w:ascii="Arial" w:cs="Arial" w:eastAsia="Arial" w:hAnsi="Arial"/>
                <w:sz w:val="14"/>
                <w:szCs w:val="14"/>
                <w:color w:val="auto"/>
                <w:w w:val="98"/>
              </w:rPr>
              <w:t>Unrealized</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6"/>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1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2,726</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Preferred stock</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Total fixed income securities with an unrealized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ind w:right="20" w:firstLine="405"/>
        <w:spacing w:after="0" w:line="308"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funeral trust investment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1"/>
              </w:rPr>
              <w:t>December 31, 2020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spacing w:after="0" w:line="158" w:lineRule="exact"/>
              <w:rPr>
                <w:sz w:val="20"/>
                <w:szCs w:val="20"/>
                <w:color w:val="auto"/>
              </w:rPr>
            </w:pPr>
            <w:r>
              <w:rPr>
                <w:rFonts w:ascii="Arial" w:cs="Arial" w:eastAsia="Arial" w:hAnsi="Arial"/>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Arial" w:cs="Arial" w:eastAsia="Arial" w:hAnsi="Arial"/>
                <w:sz w:val="14"/>
                <w:szCs w:val="14"/>
                <w:color w:val="auto"/>
                <w:w w:val="95"/>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5"/>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Arial" w:cs="Arial" w:eastAsia="Arial" w:hAnsi="Arial"/>
                <w:sz w:val="14"/>
                <w:szCs w:val="14"/>
                <w:color w:val="auto"/>
                <w:w w:val="95"/>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
              <w:spacing w:after="0" w:line="131" w:lineRule="exact"/>
              <w:rPr>
                <w:sz w:val="20"/>
                <w:szCs w:val="20"/>
                <w:color w:val="auto"/>
              </w:rPr>
            </w:pPr>
            <w:r>
              <w:rPr>
                <w:rFonts w:ascii="Arial" w:cs="Arial" w:eastAsia="Arial" w:hAnsi="Arial"/>
                <w:sz w:val="14"/>
                <w:szCs w:val="14"/>
                <w:color w:val="auto"/>
                <w:w w:val="95"/>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5"/>
              <w:spacing w:after="0" w:line="131" w:lineRule="exact"/>
              <w:rPr>
                <w:sz w:val="20"/>
                <w:szCs w:val="20"/>
                <w:color w:val="auto"/>
              </w:rPr>
            </w:pPr>
            <w:r>
              <w:rPr>
                <w:rFonts w:ascii="Arial" w:cs="Arial" w:eastAsia="Arial" w:hAnsi="Arial"/>
                <w:sz w:val="14"/>
                <w:szCs w:val="14"/>
                <w:color w:val="auto"/>
                <w:w w:val="98"/>
              </w:rPr>
              <w:t>Unrealized</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1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2,562</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w w:val="97"/>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05"/>
        <w:spacing w:after="0" w:line="274" w:lineRule="auto"/>
        <w:rPr>
          <w:sz w:val="20"/>
          <w:szCs w:val="20"/>
          <w:color w:val="auto"/>
        </w:rPr>
      </w:pPr>
      <w:r>
        <w:rPr>
          <w:rFonts w:ascii="Arial" w:cs="Arial" w:eastAsia="Arial" w:hAnsi="Arial"/>
          <w:sz w:val="18"/>
          <w:szCs w:val="18"/>
          <w:color w:val="auto"/>
        </w:rPr>
        <w:t xml:space="preserve">Preneed funeral trust investment security transactions recorded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on the Consolidated Statements of Operations are as follows (in thousands):</w:t>
      </w: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Realized gains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Unrealized gains (losses),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and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deferred preneed funeral receipts held in trust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13,691</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(10,995)</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Purchases and sales of investments in the preneed funeral trusts are as follows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15,968</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Perpetual Care Trust Investments</w:t>
      </w:r>
    </w:p>
    <w:p>
      <w:pPr>
        <w:spacing w:after="0" w:line="117"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 xml:space="preserve">Care trusts’ corpus on our Consolidated Balance Sheet represent the corpus of those trusts plus undistributed income. The components of </w:t>
      </w:r>
      <w:r>
        <w:rPr>
          <w:rFonts w:ascii="Arial" w:cs="Arial" w:eastAsia="Arial" w:hAnsi="Arial"/>
          <w:sz w:val="18"/>
          <w:szCs w:val="18"/>
          <w:i w:val="1"/>
          <w:iCs w:val="1"/>
          <w:color w:val="auto"/>
        </w:rPr>
        <w:t>Care trusts’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corpus </w:t>
      </w:r>
      <w:r>
        <w:rPr>
          <w:rFonts w:ascii="Arial" w:cs="Arial" w:eastAsia="Arial" w:hAnsi="Arial"/>
          <w:sz w:val="18"/>
          <w:szCs w:val="18"/>
          <w:color w:val="auto"/>
        </w:rPr>
        <w:t>are as follows (in thousands):</w:t>
      </w: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440" w:type="dxa"/>
            <w:vAlign w:val="bottom"/>
          </w:tcPr>
          <w:p>
            <w:pPr>
              <w:spacing w:after="0"/>
              <w:rPr>
                <w:sz w:val="18"/>
                <w:szCs w:val="18"/>
                <w:color w:val="auto"/>
              </w:rPr>
            </w:pPr>
          </w:p>
        </w:tc>
        <w:tc>
          <w:tcPr>
            <w:tcW w:w="1460" w:type="dxa"/>
            <w:vAlign w:val="bottom"/>
            <w:gridSpan w:val="2"/>
          </w:tcPr>
          <w:p>
            <w:pPr>
              <w:ind w:left="320"/>
              <w:spacing w:after="0"/>
              <w:rPr>
                <w:sz w:val="20"/>
                <w:szCs w:val="20"/>
                <w:color w:val="auto"/>
              </w:rPr>
            </w:pPr>
            <w:r>
              <w:rPr>
                <w:rFonts w:ascii="Arial" w:cs="Arial" w:eastAsia="Arial" w:hAnsi="Arial"/>
                <w:sz w:val="16"/>
                <w:szCs w:val="16"/>
                <w:b w:val="1"/>
                <w:bCs w:val="1"/>
                <w:color w:val="auto"/>
                <w:w w:val="98"/>
              </w:rPr>
              <w:t>March 31, 2021</w:t>
            </w:r>
          </w:p>
        </w:tc>
        <w:tc>
          <w:tcPr>
            <w:tcW w:w="0" w:type="dxa"/>
            <w:vAlign w:val="bottom"/>
          </w:tcPr>
          <w:p>
            <w:pPr>
              <w:spacing w:after="0"/>
              <w:rPr>
                <w:sz w:val="1"/>
                <w:szCs w:val="1"/>
                <w:color w:val="auto"/>
              </w:rPr>
            </w:pPr>
          </w:p>
        </w:tc>
      </w:tr>
      <w:tr>
        <w:trPr>
          <w:trHeight w:val="22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Cemetery perpetual care trust investments, at market value</w:t>
            </w:r>
          </w:p>
        </w:tc>
        <w:tc>
          <w:tcPr>
            <w:tcW w:w="24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70,828</w:t>
            </w:r>
          </w:p>
        </w:tc>
        <w:tc>
          <w:tcPr>
            <w:tcW w:w="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Obligations due from trust</w:t>
            </w:r>
          </w:p>
        </w:tc>
        <w:tc>
          <w:tcPr>
            <w:tcW w:w="2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(1,121)</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Care trusts’ corpus</w:t>
            </w:r>
          </w:p>
        </w:tc>
        <w:tc>
          <w:tcPr>
            <w:tcW w:w="2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69,707</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Arial" w:cs="Arial" w:eastAsia="Arial" w:hAnsi="Arial"/>
                <w:sz w:val="18"/>
                <w:szCs w:val="18"/>
                <w:color w:val="auto"/>
              </w:rPr>
              <w:t>- 24 -</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48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ind w:firstLine="405"/>
        <w:spacing w:after="0" w:line="269" w:lineRule="auto"/>
        <w:rPr>
          <w:sz w:val="20"/>
          <w:szCs w:val="20"/>
          <w:color w:val="auto"/>
        </w:rPr>
      </w:pPr>
      <w:r>
        <w:rPr>
          <w:rFonts w:ascii="Arial" w:cs="Arial" w:eastAsia="Arial" w:hAnsi="Arial"/>
          <w:sz w:val="18"/>
          <w:szCs w:val="18"/>
          <w:color w:val="auto"/>
        </w:rPr>
        <w:t>The following table reflects the cost and fair market values associated with the trust investments held in perpetual care trust funds at March 31, 2021 (in thousands):</w:t>
      </w:r>
    </w:p>
    <w:tbl>
      <w:tblPr>
        <w:tblLayout w:type="fixed"/>
        <w:tblInd w:w="0" w:type="dxa"/>
        <w:tblCellMar>
          <w:top w:w="0" w:type="dxa"/>
          <w:left w:w="0" w:type="dxa"/>
          <w:bottom w:w="0" w:type="dxa"/>
          <w:right w:w="0" w:type="dxa"/>
        </w:tblCellMar>
      </w:tblPr>
      <w:tr>
        <w:trPr>
          <w:trHeight w:val="144"/>
        </w:trPr>
        <w:tc>
          <w:tcPr>
            <w:tcW w:w="4160" w:type="dxa"/>
            <w:vAlign w:val="bottom"/>
          </w:tcPr>
          <w:p>
            <w:pPr>
              <w:spacing w:after="0"/>
              <w:rPr>
                <w:sz w:val="12"/>
                <w:szCs w:val="12"/>
                <w:color w:val="auto"/>
              </w:rPr>
            </w:pPr>
          </w:p>
        </w:tc>
        <w:tc>
          <w:tcPr>
            <w:tcW w:w="14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2"/>
                <w:szCs w:val="12"/>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212"/>
              <w:spacing w:after="0" w:line="145" w:lineRule="exact"/>
              <w:rPr>
                <w:sz w:val="20"/>
                <w:szCs w:val="20"/>
                <w:color w:val="auto"/>
              </w:rPr>
            </w:pPr>
            <w:r>
              <w:rPr>
                <w:rFonts w:ascii="Arial" w:cs="Arial" w:eastAsia="Arial" w:hAnsi="Arial"/>
                <w:sz w:val="14"/>
                <w:szCs w:val="14"/>
                <w:b w:val="1"/>
                <w:bCs w:val="1"/>
                <w:color w:val="auto"/>
              </w:rPr>
              <w:t>Fair Market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Hierarchy Level</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12,996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25,151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28,642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Equity</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7,949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Trust securities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67,123</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11,684</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16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74,822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1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tcPr>
          <w:p>
            <w:pPr>
              <w:ind w:left="20"/>
              <w:spacing w:after="0" w:line="190" w:lineRule="exact"/>
              <w:rPr>
                <w:sz w:val="20"/>
                <w:szCs w:val="20"/>
                <w:color w:val="auto"/>
              </w:rPr>
            </w:pPr>
            <w:r>
              <w:rPr>
                <w:rFonts w:ascii="Arial" w:cs="Arial" w:eastAsia="Arial" w:hAnsi="Arial"/>
                <w:sz w:val="18"/>
                <w:szCs w:val="18"/>
                <w:color w:val="auto"/>
              </w:rPr>
              <w:t>Cemetery perpetual care investments</w:t>
            </w:r>
          </w:p>
        </w:tc>
        <w:tc>
          <w:tcPr>
            <w:tcW w:w="12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bottom w:val="single" w:sz="8" w:color="auto"/>
            </w:tcBorders>
            <w:gridSpan w:val="2"/>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2"/>
              <w:spacing w:after="0" w:line="190" w:lineRule="exact"/>
              <w:rPr>
                <w:sz w:val="20"/>
                <w:szCs w:val="20"/>
                <w:color w:val="auto"/>
              </w:rPr>
            </w:pPr>
            <w:r>
              <w:rPr>
                <w:rFonts w:ascii="Arial" w:cs="Arial" w:eastAsia="Arial" w:hAnsi="Arial"/>
                <w:sz w:val="18"/>
                <w:szCs w:val="18"/>
                <w:color w:val="auto"/>
              </w:rPr>
              <w:t>75,815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value as a percentage of cost</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gridSpan w:val="12"/>
            <w:vMerge w:val="restart"/>
          </w:tcPr>
          <w:p>
            <w:pPr>
              <w:ind w:left="420"/>
              <w:spacing w:after="0"/>
              <w:rPr>
                <w:sz w:val="20"/>
                <w:szCs w:val="20"/>
                <w:color w:val="auto"/>
              </w:rPr>
            </w:pPr>
            <w:r>
              <w:rPr>
                <w:rFonts w:ascii="Arial" w:cs="Arial" w:eastAsia="Arial" w:hAnsi="Arial"/>
                <w:sz w:val="18"/>
                <w:szCs w:val="18"/>
                <w:color w:val="auto"/>
                <w:w w:val="93"/>
              </w:rPr>
              <w:t>The estimated maturities of the fixed income securities (excluding mutual funds) included above are as follows (in thousands):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800" w:type="dxa"/>
            <w:vAlign w:val="bottom"/>
            <w:gridSpan w:val="12"/>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income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reflects the cost and fair market values associated with the trust investments held in perpetual care trust funds at December 31, 2020 (in thousands):</w:t>
      </w:r>
    </w:p>
    <w:tbl>
      <w:tblPr>
        <w:tblLayout w:type="fixed"/>
        <w:tblInd w:w="0" w:type="dxa"/>
        <w:tblCellMar>
          <w:top w:w="0" w:type="dxa"/>
          <w:left w:w="0" w:type="dxa"/>
          <w:bottom w:w="0" w:type="dxa"/>
          <w:right w:w="0" w:type="dxa"/>
        </w:tblCellMar>
      </w:tblPr>
      <w:tr>
        <w:trPr>
          <w:trHeight w:val="144"/>
        </w:trPr>
        <w:tc>
          <w:tcPr>
            <w:tcW w:w="420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2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60" w:type="dxa"/>
            <w:vAlign w:val="bottom"/>
          </w:tcPr>
          <w:p>
            <w:pPr>
              <w:jc w:val="right"/>
              <w:ind w:right="213"/>
              <w:spacing w:after="0" w:line="145"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debt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income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Trust securities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65,665</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70,020</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190"/>
        </w:trPr>
        <w:tc>
          <w:tcPr>
            <w:tcW w:w="4200" w:type="dxa"/>
            <w:vAlign w:val="bottom"/>
            <w:tcBorders>
              <w:top w:val="single" w:sz="8" w:color="CCEEFF"/>
            </w:tcBorders>
          </w:tcPr>
          <w:p>
            <w:pPr>
              <w:ind w:left="20"/>
              <w:spacing w:after="0" w:line="190" w:lineRule="exact"/>
              <w:rPr>
                <w:sz w:val="20"/>
                <w:szCs w:val="20"/>
                <w:color w:val="auto"/>
              </w:rPr>
            </w:pPr>
            <w:r>
              <w:rPr>
                <w:rFonts w:ascii="Arial" w:cs="Arial" w:eastAsia="Arial" w:hAnsi="Arial"/>
                <w:sz w:val="18"/>
                <w:szCs w:val="18"/>
                <w:color w:val="auto"/>
              </w:rPr>
              <w:t>Cemetery perpetual care investments</w:t>
            </w:r>
          </w:p>
        </w:tc>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0"/>
              <w:spacing w:after="0" w:line="190"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3"/>
              <w:spacing w:after="0" w:line="190" w:lineRule="exact"/>
              <w:rPr>
                <w:sz w:val="20"/>
                <w:szCs w:val="20"/>
                <w:color w:val="auto"/>
              </w:rPr>
            </w:pPr>
            <w:r>
              <w:rPr>
                <w:rFonts w:ascii="Arial" w:cs="Arial" w:eastAsia="Arial" w:hAnsi="Arial"/>
                <w:sz w:val="18"/>
                <w:szCs w:val="18"/>
                <w:color w:val="auto"/>
              </w:rPr>
              <w:t>70,828</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right"/>
              <w:ind w:right="50"/>
              <w:spacing w:after="0"/>
              <w:rPr>
                <w:sz w:val="20"/>
                <w:szCs w:val="20"/>
                <w:color w:val="auto"/>
              </w:rPr>
            </w:pPr>
            <w:r>
              <w:rPr>
                <w:rFonts w:ascii="Arial" w:cs="Arial" w:eastAsia="Arial" w:hAnsi="Arial"/>
                <w:sz w:val="18"/>
                <w:szCs w:val="18"/>
                <w:color w:val="auto"/>
                <w:w w:val="90"/>
              </w:rPr>
              <w:t>- 25 -</w:t>
            </w: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firstLine="405"/>
        <w:spacing w:after="0" w:line="290" w:lineRule="auto"/>
        <w:rPr>
          <w:sz w:val="20"/>
          <w:szCs w:val="20"/>
          <w:color w:val="auto"/>
        </w:rPr>
      </w:pPr>
      <w:r>
        <w:rPr>
          <w:rFonts w:ascii="Arial" w:cs="Arial" w:eastAsia="Arial" w:hAnsi="Arial"/>
          <w:sz w:val="17"/>
          <w:szCs w:val="17"/>
          <w:color w:val="auto"/>
        </w:rPr>
        <w:t>The following table summarized our fixed income securities (excluding mutual funds) within our perpetual care trust investment in an unrealized loss position at March 31,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 2021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spacing w:after="0" w:line="158" w:lineRule="exact"/>
              <w:rPr>
                <w:sz w:val="20"/>
                <w:szCs w:val="20"/>
                <w:color w:val="auto"/>
              </w:rPr>
            </w:pPr>
            <w:r>
              <w:rPr>
                <w:rFonts w:ascii="Arial" w:cs="Arial" w:eastAsia="Arial" w:hAnsi="Arial"/>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Arial" w:cs="Arial" w:eastAsia="Arial" w:hAnsi="Arial"/>
                <w:sz w:val="14"/>
                <w:szCs w:val="14"/>
                <w:color w:val="auto"/>
                <w:w w:val="95"/>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6"/>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Arial" w:cs="Arial" w:eastAsia="Arial" w:hAnsi="Arial"/>
                <w:sz w:val="14"/>
                <w:szCs w:val="14"/>
                <w:color w:val="auto"/>
                <w:w w:val="95"/>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6"/>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6"/>
              <w:spacing w:after="0" w:line="131" w:lineRule="exact"/>
              <w:rPr>
                <w:sz w:val="20"/>
                <w:szCs w:val="20"/>
                <w:color w:val="auto"/>
              </w:rPr>
            </w:pPr>
            <w:r>
              <w:rPr>
                <w:rFonts w:ascii="Arial" w:cs="Arial" w:eastAsia="Arial" w:hAnsi="Arial"/>
                <w:sz w:val="14"/>
                <w:szCs w:val="14"/>
                <w:color w:val="auto"/>
                <w:w w:val="95"/>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6"/>
              <w:spacing w:after="0" w:line="131" w:lineRule="exact"/>
              <w:rPr>
                <w:sz w:val="20"/>
                <w:szCs w:val="20"/>
                <w:color w:val="auto"/>
              </w:rPr>
            </w:pPr>
            <w:r>
              <w:rPr>
                <w:rFonts w:ascii="Arial" w:cs="Arial" w:eastAsia="Arial" w:hAnsi="Arial"/>
                <w:sz w:val="14"/>
                <w:szCs w:val="14"/>
                <w:color w:val="auto"/>
                <w:w w:val="98"/>
              </w:rPr>
              <w:t>Unrealized</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right"/>
              <w:ind w:right="196"/>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6"/>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1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2,230</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Preferred stock</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Total fixed income securities with an unrealized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90" w:lineRule="auto"/>
        <w:rPr>
          <w:sz w:val="20"/>
          <w:szCs w:val="20"/>
          <w:color w:val="auto"/>
        </w:rPr>
      </w:pPr>
      <w:r>
        <w:rPr>
          <w:rFonts w:ascii="Arial" w:cs="Arial" w:eastAsia="Arial" w:hAnsi="Arial"/>
          <w:sz w:val="17"/>
          <w:szCs w:val="17"/>
          <w:color w:val="auto"/>
        </w:rPr>
        <w:t>The following table summarized our fixed income securities (excluding mutual funds) within our perpetual care trust investment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1"/>
              </w:rPr>
              <w:t>December 31, 2020</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5"/>
          </w:tcPr>
          <w:p>
            <w:pPr>
              <w:spacing w:after="0" w:line="158" w:lineRule="exact"/>
              <w:rPr>
                <w:sz w:val="20"/>
                <w:szCs w:val="20"/>
                <w:color w:val="auto"/>
              </w:rPr>
            </w:pPr>
            <w:r>
              <w:rPr>
                <w:rFonts w:ascii="Arial" w:cs="Arial" w:eastAsia="Arial" w:hAnsi="Arial"/>
                <w:sz w:val="16"/>
                <w:szCs w:val="16"/>
                <w:b w:val="1"/>
                <w:bCs w:val="1"/>
                <w:color w:val="auto"/>
              </w:rPr>
              <w:t>In Loss Position Less than 12</w:t>
            </w:r>
          </w:p>
        </w:tc>
        <w:tc>
          <w:tcPr>
            <w:tcW w:w="2440" w:type="dxa"/>
            <w:vAlign w:val="bottom"/>
            <w:gridSpan w:val="6"/>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88"/>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Arial" w:cs="Arial" w:eastAsia="Arial" w:hAnsi="Arial"/>
                <w:sz w:val="14"/>
                <w:szCs w:val="14"/>
                <w:color w:val="auto"/>
                <w:w w:val="95"/>
              </w:rPr>
              <w:t>Fair market</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5"/>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31" w:lineRule="exact"/>
              <w:rPr>
                <w:sz w:val="20"/>
                <w:szCs w:val="20"/>
                <w:color w:val="auto"/>
              </w:rPr>
            </w:pPr>
            <w:r>
              <w:rPr>
                <w:rFonts w:ascii="Arial" w:cs="Arial" w:eastAsia="Arial" w:hAnsi="Arial"/>
                <w:sz w:val="14"/>
                <w:szCs w:val="14"/>
                <w:color w:val="auto"/>
                <w:w w:val="95"/>
              </w:rPr>
              <w:t>Fair market</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5"/>
              <w:spacing w:after="0" w:line="131" w:lineRule="exact"/>
              <w:rPr>
                <w:sz w:val="20"/>
                <w:szCs w:val="20"/>
                <w:color w:val="auto"/>
              </w:rPr>
            </w:pPr>
            <w:r>
              <w:rPr>
                <w:rFonts w:ascii="Arial" w:cs="Arial" w:eastAsia="Arial" w:hAnsi="Arial"/>
                <w:sz w:val="14"/>
                <w:szCs w:val="14"/>
                <w:color w:val="auto"/>
                <w:w w:val="95"/>
              </w:rPr>
              <w:t>Unrealized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
              <w:spacing w:after="0" w:line="131" w:lineRule="exact"/>
              <w:rPr>
                <w:sz w:val="20"/>
                <w:szCs w:val="20"/>
                <w:color w:val="auto"/>
              </w:rPr>
            </w:pPr>
            <w:r>
              <w:rPr>
                <w:rFonts w:ascii="Arial" w:cs="Arial" w:eastAsia="Arial" w:hAnsi="Arial"/>
                <w:sz w:val="14"/>
                <w:szCs w:val="14"/>
                <w:color w:val="auto"/>
                <w:w w:val="95"/>
              </w:rPr>
              <w:t>Fair market</w:t>
            </w: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5"/>
              <w:spacing w:after="0" w:line="131" w:lineRule="exact"/>
              <w:rPr>
                <w:sz w:val="20"/>
                <w:szCs w:val="20"/>
                <w:color w:val="auto"/>
              </w:rPr>
            </w:pPr>
            <w:r>
              <w:rPr>
                <w:rFonts w:ascii="Arial" w:cs="Arial" w:eastAsia="Arial" w:hAnsi="Arial"/>
                <w:sz w:val="14"/>
                <w:szCs w:val="14"/>
                <w:color w:val="auto"/>
                <w:w w:val="98"/>
              </w:rPr>
              <w:t>Unrealized</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color w:val="auto"/>
              </w:rPr>
              <w:t>value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13"/>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20"/>
              <w:spacing w:after="0"/>
              <w:rPr>
                <w:sz w:val="20"/>
                <w:szCs w:val="20"/>
                <w:color w:val="auto"/>
              </w:rPr>
            </w:pPr>
            <w:r>
              <w:rPr>
                <w:rFonts w:ascii="Arial" w:cs="Arial" w:eastAsia="Arial" w:hAnsi="Arial"/>
                <w:sz w:val="18"/>
                <w:szCs w:val="18"/>
                <w:color w:val="auto"/>
              </w:rPr>
              <w:t>Foreign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2,040</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w w:val="97"/>
              </w:rPr>
              <w:t>Total fixed income securities with an unrealized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05"/>
        <w:spacing w:after="0" w:line="274" w:lineRule="auto"/>
        <w:rPr>
          <w:sz w:val="20"/>
          <w:szCs w:val="20"/>
          <w:color w:val="auto"/>
        </w:rPr>
      </w:pPr>
      <w:r>
        <w:rPr>
          <w:rFonts w:ascii="Arial" w:cs="Arial" w:eastAsia="Arial" w:hAnsi="Arial"/>
          <w:sz w:val="18"/>
          <w:szCs w:val="18"/>
          <w:color w:val="auto"/>
        </w:rPr>
        <w:t xml:space="preserve">Perpetual care trust investment security transactions recorded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on our Consolidated Statements of Operations are as follows (in thousands):</w:t>
      </w: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10"/>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Realized losses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 in Care trusts’ corpus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13,495</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 xml:space="preserve">Perpetual care trust investment security transactions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on our Consolidated Statements of Operations are as follows (in thousands):</w:t>
      </w: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233"/>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Realized losses,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Arial" w:cs="Arial" w:eastAsia="Arial" w:hAnsi="Arial"/>
                <w:sz w:val="18"/>
                <w:szCs w:val="18"/>
                <w:color w:val="auto"/>
              </w:rPr>
              <w:t>Purchases and sales of investments in the perpetual care trusts are as follows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4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233"/>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84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769"/>
        </w:trPr>
        <w:tc>
          <w:tcPr>
            <w:tcW w:w="8420" w:type="dxa"/>
            <w:vAlign w:val="bottom"/>
          </w:tcPr>
          <w:p>
            <w:pPr>
              <w:ind w:left="5420"/>
              <w:spacing w:after="0"/>
              <w:rPr>
                <w:sz w:val="20"/>
                <w:szCs w:val="20"/>
                <w:color w:val="auto"/>
              </w:rPr>
            </w:pPr>
            <w:r>
              <w:rPr>
                <w:rFonts w:ascii="Arial" w:cs="Arial" w:eastAsia="Arial" w:hAnsi="Arial"/>
                <w:sz w:val="18"/>
                <w:szCs w:val="18"/>
                <w:color w:val="auto"/>
              </w:rPr>
              <w:t>- 26 -</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PRENEED TRUSTS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receivables from preneed trusts represent assets in trusts which are controlled and operated by third parties in which we do not have a controlling financial interest (less than 50%) in the trust assets. We account for these investments at cost. Receivables from preneed trusts are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Preneed trust funds, at cost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contract cancellation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from preneed trusts,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summary reflects the composition of the assets held in trust and controlled by third parties to satisfy our future obligations under preneed arrangements related to the preceding contracts at December 31, 2020 and March 31, 2021. The cost basis includes reinvested interest and dividends that have been earned on the trust assets. Fair value includes unrealized gains and losses on trust assets.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composition of the preneed trust funds at March 31, 2021 is as follows (in thousands):</w:t>
      </w:r>
    </w:p>
    <w:p>
      <w:pPr>
        <w:spacing w:after="0" w:line="28"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6"/>
                <w:szCs w:val="16"/>
                <w:b w:val="1"/>
                <w:bCs w:val="1"/>
                <w:color w:val="auto"/>
              </w:rPr>
              <w:t>Historical</w:t>
            </w:r>
          </w:p>
        </w:tc>
        <w:tc>
          <w:tcPr>
            <w:tcW w:w="400" w:type="dxa"/>
            <w:vAlign w:val="bottom"/>
          </w:tcPr>
          <w:p>
            <w:pPr>
              <w:spacing w:after="0"/>
              <w:rPr>
                <w:sz w:val="16"/>
                <w:szCs w:val="16"/>
                <w:color w:val="auto"/>
              </w:rPr>
            </w:pPr>
          </w:p>
        </w:tc>
        <w:tc>
          <w:tcPr>
            <w:tcW w:w="12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Arial" w:cs="Arial" w:eastAsia="Arial" w:hAnsi="Arial"/>
                <w:sz w:val="16"/>
                <w:szCs w:val="16"/>
                <w:b w:val="1"/>
                <w:bCs w:val="1"/>
                <w:color w:val="auto"/>
              </w:rPr>
              <w:t>Cost Basis</w:t>
            </w:r>
          </w:p>
        </w:tc>
        <w:tc>
          <w:tcPr>
            <w:tcW w:w="4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4,697</w:t>
            </w: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57"/>
        </w:trPr>
        <w:tc>
          <w:tcPr>
            <w:tcW w:w="564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400" w:type="dxa"/>
            <w:vAlign w:val="bottom"/>
          </w:tcPr>
          <w:p>
            <w:pPr>
              <w:spacing w:after="0"/>
              <w:rPr>
                <w:sz w:val="22"/>
                <w:szCs w:val="22"/>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10,473</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10,473</w:t>
            </w: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 and common stocks</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2,327</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Annuities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17,502</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17,581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composition of the preneed trust funds at December 31, 2020 is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Arial" w:cs="Arial" w:eastAsia="Arial" w:hAnsi="Arial"/>
                <w:sz w:val="16"/>
                <w:szCs w:val="16"/>
                <w:b w:val="1"/>
                <w:bCs w:val="1"/>
                <w:color w:val="auto"/>
              </w:rPr>
              <w:t>Historical</w:t>
            </w:r>
          </w:p>
        </w:tc>
        <w:tc>
          <w:tcPr>
            <w:tcW w:w="380" w:type="dxa"/>
            <w:vAlign w:val="bottom"/>
          </w:tcPr>
          <w:p>
            <w:pPr>
              <w:spacing w:after="0"/>
              <w:rPr>
                <w:sz w:val="16"/>
                <w:szCs w:val="16"/>
                <w:color w:val="auto"/>
              </w:rPr>
            </w:pPr>
          </w:p>
        </w:tc>
        <w:tc>
          <w:tcPr>
            <w:tcW w:w="128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ind w:left="280"/>
              <w:spacing w:after="0"/>
              <w:rPr>
                <w:sz w:val="20"/>
                <w:szCs w:val="20"/>
                <w:color w:val="auto"/>
              </w:rPr>
            </w:pPr>
            <w:r>
              <w:rPr>
                <w:rFonts w:ascii="Arial" w:cs="Arial" w:eastAsia="Arial" w:hAnsi="Arial"/>
                <w:sz w:val="16"/>
                <w:szCs w:val="16"/>
                <w:b w:val="1"/>
                <w:bCs w:val="1"/>
                <w:color w:val="auto"/>
              </w:rPr>
              <w:t>Cost Basis</w:t>
            </w: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4,604</w:t>
            </w:r>
          </w:p>
        </w:tc>
        <w:tc>
          <w:tcPr>
            <w:tcW w:w="2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4,604</w:t>
            </w:r>
          </w:p>
        </w:tc>
        <w:tc>
          <w:tcPr>
            <w:tcW w:w="0" w:type="dxa"/>
            <w:vAlign w:val="bottom"/>
          </w:tcPr>
          <w:p>
            <w:pPr>
              <w:spacing w:after="0"/>
              <w:rPr>
                <w:sz w:val="1"/>
                <w:szCs w:val="1"/>
                <w:color w:val="auto"/>
              </w:rPr>
            </w:pPr>
          </w:p>
        </w:tc>
      </w:tr>
      <w:tr>
        <w:trPr>
          <w:trHeight w:val="256"/>
        </w:trPr>
        <w:tc>
          <w:tcPr>
            <w:tcW w:w="566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38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10,355</w:t>
            </w: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 and common stocks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2,402</w:t>
            </w: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5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Annuities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17,365</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evaluated our financial assets and liabilities for those financial assets and liabilities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10) and Senior Notes (as defined in Note 12) are classified within Level 2 of the Fair Value Measurements hierarchy.</w:t>
      </w:r>
    </w:p>
    <w:p>
      <w:pPr>
        <w:spacing w:after="0" w:line="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 March 31, 2021, the carrying value and fair value of our Credit Facility was $28.3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March 31, 2021, the carrying value of our acquisition debt was $5.4 million, which approximated its fair value. The fair value of our Senior Notes was approximately $417.6 million at March 31, 2021 based on the last traded or broker quoted price.</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December 31, 2020 and March 31, 2021, we did not have any assets that had fair values determined by Level 3 inputs and no liabilities measured at fair value.</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identified investments in fixed income securities, common stock and mutual funds presented within the preneed and perpetual care trust investments categories on our Consolidated Balance Sheet as having met the criteria for fair value measurement. Our receivables from preneed trusts represent assets in trusts which are controlled and operated by third parties in which we do not have a controlling financial interest (less than 50%) in the trust assets. We account for these investments at cost.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color w:val="auto"/>
        </w:rPr>
        <w:t>See Notes 6 and 7 to our Consolidated Financial Statements herein for the fair value hierarchy levels of our trust investments.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7040" w:type="dxa"/>
            <w:vAlign w:val="bottom"/>
          </w:tcPr>
          <w:p>
            <w:pPr>
              <w:ind w:left="380"/>
              <w:spacing w:after="0"/>
              <w:rPr>
                <w:sz w:val="20"/>
                <w:szCs w:val="20"/>
                <w:color w:val="auto"/>
              </w:rPr>
            </w:pPr>
            <w:r>
              <w:rPr>
                <w:rFonts w:ascii="Arial" w:cs="Arial" w:eastAsia="Arial" w:hAnsi="Arial"/>
                <w:sz w:val="18"/>
                <w:szCs w:val="18"/>
                <w:b w:val="1"/>
                <w:bCs w:val="1"/>
                <w:color w:val="auto"/>
              </w:rPr>
              <w:t>INTANGIBLE AND OTHER NON-CURRENT ASSETS</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7040" w:type="dxa"/>
            <w:vAlign w:val="bottom"/>
          </w:tcPr>
          <w:p>
            <w:pPr>
              <w:ind w:left="140"/>
              <w:spacing w:after="0"/>
              <w:rPr>
                <w:sz w:val="20"/>
                <w:szCs w:val="20"/>
                <w:color w:val="auto"/>
              </w:rPr>
            </w:pPr>
            <w:r>
              <w:rPr>
                <w:rFonts w:ascii="Arial" w:cs="Arial" w:eastAsia="Arial" w:hAnsi="Arial"/>
                <w:sz w:val="18"/>
                <w:szCs w:val="18"/>
                <w:color w:val="auto"/>
              </w:rPr>
              <w:t>Intangible and other non-current assets are as follows (in thousands):</w:t>
            </w: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0"/>
        </w:trPr>
        <w:tc>
          <w:tcPr>
            <w:tcW w:w="28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2020</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7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Tradenames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w:t>
            </w:r>
          </w:p>
        </w:tc>
        <w:tc>
          <w:tcPr>
            <w:tcW w:w="2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23,565</w:t>
            </w:r>
          </w:p>
        </w:tc>
      </w:tr>
      <w:tr>
        <w:trPr>
          <w:trHeight w:val="176"/>
        </w:trPr>
        <w:tc>
          <w:tcPr>
            <w:tcW w:w="73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Prepaid agreements not-to-compete, net of accumulated amortization of $3,193 and $3,361,</w:t>
            </w:r>
          </w:p>
        </w:tc>
        <w:tc>
          <w:tcPr>
            <w:tcW w:w="28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Arial" w:cs="Arial" w:eastAsia="Arial" w:hAnsi="Arial"/>
                <w:sz w:val="18"/>
                <w:szCs w:val="18"/>
                <w:color w:val="auto"/>
              </w:rPr>
              <w:t>2,785</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2,676</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6"/>
        </w:trPr>
        <w:tc>
          <w:tcPr>
            <w:tcW w:w="7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Capitalized commissions on preneed contracts, net of accumulated amortization of $1,594 and</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3,141</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3,240</w:t>
            </w:r>
          </w:p>
        </w:tc>
      </w:tr>
      <w:tr>
        <w:trPr>
          <w:trHeight w:val="22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$1,746, respectively</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and other non-current assets,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29,502</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Tradenames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tradenames have indefinite lives and therefore are not amortized.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Agreements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Prepaid agreements not-to-compete are amortized over the term of the respective agreements, ranging generally from one to ten years. Amortization expense was $187,000 and $168,000 for the three months ended March 31, 2020 and 2021,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Commissions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capitalize our selling costs related to preneed cemetery merchandise and services and preneed funeral trust contracts. These costs are amortized on a straight-line basis over the average maturity period for our preneed cemetery merchandise and services contracts and preneed funeral trust contracts, of eight and ten years, respectively. Amortization expense related to capitalized commissions totaled $141,000 and $152,000 for the three months ended March 31, 2020 and 2021, respectively.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aggregate amortization expense for our non-compete agreements and capitalized commissions as of March 31, 2021 is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Non-Compete</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Capitalized</w:t>
            </w:r>
          </w:p>
        </w:tc>
      </w:tr>
      <w:tr>
        <w:trPr>
          <w:trHeight w:val="230"/>
        </w:trPr>
        <w:tc>
          <w:tcPr>
            <w:tcW w:w="7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Agreements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Commissions</w:t>
            </w:r>
          </w:p>
        </w:tc>
      </w:tr>
      <w:tr>
        <w:trPr>
          <w:trHeight w:val="21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Remainder of 2021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r>
      <w:tr>
        <w:trPr>
          <w:trHeight w:val="20"/>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ACQUISITION DEBT</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2021, our $190.0 million senior secured revolving credit facility (the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Facility is secured by a first-priority perfected security interest in and lien on substantially all of the Company’s personal property assets and those of the Credit Facility Guarantors.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jc w:val="both"/>
        <w:ind w:firstLine="405"/>
        <w:spacing w:after="0" w:line="263"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the Credit Facility also contains customary negative covenants, including, but not limited to, covenants that restrict (subject to certain exceptions) the ability of the Company and its subsidiaries party thereto as guarantors (the “Credit Facility Guarantors”) to incur additional indebtedness, grant liens on assets, make investments, engage in mergers and acquisitions, and pay dividends and other restricted payments, and certain financial covenants. As of March 31, 2021, we were subject to the following financial covenants under our Credit Facility: (A) a Total Leverage Ratio not to exceed 5.50 to 1.00,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in compliance with the total leverage ratio, fixed charge coverage ratio and senior secured leverage ratio covenants contained in our Credit Facility as of March 31, 2021.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Credit Facility and Acquisition debt consisted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2020</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28,300</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 net of accumulated amortization of $819 and $937, respectively</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Credit Facility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46,064</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debt, net of current portion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2021, we had outstanding borrowings under the Credit Facility of $28.3 million. We also had one letter of credit for $2.1 million outstanding under the Credit Facility, which bears interest at 3.125% and will expire on November 25, 2021. The letter of credit will automatically renew annually and secures our obligations under our various self-insured policies. At March 31, 2021, we had $159.6 million of availability under the Credit Facility after giving effect to the $2.1 million of the outstanding letter of credit.</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Outstanding borrowings under our Credit Facility bear interest at either a prime rate or a LIBOR rate, plus an applicable margin based upon our leverage ratio. At March 31, 2021, the prime rate margin was equivalent to 1.5% and the LIBOR rate margin was 2.5%. The weighted average interest rate on our Credit Facility was 4.3% and 3.3% for the three months ended March 31, 2020 and 2021, respectively.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interest expense and amortization of debt issuance costs related to our Credit Facility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 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445</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Credit Facility amortization of debt issuance costs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ind w:left="440"/>
              <w:spacing w:after="0"/>
              <w:rPr>
                <w:sz w:val="20"/>
                <w:szCs w:val="20"/>
                <w:color w:val="auto"/>
              </w:rPr>
            </w:pPr>
            <w:r>
              <w:rPr>
                <w:rFonts w:ascii="Arial" w:cs="Arial" w:eastAsia="Arial" w:hAnsi="Arial"/>
                <w:sz w:val="18"/>
                <w:szCs w:val="18"/>
                <w:color w:val="auto"/>
              </w:rPr>
              <w:t>118</w:t>
            </w:r>
          </w:p>
        </w:tc>
      </w:tr>
    </w:tbl>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18 to the Consolidated Financial Statements herein for additional information related to our Credit Facility.</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imputed interest expense related to our acquisition debt is as follows (in thousands):</w:t>
      </w:r>
    </w:p>
    <w:p>
      <w:pPr>
        <w:spacing w:after="0" w:line="50"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20320</wp:posOffset>
            </wp:positionV>
            <wp:extent cx="17913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6" w:lineRule="exact"/>
        <w:rPr>
          <w:sz w:val="20"/>
          <w:szCs w:val="20"/>
          <w:color w:val="auto"/>
        </w:rPr>
      </w:pPr>
    </w:p>
    <w:p>
      <w:pPr>
        <w:ind w:left="9400"/>
        <w:spacing w:after="0"/>
        <w:tabs>
          <w:tab w:leader="none" w:pos="1088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tabs>
          <w:tab w:leader="none" w:pos="8420" w:val="left"/>
          <w:tab w:leader="none" w:pos="9380" w:val="left"/>
          <w:tab w:leader="none" w:pos="9920" w:val="left"/>
          <w:tab w:leader="none" w:pos="10960" w:val="left"/>
        </w:tabs>
        <w:rPr>
          <w:sz w:val="20"/>
          <w:szCs w:val="20"/>
          <w:color w:val="auto"/>
        </w:rPr>
      </w:pPr>
      <w:r>
        <w:rPr>
          <w:rFonts w:ascii="Arial" w:cs="Arial" w:eastAsia="Arial" w:hAnsi="Arial"/>
          <w:sz w:val="18"/>
          <w:szCs w:val="18"/>
          <w:color w:val="auto"/>
        </w:rPr>
        <w:t>Acquisition debt imputed 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97</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NOTES</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During the three months ended March 31, 2021, we converted approximately $2.4 million in aggregate principal amount of our 2.75% convertible subordinated notes due 2021 (the “Convertible Notes”) held by certain holders for approximately $3.8 million in cash and recorded $1.4 million for the reacquisition of the equity component. The Convertible Notes matured on March 15, 2021, at which time all Convertible Notes outstanding, approximately $0.2 million in aggregate principal amount, were paid in full in cash at par value. Therefore, no Convertible Notes remain outstanding at March 31, 2021.</w:t>
      </w:r>
    </w:p>
    <w:p>
      <w:pPr>
        <w:spacing w:after="0" w:line="49"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The carrying values of the liability and equity components of our Convertible Notes are reflected on our Consolidated Balance Sheet as follows (in thousands):</w:t>
      </w: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Pr>
          <w:p>
            <w:pPr>
              <w:spacing w:after="0"/>
              <w:rPr>
                <w:sz w:val="18"/>
                <w:szCs w:val="18"/>
                <w:color w:val="auto"/>
              </w:rPr>
            </w:pPr>
          </w:p>
        </w:tc>
        <w:tc>
          <w:tcPr>
            <w:tcW w:w="1300" w:type="dxa"/>
            <w:vAlign w:val="bottom"/>
          </w:tcPr>
          <w:p>
            <w:pPr>
              <w:ind w:left="200"/>
              <w:spacing w:after="0"/>
              <w:rPr>
                <w:sz w:val="20"/>
                <w:szCs w:val="20"/>
                <w:color w:val="auto"/>
              </w:rPr>
            </w:pPr>
            <w:r>
              <w:rPr>
                <w:rFonts w:ascii="Arial" w:cs="Arial" w:eastAsia="Arial" w:hAnsi="Arial"/>
                <w:sz w:val="16"/>
                <w:szCs w:val="16"/>
                <w:b w:val="1"/>
                <w:bCs w:val="1"/>
                <w:color w:val="auto"/>
                <w:w w:val="94"/>
              </w:rPr>
              <w:t>March 31, 2021</w:t>
            </w:r>
          </w:p>
        </w:tc>
      </w:tr>
      <w:tr>
        <w:trPr>
          <w:trHeight w:val="220"/>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2,559</w:t>
            </w:r>
          </w:p>
        </w:tc>
        <w:tc>
          <w:tcPr>
            <w:tcW w:w="1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6"/>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Unamortized discount of liability component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175"/>
        </w:trPr>
        <w:tc>
          <w:tcPr>
            <w:tcW w:w="5820" w:type="dxa"/>
            <w:vAlign w:val="bottom"/>
          </w:tcPr>
          <w:p>
            <w:pPr>
              <w:ind w:left="220"/>
              <w:spacing w:after="0" w:line="176" w:lineRule="exact"/>
              <w:rPr>
                <w:sz w:val="20"/>
                <w:szCs w:val="20"/>
                <w:color w:val="auto"/>
              </w:rPr>
            </w:pPr>
            <w:r>
              <w:rPr>
                <w:rFonts w:ascii="Arial" w:cs="Arial" w:eastAsia="Arial" w:hAnsi="Arial"/>
                <w:sz w:val="18"/>
                <w:szCs w:val="18"/>
                <w:color w:val="auto"/>
                <w:w w:val="95"/>
              </w:rPr>
              <w:t>Convertible Notes issuance costs, net of accumulated amortization of $63</w:t>
            </w:r>
          </w:p>
        </w:tc>
        <w:tc>
          <w:tcPr>
            <w:tcW w:w="180" w:type="dxa"/>
            <w:vAlign w:val="bottom"/>
          </w:tcPr>
          <w:p>
            <w:pPr>
              <w:spacing w:after="0"/>
              <w:rPr>
                <w:sz w:val="15"/>
                <w:szCs w:val="15"/>
                <w:color w:val="auto"/>
              </w:rPr>
            </w:pP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ind w:left="1020"/>
              <w:spacing w:after="0" w:line="176" w:lineRule="exact"/>
              <w:rPr>
                <w:sz w:val="20"/>
                <w:szCs w:val="20"/>
                <w:color w:val="auto"/>
              </w:rPr>
            </w:pPr>
            <w:r>
              <w:rPr>
                <w:rFonts w:ascii="Arial" w:cs="Arial" w:eastAsia="Arial" w:hAnsi="Arial"/>
                <w:sz w:val="18"/>
                <w:szCs w:val="18"/>
                <w:color w:val="auto"/>
              </w:rPr>
              <w:t>—</w:t>
            </w:r>
          </w:p>
        </w:tc>
      </w:tr>
      <w:tr>
        <w:trPr>
          <w:trHeight w:val="237"/>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and $64, respectively</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5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the liability component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the equity component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The carrying value of the liability component and the carrying value of the equity component are recorded in </w:t>
      </w:r>
      <w:r>
        <w:rPr>
          <w:rFonts w:ascii="Arial" w:cs="Arial" w:eastAsia="Arial" w:hAnsi="Arial"/>
          <w:sz w:val="18"/>
          <w:szCs w:val="18"/>
          <w:i w:val="1"/>
          <w:iCs w:val="1"/>
          <w:color w:val="auto"/>
        </w:rPr>
        <w:t>Convertible subordinated notes due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2021 </w:t>
      </w:r>
      <w:r>
        <w:rPr>
          <w:rFonts w:ascii="Arial" w:cs="Arial" w:eastAsia="Arial" w:hAnsi="Arial"/>
          <w:sz w:val="18"/>
          <w:szCs w:val="18"/>
          <w:color w:val="auto"/>
        </w:rPr>
        <w:t>and</w:t>
      </w:r>
      <w:r>
        <w:rPr>
          <w:rFonts w:ascii="Arial" w:cs="Arial" w:eastAsia="Arial" w:hAnsi="Arial"/>
          <w:sz w:val="18"/>
          <w:szCs w:val="18"/>
          <w:i w:val="1"/>
          <w:iCs w:val="1"/>
          <w:color w:val="auto"/>
        </w:rPr>
        <w:t xml:space="preserve"> Additional paid-in capital</w:t>
      </w:r>
      <w:r>
        <w:rPr>
          <w:rFonts w:ascii="Arial" w:cs="Arial" w:eastAsia="Arial" w:hAnsi="Arial"/>
          <w:sz w:val="18"/>
          <w:szCs w:val="18"/>
          <w:color w:val="auto"/>
        </w:rPr>
        <w:t>, respectively, on our Consolidated Balance Sheet at December 31, 2020.</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interest expense and accretion of debt discount and debt issuance costs related to our Convertible Notes are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10"/>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Convertible Notes accretion of debt discount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amortization of debt issuance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 interest rate on the unamortized debt discount for both the three months ended March 31, 2020 and 2021 was 11.4%. The effective interest rate on the debt issuance costs for the three months ended March 31, 2020 and 2021 was 3.2% and 3.1%, respectively.</w:t>
      </w:r>
    </w:p>
    <w:p>
      <w:pPr>
        <w:spacing w:after="0" w:line="22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right="20" w:firstLine="405"/>
        <w:spacing w:after="0" w:line="274" w:lineRule="auto"/>
        <w:rPr>
          <w:sz w:val="20"/>
          <w:szCs w:val="20"/>
          <w:color w:val="auto"/>
        </w:rPr>
      </w:pPr>
      <w:r>
        <w:rPr>
          <w:rFonts w:ascii="Arial" w:cs="Arial" w:eastAsia="Arial" w:hAnsi="Arial"/>
          <w:sz w:val="18"/>
          <w:szCs w:val="18"/>
          <w:color w:val="auto"/>
        </w:rPr>
        <w:t>The carrying value of our 6.625% senior notes due 2026 (the “Senior Notes”) is reflected on our Consolidated Balance Sheet as follows (in thousands):</w:t>
      </w: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20"/>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30"/>
        </w:trPr>
        <w:tc>
          <w:tcPr>
            <w:tcW w:w="5960" w:type="dxa"/>
            <w:vAlign w:val="bottom"/>
          </w:tcPr>
          <w:p>
            <w:pPr>
              <w:ind w:left="220"/>
              <w:spacing w:after="0"/>
              <w:rPr>
                <w:sz w:val="20"/>
                <w:szCs w:val="20"/>
                <w:color w:val="auto"/>
              </w:rPr>
            </w:pPr>
            <w:r>
              <w:rPr>
                <w:rFonts w:ascii="Arial" w:cs="Arial" w:eastAsia="Arial" w:hAnsi="Arial"/>
                <w:sz w:val="18"/>
                <w:szCs w:val="18"/>
                <w:color w:val="auto"/>
              </w:rPr>
              <w:t>Principal amount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6"/>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5"/>
        </w:trPr>
        <w:tc>
          <w:tcPr>
            <w:tcW w:w="5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Debt premium, net of accumulated amortization of $221 and $279,</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1,467</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1,409</w:t>
            </w: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175"/>
        </w:trPr>
        <w:tc>
          <w:tcPr>
            <w:tcW w:w="5960" w:type="dxa"/>
            <w:vAlign w:val="bottom"/>
          </w:tcPr>
          <w:p>
            <w:pPr>
              <w:ind w:left="220"/>
              <w:spacing w:after="0" w:line="176" w:lineRule="exact"/>
              <w:rPr>
                <w:sz w:val="20"/>
                <w:szCs w:val="20"/>
                <w:color w:val="auto"/>
              </w:rPr>
            </w:pPr>
            <w:r>
              <w:rPr>
                <w:rFonts w:ascii="Arial" w:cs="Arial" w:eastAsia="Arial" w:hAnsi="Arial"/>
                <w:sz w:val="18"/>
                <w:szCs w:val="18"/>
                <w:color w:val="auto"/>
              </w:rPr>
              <w:t>Debt discount, net of accumulated amortization of $1,293 and $1,431,</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596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(3,582)</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(3,444)</w:t>
            </w:r>
          </w:p>
        </w:tc>
      </w:tr>
      <w:tr>
        <w:trPr>
          <w:trHeight w:val="175"/>
        </w:trPr>
        <w:tc>
          <w:tcPr>
            <w:tcW w:w="5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Debt issuance costs, net of accumulated amortization of $496 and $570,</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3"/>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Carrying value of the Senior Notes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395,968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396,122</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2021, the fair value of the Senior Notes, which are Level 2 measurements, was $417.6 million.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Senior Notes were issued under an indenture, dated as of May 31, 2018 (the “Indenture”), among us, certain of our existing subsidiaries (collectively, the “Subsidiary Guarantors”), as guarantors, and Wilmington Trust, National Association., as trustee. The Senior Notes are unsecured, senior obligations and are fully and unconditionally guaranteed on a senior unsecured basis, jointly and severally, by each of the Subsidiary Guarantors. The Senior Notes are due on June 1, 2026 unless earlier redeemed or repurchased and bear interest at 6.625% per year, which is payable semi-annually in arrears on June 1 and December 1 of each year.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jc w:val="both"/>
        <w:ind w:firstLine="405"/>
        <w:spacing w:after="0" w:line="290" w:lineRule="auto"/>
        <w:rPr>
          <w:sz w:val="20"/>
          <w:szCs w:val="20"/>
          <w:color w:val="auto"/>
        </w:rPr>
      </w:pPr>
      <w:r>
        <w:rPr>
          <w:rFonts w:ascii="Arial" w:cs="Arial" w:eastAsia="Arial" w:hAnsi="Arial"/>
          <w:sz w:val="16"/>
          <w:szCs w:val="16"/>
          <w:color w:val="auto"/>
        </w:rPr>
        <w:t>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plus accrued and unpaid interest, if any, to the date of redemption. Additionally, at any time before June 1, 2021, we may redeem up to 40% of the aggregate principal amount of the Senior Notes issued with an amount equal to the net proceeds of certain equity offerings, at a price equal to 106.625% of the principal amount of the Senior Notes, plus accrued and unpaid interest, if any, to the date of redemption; provided that (1) at least 60% of the aggregate principal amount of the Senior Notes (including any additional Senior Notes) originally issued under the Indenture remain outstanding immediately after the occurrence of such redemption (excluding Senior Notes held by us); and (2) each such redemption must occur within 180 days of the date of the closing of each such equity offering.</w:t>
      </w:r>
    </w:p>
    <w:p>
      <w:pPr>
        <w:spacing w:after="0" w:line="5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0"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The interest expense and amortization of debt discount, debt premium and debt issuance costs related to our Senior Notes are as follows (in thousands):</w:t>
      </w:r>
    </w:p>
    <w:tbl>
      <w:tblPr>
        <w:tblLayout w:type="fixed"/>
        <w:tblInd w:w="0" w:type="dxa"/>
        <w:tblCellMar>
          <w:top w:w="0" w:type="dxa"/>
          <w:left w:w="0" w:type="dxa"/>
          <w:bottom w:w="0" w:type="dxa"/>
          <w:right w:w="0" w:type="dxa"/>
        </w:tblCellMar>
      </w:tblPr>
      <w:tr>
        <w:trPr>
          <w:trHeight w:val="213"/>
        </w:trPr>
        <w:tc>
          <w:tcPr>
            <w:tcW w:w="8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10"/>
        </w:trPr>
        <w:tc>
          <w:tcPr>
            <w:tcW w:w="8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Senior Notes amortization of debt discount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amortization of debt premium</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Senior Notes amortization of debt issuance costs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debt discount, the debt premium and the debt issuance costs are being amortized using the effective interest method over the remaining term of approximately 62 months of the Senior Notes. The effective interest rate on the unamortized debt discount and the unamortized debt issuance costs for the Senior Notes, issued in May 2018, for both three months ended March 31, 2020 and 2021 was 6.87% and 6.69%, respectively. The effective interest rate on the unamortized debt premium and the unamortized debt issuance costs for the Senior Notes, issued in December 2019, for both three months ended March 31, 2020 and 2021 was 6.20% and 6.88%, respectively.</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30, 2021, we delivered a notice of conditional redemption to the trustee for the Senior Notes to call for redemption on June 1, 2021, all of the outstanding aggregate principal amount of the Senior Notes at a redemption price of 104.969% of the principal amount thereof, plus accrued and unpaid interest up to, but excluding, the scheduled redemption date. See Note 18 to the Consolidated Financial Statements herein for additional information regarding the notice of conditional redemption for our Senior Notes.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firstLine="405"/>
        <w:spacing w:after="0" w:line="274" w:lineRule="auto"/>
        <w:rPr>
          <w:sz w:val="20"/>
          <w:szCs w:val="20"/>
          <w:color w:val="auto"/>
        </w:rPr>
      </w:pPr>
      <w:r>
        <w:rPr>
          <w:rFonts w:ascii="Arial" w:cs="Arial" w:eastAsia="Arial" w:hAnsi="Arial"/>
          <w:sz w:val="18"/>
          <w:szCs w:val="18"/>
          <w:color w:val="auto"/>
        </w:rPr>
        <w:t>Our lease obligations consist of operating and finance leases related to real estate and equipment. The components of lease cost are as follows (in thousands):</w:t>
      </w: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13"/>
        </w:trPr>
        <w:tc>
          <w:tcPr>
            <w:tcW w:w="5020" w:type="dxa"/>
            <w:vAlign w:val="bottom"/>
          </w:tcPr>
          <w:p>
            <w:pPr>
              <w:spacing w:after="0"/>
              <w:rPr>
                <w:sz w:val="18"/>
                <w:szCs w:val="18"/>
                <w:color w:val="auto"/>
              </w:rPr>
            </w:pPr>
          </w:p>
        </w:tc>
        <w:tc>
          <w:tcPr>
            <w:tcW w:w="3400" w:type="dxa"/>
            <w:vAlign w:val="bottom"/>
            <w:gridSpan w:val="2"/>
          </w:tcPr>
          <w:p>
            <w:pPr>
              <w:ind w:left="500"/>
              <w:spacing w:after="0"/>
              <w:rPr>
                <w:sz w:val="20"/>
                <w:szCs w:val="20"/>
                <w:color w:val="auto"/>
              </w:rPr>
            </w:pPr>
            <w:r>
              <w:rPr>
                <w:rFonts w:ascii="Arial" w:cs="Arial" w:eastAsia="Arial" w:hAnsi="Arial"/>
                <w:sz w:val="16"/>
                <w:szCs w:val="16"/>
                <w:b w:val="1"/>
                <w:bCs w:val="1"/>
                <w:color w:val="auto"/>
              </w:rPr>
              <w:t>Income Statement Classification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22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3"/>
                <w:szCs w:val="23"/>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4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148"/>
        </w:trPr>
        <w:tc>
          <w:tcPr>
            <w:tcW w:w="5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Depreciation of leased assets</w:t>
            </w:r>
          </w:p>
        </w:tc>
        <w:tc>
          <w:tcPr>
            <w:tcW w:w="34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3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ind w:left="460" w:hanging="400"/>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Facilities and grounds expense is included within </w:t>
      </w:r>
      <w:r>
        <w:rPr>
          <w:rFonts w:ascii="Arial" w:cs="Arial" w:eastAsia="Arial" w:hAnsi="Arial"/>
          <w:sz w:val="16"/>
          <w:szCs w:val="16"/>
          <w:i w:val="1"/>
          <w:iCs w:val="1"/>
          <w:color w:val="auto"/>
        </w:rPr>
        <w:t>Cost of service</w:t>
      </w:r>
      <w:r>
        <w:rPr>
          <w:rFonts w:ascii="Arial" w:cs="Arial" w:eastAsia="Arial" w:hAnsi="Arial"/>
          <w:sz w:val="16"/>
          <w:szCs w:val="16"/>
          <w:color w:val="auto"/>
        </w:rPr>
        <w:t xml:space="preserve"> and </w:t>
      </w:r>
      <w:r>
        <w:rPr>
          <w:rFonts w:ascii="Arial" w:cs="Arial" w:eastAsia="Arial" w:hAnsi="Arial"/>
          <w:sz w:val="16"/>
          <w:szCs w:val="16"/>
          <w:i w:val="1"/>
          <w:iCs w:val="1"/>
          <w:color w:val="auto"/>
        </w:rPr>
        <w:t>General, administrative and other</w:t>
      </w:r>
      <w:r>
        <w:rPr>
          <w:rFonts w:ascii="Arial" w:cs="Arial" w:eastAsia="Arial" w:hAnsi="Arial"/>
          <w:sz w:val="16"/>
          <w:szCs w:val="16"/>
          <w:color w:val="auto"/>
        </w:rPr>
        <w:t xml:space="preserve"> on our Consolidated Statements of Operations.</w:t>
      </w:r>
    </w:p>
    <w:p>
      <w:pPr>
        <w:spacing w:after="0" w:line="32" w:lineRule="exact"/>
        <w:rPr>
          <w:rFonts w:ascii="Arial" w:cs="Arial" w:eastAsia="Arial" w:hAnsi="Arial"/>
          <w:sz w:val="16"/>
          <w:szCs w:val="16"/>
          <w:color w:val="auto"/>
        </w:rPr>
      </w:pPr>
    </w:p>
    <w:p>
      <w:pPr>
        <w:ind w:left="460" w:right="60" w:hanging="400"/>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Depreciation and amortization expense is included within </w:t>
      </w:r>
      <w:r>
        <w:rPr>
          <w:rFonts w:ascii="Arial" w:cs="Arial" w:eastAsia="Arial" w:hAnsi="Arial"/>
          <w:sz w:val="16"/>
          <w:szCs w:val="16"/>
          <w:i w:val="1"/>
          <w:iCs w:val="1"/>
          <w:color w:val="auto"/>
        </w:rPr>
        <w:t>Field depreciation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Home office depreciation and amortization</w:t>
      </w:r>
      <w:r>
        <w:rPr>
          <w:rFonts w:ascii="Arial" w:cs="Arial" w:eastAsia="Arial" w:hAnsi="Arial"/>
          <w:sz w:val="16"/>
          <w:szCs w:val="16"/>
          <w:color w:val="auto"/>
        </w:rPr>
        <w:t xml:space="preserve"> on our Consolidated Statements of Operations.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our leases is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9"/>
          </w:tcPr>
          <w:p>
            <w:pPr>
              <w:jc w:val="right"/>
              <w:ind w:right="712"/>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paid for operating leases included in operating activities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3"/>
          </w:tcPr>
          <w:p>
            <w:pPr>
              <w:ind w:left="20"/>
              <w:spacing w:after="0"/>
              <w:rPr>
                <w:sz w:val="20"/>
                <w:szCs w:val="20"/>
                <w:color w:val="auto"/>
              </w:rPr>
            </w:pPr>
            <w:r>
              <w:rPr>
                <w:rFonts w:ascii="Arial" w:cs="Arial" w:eastAsia="Arial" w:hAnsi="Arial"/>
                <w:sz w:val="18"/>
                <w:szCs w:val="18"/>
                <w:color w:val="auto"/>
              </w:rPr>
              <w:t>Cash paid for finance leases included in financing activities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7420" w:type="dxa"/>
            <w:vAlign w:val="bottom"/>
            <w:gridSpan w:val="3"/>
          </w:tcPr>
          <w:p>
            <w:pPr>
              <w:ind w:left="400"/>
              <w:spacing w:after="0"/>
              <w:rPr>
                <w:sz w:val="20"/>
                <w:szCs w:val="20"/>
                <w:color w:val="auto"/>
              </w:rPr>
            </w:pPr>
            <w:r>
              <w:rPr>
                <w:rFonts w:ascii="Arial" w:cs="Arial" w:eastAsia="Arial" w:hAnsi="Arial"/>
                <w:sz w:val="18"/>
                <w:szCs w:val="18"/>
                <w:color w:val="auto"/>
              </w:rPr>
              <w:t>Right-of-use assets obtained in exchange for new leases is as follows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9"/>
          </w:tcPr>
          <w:p>
            <w:pPr>
              <w:jc w:val="right"/>
              <w:ind w:right="712"/>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left="932"/>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7"/>
          </w:tcPr>
          <w:p>
            <w:pPr>
              <w:jc w:val="center"/>
              <w:ind w:left="692"/>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7420" w:type="dxa"/>
            <w:vAlign w:val="bottom"/>
            <w:gridSpan w:val="3"/>
          </w:tcPr>
          <w:p>
            <w:pPr>
              <w:ind w:left="400"/>
              <w:spacing w:after="0"/>
              <w:rPr>
                <w:sz w:val="20"/>
                <w:szCs w:val="20"/>
                <w:color w:val="auto"/>
              </w:rPr>
            </w:pPr>
            <w:r>
              <w:rPr>
                <w:rFonts w:ascii="Arial" w:cs="Arial" w:eastAsia="Arial" w:hAnsi="Arial"/>
                <w:sz w:val="18"/>
                <w:szCs w:val="18"/>
                <w:color w:val="auto"/>
              </w:rPr>
              <w:t>Supplemental balance sheet information related to leases is as follows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40" w:type="dxa"/>
            <w:vAlign w:val="bottom"/>
          </w:tcPr>
          <w:p>
            <w:pPr>
              <w:ind w:left="1280"/>
              <w:spacing w:after="0"/>
              <w:rPr>
                <w:sz w:val="20"/>
                <w:szCs w:val="20"/>
                <w:color w:val="auto"/>
              </w:rPr>
            </w:pPr>
            <w:r>
              <w:rPr>
                <w:rFonts w:ascii="Arial" w:cs="Arial" w:eastAsia="Arial" w:hAnsi="Arial"/>
                <w:sz w:val="16"/>
                <w:szCs w:val="16"/>
                <w:b w:val="1"/>
                <w:bCs w:val="1"/>
                <w:color w:val="auto"/>
              </w:rPr>
              <w:t>Lease Type</w:t>
            </w:r>
          </w:p>
        </w:tc>
        <w:tc>
          <w:tcPr>
            <w:tcW w:w="4380" w:type="dxa"/>
            <w:vAlign w:val="bottom"/>
            <w:gridSpan w:val="2"/>
          </w:tcPr>
          <w:p>
            <w:pPr>
              <w:ind w:left="1440"/>
              <w:spacing w:after="0"/>
              <w:rPr>
                <w:sz w:val="20"/>
                <w:szCs w:val="20"/>
                <w:color w:val="auto"/>
              </w:rPr>
            </w:pPr>
            <w:r>
              <w:rPr>
                <w:rFonts w:ascii="Arial" w:cs="Arial" w:eastAsia="Arial" w:hAnsi="Arial"/>
                <w:sz w:val="16"/>
                <w:szCs w:val="16"/>
                <w:b w:val="1"/>
                <w:bCs w:val="1"/>
                <w:color w:val="auto"/>
              </w:rPr>
              <w:t>Balance Sheet Classification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7"/>
          </w:tcPr>
          <w:p>
            <w:pPr>
              <w:ind w:left="180"/>
              <w:spacing w:after="0"/>
              <w:rPr>
                <w:sz w:val="20"/>
                <w:szCs w:val="20"/>
                <w:color w:val="auto"/>
              </w:rPr>
            </w:pPr>
            <w:r>
              <w:rPr>
                <w:rFonts w:ascii="Arial" w:cs="Arial" w:eastAsia="Arial" w:hAnsi="Arial"/>
                <w:sz w:val="16"/>
                <w:szCs w:val="16"/>
                <w:b w:val="1"/>
                <w:bCs w:val="1"/>
                <w:color w:val="auto"/>
                <w:w w:val="99"/>
              </w:rPr>
              <w:t>December 31, 2020</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438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Operating lease right-of-use assets</w:t>
            </w:r>
          </w:p>
        </w:tc>
        <w:tc>
          <w:tcPr>
            <w:tcW w:w="40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21,201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w:t>
            </w:r>
          </w:p>
        </w:tc>
        <w:tc>
          <w:tcPr>
            <w:tcW w:w="438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Property, plant and equipment, net</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6,770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43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i w:val="1"/>
                <w:iCs w:val="1"/>
                <w:color w:val="auto"/>
              </w:rPr>
              <w:t>Property, plant and equipment, net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color w:val="auto"/>
                <w:w w:val="91"/>
              </w:rPr>
              <w:t>(2,005)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 net</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4,765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current liabilities</w:t>
            </w:r>
          </w:p>
        </w:tc>
        <w:tc>
          <w:tcPr>
            <w:tcW w:w="438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Current portion of operating lease obligations</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lease current liabilities</w:t>
            </w:r>
          </w:p>
        </w:tc>
        <w:tc>
          <w:tcPr>
            <w:tcW w:w="43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i w:val="1"/>
                <w:iCs w:val="1"/>
                <w:color w:val="auto"/>
              </w:rPr>
              <w:t>Current portion of finance lease obligations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lease liabilities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non-current liabilities</w:t>
            </w:r>
          </w:p>
        </w:tc>
        <w:tc>
          <w:tcPr>
            <w:tcW w:w="4780" w:type="dxa"/>
            <w:vAlign w:val="bottom"/>
            <w:gridSpan w:val="5"/>
            <w:shd w:val="clear" w:color="auto" w:fill="CCEEFF"/>
          </w:tcPr>
          <w:p>
            <w:pPr>
              <w:ind w:left="320"/>
              <w:spacing w:after="0"/>
              <w:rPr>
                <w:sz w:val="20"/>
                <w:szCs w:val="20"/>
                <w:color w:val="auto"/>
              </w:rPr>
            </w:pPr>
            <w:r>
              <w:rPr>
                <w:rFonts w:ascii="Arial" w:cs="Arial" w:eastAsia="Arial" w:hAnsi="Arial"/>
                <w:sz w:val="18"/>
                <w:szCs w:val="18"/>
                <w:i w:val="1"/>
                <w:iCs w:val="1"/>
                <w:color w:val="auto"/>
                <w:w w:val="94"/>
              </w:rPr>
              <w:t xml:space="preserve">Obligations under operating leases, net of current portion </w:t>
            </w:r>
            <w:r>
              <w:rPr>
                <w:rFonts w:ascii="Arial" w:cs="Arial" w:eastAsia="Arial" w:hAnsi="Arial"/>
                <w:sz w:val="18"/>
                <w:szCs w:val="18"/>
                <w:color w:val="auto"/>
                <w:w w:val="94"/>
              </w:rPr>
              <w:t>$</w:t>
            </w: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20,302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lease non-current liabilities</w:t>
            </w:r>
          </w:p>
        </w:tc>
        <w:tc>
          <w:tcPr>
            <w:tcW w:w="438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i w:val="1"/>
                <w:iCs w:val="1"/>
                <w:color w:val="auto"/>
                <w:w w:val="92"/>
              </w:rPr>
              <w:t>Obligations under finance leases, net of current portion</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5,531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lease liabilities</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25,833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3"/>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28,238</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Arial" w:cs="Arial" w:eastAsia="Arial" w:hAnsi="Arial"/>
                <w:sz w:val="18"/>
                <w:szCs w:val="18"/>
                <w:color w:val="auto"/>
              </w:rPr>
              <w:t>The average lease terms and discount rates at March 31, 2021 are as follows:</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74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9"/>
          </w:tcPr>
          <w:p>
            <w:pPr>
              <w:jc w:val="center"/>
              <w:ind w:right="520"/>
              <w:spacing w:after="0"/>
              <w:rPr>
                <w:sz w:val="20"/>
                <w:szCs w:val="20"/>
                <w:color w:val="auto"/>
              </w:rPr>
            </w:pPr>
            <w:r>
              <w:rPr>
                <w:rFonts w:ascii="Arial" w:cs="Arial" w:eastAsia="Arial" w:hAnsi="Arial"/>
                <w:sz w:val="16"/>
                <w:szCs w:val="16"/>
                <w:b w:val="1"/>
                <w:bCs w:val="1"/>
                <w:color w:val="auto"/>
                <w:w w:val="91"/>
              </w:rPr>
              <w:t>Weighted-average</w:t>
            </w:r>
          </w:p>
        </w:tc>
        <w:tc>
          <w:tcPr>
            <w:tcW w:w="140" w:type="dxa"/>
            <w:vAlign w:val="bottom"/>
          </w:tcPr>
          <w:p>
            <w:pPr>
              <w:spacing w:after="0"/>
              <w:rPr>
                <w:sz w:val="16"/>
                <w:szCs w:val="16"/>
                <w:color w:val="auto"/>
              </w:rPr>
            </w:pPr>
          </w:p>
        </w:tc>
        <w:tc>
          <w:tcPr>
            <w:tcW w:w="160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w w:val="91"/>
              </w:rPr>
              <w:t>Weighted-average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9"/>
          </w:tcPr>
          <w:p>
            <w:pPr>
              <w:ind w:left="20"/>
              <w:spacing w:after="0" w:line="162" w:lineRule="exact"/>
              <w:rPr>
                <w:sz w:val="20"/>
                <w:szCs w:val="20"/>
                <w:color w:val="auto"/>
              </w:rPr>
            </w:pPr>
            <w:r>
              <w:rPr>
                <w:rFonts w:ascii="Arial" w:cs="Arial" w:eastAsia="Arial" w:hAnsi="Arial"/>
                <w:sz w:val="16"/>
                <w:szCs w:val="16"/>
                <w:b w:val="1"/>
                <w:bCs w:val="1"/>
                <w:color w:val="auto"/>
              </w:rPr>
              <w:t>remaining lease term</w:t>
            </w:r>
          </w:p>
        </w:tc>
        <w:tc>
          <w:tcPr>
            <w:tcW w:w="1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7"/>
          </w:tcPr>
          <w:p>
            <w:pPr>
              <w:jc w:val="center"/>
              <w:ind w:right="900"/>
              <w:spacing w:after="0"/>
              <w:rPr>
                <w:sz w:val="20"/>
                <w:szCs w:val="20"/>
                <w:color w:val="auto"/>
              </w:rPr>
            </w:pPr>
            <w:r>
              <w:rPr>
                <w:rFonts w:ascii="Arial" w:cs="Arial" w:eastAsia="Arial" w:hAnsi="Arial"/>
                <w:sz w:val="16"/>
                <w:szCs w:val="16"/>
                <w:b w:val="1"/>
                <w:bCs w:val="1"/>
                <w:color w:val="auto"/>
                <w:w w:val="87"/>
              </w:rPr>
              <w:t>(years)</w:t>
            </w:r>
          </w:p>
        </w:tc>
        <w:tc>
          <w:tcPr>
            <w:tcW w:w="140" w:type="dxa"/>
            <w:vAlign w:val="bottom"/>
          </w:tcPr>
          <w:p>
            <w:pPr>
              <w:spacing w:after="0"/>
              <w:rPr>
                <w:sz w:val="18"/>
                <w:szCs w:val="18"/>
                <w:color w:val="auto"/>
              </w:rPr>
            </w:pPr>
          </w:p>
        </w:tc>
        <w:tc>
          <w:tcPr>
            <w:tcW w:w="1600" w:type="dxa"/>
            <w:vAlign w:val="bottom"/>
          </w:tcPr>
          <w:p>
            <w:pPr>
              <w:jc w:val="right"/>
              <w:ind w:right="412"/>
              <w:spacing w:after="0"/>
              <w:rPr>
                <w:sz w:val="20"/>
                <w:szCs w:val="20"/>
                <w:color w:val="auto"/>
              </w:rPr>
            </w:pPr>
            <w:r>
              <w:rPr>
                <w:rFonts w:ascii="Arial" w:cs="Arial" w:eastAsia="Arial" w:hAnsi="Arial"/>
                <w:sz w:val="16"/>
                <w:szCs w:val="16"/>
                <w:b w:val="1"/>
                <w:bCs w:val="1"/>
                <w:color w:val="auto"/>
              </w:rPr>
              <w:t>discount rate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Finance leases</w:t>
            </w: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1" w:right="3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29" w:name="page30"/>
    <w:bookmarkEnd w:id="29"/>
    <w:p>
      <w:pPr>
        <w:ind w:left="420"/>
        <w:spacing w:after="0"/>
        <w:rPr>
          <w:sz w:val="20"/>
          <w:szCs w:val="20"/>
          <w:color w:val="auto"/>
        </w:rPr>
      </w:pPr>
      <w:r>
        <w:rPr>
          <w:rFonts w:ascii="Arial" w:cs="Arial" w:eastAsia="Arial" w:hAnsi="Arial"/>
          <w:sz w:val="18"/>
          <w:szCs w:val="18"/>
          <w:color w:val="auto"/>
        </w:rPr>
        <w:t>The aggregate future lease payments for operating and finance leases as of March 31, 2021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ind w:left="280"/>
              <w:spacing w:after="0"/>
              <w:rPr>
                <w:sz w:val="20"/>
                <w:szCs w:val="20"/>
                <w:color w:val="auto"/>
              </w:rPr>
            </w:pPr>
            <w:r>
              <w:rPr>
                <w:rFonts w:ascii="Arial" w:cs="Arial" w:eastAsia="Arial" w:hAnsi="Arial"/>
                <w:sz w:val="16"/>
                <w:szCs w:val="16"/>
                <w:b w:val="1"/>
                <w:bCs w:val="1"/>
                <w:color w:val="auto"/>
              </w:rPr>
              <w:t>Operating</w:t>
            </w:r>
          </w:p>
        </w:tc>
        <w:tc>
          <w:tcPr>
            <w:tcW w:w="440" w:type="dxa"/>
            <w:vAlign w:val="bottom"/>
          </w:tcPr>
          <w:p>
            <w:pPr>
              <w:spacing w:after="0"/>
              <w:rPr>
                <w:sz w:val="18"/>
                <w:szCs w:val="18"/>
                <w:color w:val="auto"/>
              </w:rPr>
            </w:pPr>
          </w:p>
        </w:tc>
        <w:tc>
          <w:tcPr>
            <w:tcW w:w="1320" w:type="dxa"/>
            <w:vAlign w:val="bottom"/>
          </w:tcPr>
          <w:p>
            <w:pPr>
              <w:jc w:val="right"/>
              <w:ind w:right="331"/>
              <w:spacing w:after="0"/>
              <w:rPr>
                <w:sz w:val="20"/>
                <w:szCs w:val="20"/>
                <w:color w:val="auto"/>
              </w:rPr>
            </w:pPr>
            <w:r>
              <w:rPr>
                <w:rFonts w:ascii="Arial" w:cs="Arial" w:eastAsia="Arial" w:hAnsi="Arial"/>
                <w:sz w:val="16"/>
                <w:szCs w:val="16"/>
                <w:b w:val="1"/>
                <w:bCs w:val="1"/>
                <w:color w:val="auto"/>
              </w:rPr>
              <w:t>Finance</w:t>
            </w:r>
          </w:p>
        </w:tc>
      </w:tr>
      <w:tr>
        <w:trPr>
          <w:trHeight w:val="212"/>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payments due:</w:t>
            </w: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Remainder of 2021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2,854</w:t>
            </w:r>
          </w:p>
        </w:tc>
        <w:tc>
          <w:tcPr>
            <w:tcW w:w="2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7460" w:type="dxa"/>
            <w:vAlign w:val="bottom"/>
          </w:tcPr>
          <w:p>
            <w:pPr>
              <w:ind w:left="14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32,261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9,429</w:t>
            </w:r>
          </w:p>
        </w:tc>
      </w:tr>
      <w:tr>
        <w:trPr>
          <w:trHeight w:val="229"/>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21,933</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r>
      <w:tr>
        <w:trPr>
          <w:trHeight w:val="20"/>
        </w:trPr>
        <w:tc>
          <w:tcPr>
            <w:tcW w:w="7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2021, we had no additional significant operating or finance leases that had not yet commenced.</w:t>
      </w:r>
    </w:p>
    <w:p>
      <w:pPr>
        <w:spacing w:after="0" w:line="27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2021, we issued restricted stock to certain employees totaling 9,300 shares that vest over a three-year period and had an aggregate grant date market value of $324,000 at a weighted average stock price of $34.79. During the three months ended March 31, 2020, we issued restricted stock to certain employees totaling 10,200 shares that vest over a three-year period and had an aggregate grant date market value of $255,000 at a weighted average stock price of $25.00.</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for restricted stock awards of $184,000 and $121,000, for the three months ended March 31, 2020 and 2021,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2021, we granted 701,400 options to certain key employee at a weighted average price of $34.79. These options will vest in one-fifth increments over a five-year period and have a ten-year term. The fair value of these options was $7.1 million. During the three months ended March 31, 2020, we did not issue any stock options.</w:t>
      </w:r>
    </w:p>
    <w:p>
      <w:pPr>
        <w:spacing w:after="0" w:line="76"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The fair value of the options granted were estimated on the date of grant using the Black-Scholes option pricing model with the following assumptions:</w:t>
      </w:r>
    </w:p>
    <w:tbl>
      <w:tblPr>
        <w:tblLayout w:type="fixed"/>
        <w:tblInd w:w="0" w:type="dxa"/>
        <w:tblCellMar>
          <w:top w:w="0" w:type="dxa"/>
          <w:left w:w="0" w:type="dxa"/>
          <w:bottom w:w="0" w:type="dxa"/>
          <w:right w:w="0" w:type="dxa"/>
        </w:tblCellMar>
      </w:tblPr>
      <w:tr>
        <w:trPr>
          <w:trHeight w:val="213"/>
        </w:trPr>
        <w:tc>
          <w:tcPr>
            <w:tcW w:w="8620" w:type="dxa"/>
            <w:vAlign w:val="bottom"/>
            <w:gridSpan w:val="2"/>
          </w:tcPr>
          <w:p>
            <w:pPr>
              <w:ind w:left="20"/>
              <w:spacing w:after="0"/>
              <w:rPr>
                <w:sz w:val="20"/>
                <w:szCs w:val="20"/>
                <w:color w:val="auto"/>
              </w:rPr>
            </w:pPr>
            <w:r>
              <w:rPr>
                <w:rFonts w:ascii="Arial" w:cs="Arial" w:eastAsia="Arial" w:hAnsi="Arial"/>
                <w:sz w:val="16"/>
                <w:szCs w:val="16"/>
                <w:b w:val="1"/>
                <w:bCs w:val="1"/>
                <w:color w:val="auto"/>
              </w:rPr>
              <w:t>Grant date</w:t>
            </w:r>
          </w:p>
        </w:tc>
        <w:tc>
          <w:tcPr>
            <w:tcW w:w="2620" w:type="dxa"/>
            <w:vAlign w:val="bottom"/>
          </w:tcPr>
          <w:p>
            <w:pPr>
              <w:jc w:val="right"/>
              <w:spacing w:after="0"/>
              <w:rPr>
                <w:sz w:val="20"/>
                <w:szCs w:val="20"/>
                <w:color w:val="auto"/>
              </w:rPr>
            </w:pPr>
            <w:r>
              <w:rPr>
                <w:rFonts w:ascii="Arial" w:cs="Arial" w:eastAsia="Arial" w:hAnsi="Arial"/>
                <w:sz w:val="16"/>
                <w:szCs w:val="16"/>
                <w:b w:val="1"/>
                <w:bCs w:val="1"/>
                <w:color w:val="auto"/>
              </w:rPr>
              <w:t>February 17, 2021</w:t>
            </w:r>
          </w:p>
        </w:tc>
      </w:tr>
      <w:tr>
        <w:trPr>
          <w:trHeight w:val="226"/>
        </w:trPr>
        <w:tc>
          <w:tcPr>
            <w:tcW w:w="8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0"/>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2620" w:type="dxa"/>
            <w:vAlign w:val="bottom"/>
          </w:tcPr>
          <w:p>
            <w:pPr>
              <w:jc w:val="right"/>
              <w:spacing w:after="0"/>
              <w:rPr>
                <w:sz w:val="20"/>
                <w:szCs w:val="20"/>
                <w:color w:val="auto"/>
              </w:rPr>
            </w:pPr>
            <w:r>
              <w:rPr>
                <w:rFonts w:ascii="Arial" w:cs="Arial" w:eastAsia="Arial" w:hAnsi="Arial"/>
                <w:sz w:val="18"/>
                <w:szCs w:val="18"/>
                <w:color w:val="auto"/>
              </w:rPr>
              <w:t>36.72 %</w:t>
            </w:r>
          </w:p>
        </w:tc>
      </w:tr>
      <w:tr>
        <w:trPr>
          <w:trHeight w:val="23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0.57 %</w:t>
            </w:r>
          </w:p>
        </w:tc>
      </w:tr>
      <w:tr>
        <w:trPr>
          <w:trHeight w:val="229"/>
        </w:trPr>
        <w:tc>
          <w:tcPr>
            <w:tcW w:w="8620" w:type="dxa"/>
            <w:vAlign w:val="bottom"/>
            <w:gridSpan w:val="2"/>
          </w:tcPr>
          <w:p>
            <w:pPr>
              <w:ind w:left="20"/>
              <w:spacing w:after="0"/>
              <w:rPr>
                <w:sz w:val="20"/>
                <w:szCs w:val="20"/>
                <w:color w:val="auto"/>
              </w:rPr>
            </w:pPr>
            <w:r>
              <w:rPr>
                <w:rFonts w:ascii="Arial" w:cs="Arial" w:eastAsia="Arial" w:hAnsi="Arial"/>
                <w:sz w:val="18"/>
                <w:szCs w:val="18"/>
                <w:color w:val="auto"/>
              </w:rPr>
              <w:t>Expected holding period (years)</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Black-Scholes value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2021, employees exercised 101,000 stock options at a weighted average exercise price of $24.18 with an aggregate intrinsic value of $1.3 million. We received $147,000 in cash for payment of the option price and we withheld $295,000 for payment of payroll taxes. In addition, we accelerated 12,980 options in connection with the resignation of an employee which resulted in an additional $129,000 of stock-based compensation expense.</w:t>
      </w:r>
    </w:p>
    <w:p>
      <w:pPr>
        <w:spacing w:after="0" w:line="7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During the three months ended March 31, 2021, we also granted an additional 150,000 options to a certain key employee at a weighted average price of $34.79. These options will vest when the price of our common stock closes at or above the specified prices below for three consecutive days within the ten-year term and the employee has remained continuously employed by us through such date. The fair value of these options was $1.7 million.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jc w:val="both"/>
        <w:ind w:firstLine="405"/>
        <w:spacing w:after="0" w:line="274" w:lineRule="auto"/>
        <w:rPr>
          <w:sz w:val="20"/>
          <w:szCs w:val="20"/>
          <w:color w:val="auto"/>
        </w:rPr>
      </w:pPr>
      <w:r>
        <w:rPr>
          <w:rFonts w:ascii="Arial" w:cs="Arial" w:eastAsia="Arial" w:hAnsi="Arial"/>
          <w:sz w:val="18"/>
          <w:szCs w:val="18"/>
          <w:color w:val="auto"/>
        </w:rPr>
        <w:t>The fair value of the options granted were estimated on the date of grant using the Monte-Carlo simulation pricing model using the following assumptions:</w:t>
      </w:r>
    </w:p>
    <w:tbl>
      <w:tblPr>
        <w:tblLayout w:type="fixed"/>
        <w:tblInd w:w="0" w:type="dxa"/>
        <w:tblCellMar>
          <w:top w:w="0" w:type="dxa"/>
          <w:left w:w="0" w:type="dxa"/>
          <w:bottom w:w="0" w:type="dxa"/>
          <w:right w:w="0" w:type="dxa"/>
        </w:tblCellMar>
      </w:tblPr>
      <w:tr>
        <w:trPr>
          <w:trHeight w:val="213"/>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Grant date</w:t>
            </w:r>
          </w:p>
        </w:tc>
        <w:tc>
          <w:tcPr>
            <w:tcW w:w="2680" w:type="dxa"/>
            <w:vAlign w:val="bottom"/>
            <w:gridSpan w:val="2"/>
          </w:tcPr>
          <w:p>
            <w:pPr>
              <w:ind w:left="1300"/>
              <w:spacing w:after="0"/>
              <w:rPr>
                <w:sz w:val="20"/>
                <w:szCs w:val="20"/>
                <w:color w:val="auto"/>
              </w:rPr>
            </w:pPr>
            <w:r>
              <w:rPr>
                <w:rFonts w:ascii="Arial" w:cs="Arial" w:eastAsia="Arial" w:hAnsi="Arial"/>
                <w:sz w:val="16"/>
                <w:szCs w:val="16"/>
                <w:b w:val="1"/>
                <w:bCs w:val="1"/>
                <w:color w:val="auto"/>
              </w:rPr>
              <w:t>February 17, 2021</w:t>
            </w:r>
          </w:p>
        </w:tc>
        <w:tc>
          <w:tcPr>
            <w:tcW w:w="2580" w:type="dxa"/>
            <w:vAlign w:val="bottom"/>
          </w:tcPr>
          <w:p>
            <w:pPr>
              <w:jc w:val="right"/>
              <w:spacing w:after="0"/>
              <w:rPr>
                <w:sz w:val="20"/>
                <w:szCs w:val="20"/>
                <w:color w:val="auto"/>
              </w:rPr>
            </w:pPr>
            <w:r>
              <w:rPr>
                <w:rFonts w:ascii="Arial" w:cs="Arial" w:eastAsia="Arial" w:hAnsi="Arial"/>
                <w:sz w:val="16"/>
                <w:szCs w:val="16"/>
                <w:b w:val="1"/>
                <w:bCs w:val="1"/>
                <w:color w:val="auto"/>
              </w:rPr>
              <w:t>February 17, 2021</w:t>
            </w:r>
          </w:p>
        </w:tc>
      </w:tr>
      <w:tr>
        <w:trPr>
          <w:trHeight w:val="226"/>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Awards granted</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Fair value (in millions)</w:t>
            </w:r>
          </w:p>
        </w:tc>
        <w:tc>
          <w:tcPr>
            <w:tcW w:w="2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Vesting share price</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258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1.15 %</w:t>
            </w: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34.08 %</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34.08 %</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258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1.29 %</w:t>
            </w:r>
          </w:p>
        </w:tc>
      </w:tr>
    </w:tbl>
    <w:p>
      <w:pPr>
        <w:spacing w:after="0" w:line="14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for stock options, including the accelerated stock options discussed above of $215,000 and $560,000, for the three months ended March 31, 2020 and 2021,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2021, we did not issue any performance awards and we cancelled 27,948 performance awards in connection with the resignation of two employees.</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months ended March 31, 2020, we issued 237,500 performance awards to certain employees, payable in shares, with a fair value of $2.8 million. On May 19, 2020, we cancelled all performance award agreements previously awarded to all individuals during 2019 and the February 19, 2020 award. Concurrently with the cancellation, the Compensation Committee of the Board of Directors (the “Board”) approved 368,921 new performance awards to be issued to certain employees. These new performance awards were treated as a modification of the cancelled awards and resulted in an additional $1.7 million of incremental compensation costs.</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for performance awards of $121,000 and $237,000 for the three months ended March 31, 2020 and 2021,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three months ended March 31, 2021, employees purchased a total of 18,182 shares at a weighted average price of $26.32 per share. During the three months ended March 31, 2020, employees purchased a total of 26,294 shares at a weighted average price of $13.73 per share.</w:t>
      </w:r>
    </w:p>
    <w:p>
      <w:pPr>
        <w:spacing w:after="0" w:line="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fair value of the right (option) to purchase shares under the ESPP is estimated at the date of purchase with the four quarterly purchase dates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2021</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40" w:type="dxa"/>
            <w:vAlign w:val="bottom"/>
          </w:tcPr>
          <w:p>
            <w:pPr>
              <w:jc w:val="right"/>
              <w:spacing w:after="0"/>
              <w:rPr>
                <w:sz w:val="20"/>
                <w:szCs w:val="20"/>
                <w:color w:val="auto"/>
              </w:rPr>
            </w:pPr>
            <w:r>
              <w:rPr>
                <w:rFonts w:ascii="Arial" w:cs="Arial" w:eastAsia="Arial" w:hAnsi="Arial"/>
                <w:sz w:val="18"/>
                <w:szCs w:val="18"/>
                <w:color w:val="auto"/>
              </w:rPr>
              <w:t>48.14%</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0.09%, 0.10%, 0.10%</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740" w:type="dxa"/>
            <w:vAlign w:val="bottom"/>
          </w:tcPr>
          <w:p>
            <w:pPr>
              <w:jc w:val="right"/>
              <w:spacing w:after="0"/>
              <w:rPr>
                <w:sz w:val="20"/>
                <w:szCs w:val="20"/>
                <w:color w:val="auto"/>
              </w:rPr>
            </w:pPr>
            <w:r>
              <w:rPr>
                <w:rFonts w:ascii="Arial" w:cs="Arial" w:eastAsia="Arial" w:hAnsi="Arial"/>
                <w:sz w:val="18"/>
                <w:szCs w:val="18"/>
                <w:color w:val="auto"/>
              </w:rPr>
              <w:t>0.25, 0.50, 0.75, 1.00</w:t>
            </w:r>
          </w:p>
        </w:tc>
      </w:tr>
    </w:tbl>
    <w:p>
      <w:pPr>
        <w:spacing w:after="0" w:line="147"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 xml:space="preserve">We recorded stock-based compensation expense, which is included in </w:t>
      </w:r>
      <w:r>
        <w:rPr>
          <w:rFonts w:ascii="Arial" w:cs="Arial" w:eastAsia="Arial" w:hAnsi="Arial"/>
          <w:sz w:val="16"/>
          <w:szCs w:val="16"/>
          <w:i w:val="1"/>
          <w:iCs w:val="1"/>
          <w:color w:val="auto"/>
        </w:rPr>
        <w:t>General, administrative and other expenses and Regional and unallocated</w:t>
      </w:r>
      <w:r>
        <w:rPr>
          <w:rFonts w:ascii="Arial" w:cs="Arial" w:eastAsia="Arial" w:hAnsi="Arial"/>
          <w:sz w:val="16"/>
          <w:szCs w:val="16"/>
          <w:color w:val="auto"/>
        </w:rPr>
        <w:t xml:space="preserve"> </w:t>
      </w:r>
      <w:r>
        <w:rPr>
          <w:rFonts w:ascii="Arial" w:cs="Arial" w:eastAsia="Arial" w:hAnsi="Arial"/>
          <w:sz w:val="16"/>
          <w:szCs w:val="16"/>
          <w:i w:val="1"/>
          <w:iCs w:val="1"/>
          <w:color w:val="auto"/>
        </w:rPr>
        <w:t>funeral and cemetery costs</w:t>
      </w:r>
      <w:r>
        <w:rPr>
          <w:rFonts w:ascii="Arial" w:cs="Arial" w:eastAsia="Arial" w:hAnsi="Arial"/>
          <w:sz w:val="16"/>
          <w:szCs w:val="16"/>
          <w:color w:val="auto"/>
        </w:rPr>
        <w:t>, for the ESPP totaling $163,000 and $206,000 for the three months ended March 31, 2020 and 2021,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2021, we granted 5,040 shares of our common stock to six Directors, which were valued at $177,000 at a weighted average stock price of $35.19. During the three months ended March 31, 2020, we granted 8,821 shares of our common stock to five Directors, which were valued at $147,000 at a weighted average stock price of $16.15.</w:t>
      </w:r>
    </w:p>
    <w:p>
      <w:pPr>
        <w:spacing w:after="0" w:line="7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 xml:space="preserve">We recorded stock-based compensation expense, which is included in </w:t>
      </w:r>
      <w:r>
        <w:rPr>
          <w:rFonts w:ascii="Arial" w:cs="Arial" w:eastAsia="Arial" w:hAnsi="Arial"/>
          <w:sz w:val="16"/>
          <w:szCs w:val="16"/>
          <w:i w:val="1"/>
          <w:iCs w:val="1"/>
          <w:color w:val="auto"/>
        </w:rPr>
        <w:t>General, administrative and other expenses</w:t>
      </w:r>
      <w:r>
        <w:rPr>
          <w:rFonts w:ascii="Arial" w:cs="Arial" w:eastAsia="Arial" w:hAnsi="Arial"/>
          <w:sz w:val="16"/>
          <w:szCs w:val="16"/>
          <w:color w:val="auto"/>
        </w:rPr>
        <w:t>, related to annual retainers, including the value of stock granted to Directors above, of $201,000 and $231,000 for the three months ended March 31, 2020 and 2021,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Share Repurchase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July 31, 2019, our Board approved an additional $25.0 million under our share repurchase program in accordance with Rule 10b-18 of the Securities Exchange Act of 1934, as amended. During the three months ended March 31, 2021, we did not repurchase any shares of our common stock. At March 31, 2021, we had approximately $25.6 million available for repurchases under our share repurchase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Board declared the following dividends payable on the dates below (in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2021</w:t>
            </w:r>
          </w:p>
        </w:tc>
        <w:tc>
          <w:tcPr>
            <w:tcW w:w="7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Dollar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March 1</w:t>
            </w:r>
            <w:r>
              <w:rPr>
                <w:rFonts w:ascii="Arial" w:cs="Arial" w:eastAsia="Arial" w:hAnsi="Arial"/>
                <w:sz w:val="23"/>
                <w:szCs w:val="23"/>
                <w:color w:val="auto"/>
                <w:vertAlign w:val="superscript"/>
              </w:rPr>
              <w:t>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311"/>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2020</w:t>
            </w:r>
          </w:p>
        </w:tc>
        <w:tc>
          <w:tcPr>
            <w:tcW w:w="7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24"/>
                <w:szCs w:val="24"/>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w w:val="98"/>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March 1</w:t>
            </w:r>
            <w:r>
              <w:rPr>
                <w:rFonts w:ascii="Arial" w:cs="Arial" w:eastAsia="Arial" w:hAnsi="Arial"/>
                <w:sz w:val="23"/>
                <w:szCs w:val="23"/>
                <w:color w:val="auto"/>
                <w:vertAlign w:val="superscript"/>
              </w:rPr>
              <w:t>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r>
    </w:tbl>
    <w:p>
      <w:pPr>
        <w:spacing w:after="0" w:line="34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the basic and diluted earnings per share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6"/>
                <w:szCs w:val="16"/>
                <w:b w:val="1"/>
                <w:bCs w:val="1"/>
                <w:color w:val="auto"/>
                <w:w w:val="92"/>
              </w:rPr>
              <w:t>Three months ended March 31,</w:t>
            </w:r>
          </w:p>
        </w:tc>
      </w:tr>
      <w:tr>
        <w:trPr>
          <w:trHeight w:val="210"/>
        </w:trPr>
        <w:tc>
          <w:tcPr>
            <w:tcW w:w="6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89"/>
              </w:rPr>
              <w:t>2021</w:t>
            </w:r>
          </w:p>
        </w:tc>
      </w:tr>
      <w:tr>
        <w:trPr>
          <w:trHeight w:val="23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earnings per share:</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57"/>
        </w:trPr>
        <w:tc>
          <w:tcPr>
            <w:tcW w:w="6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(4,197)</w:t>
            </w:r>
          </w:p>
        </w:tc>
        <w:tc>
          <w:tcPr>
            <w:tcW w:w="2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12,933</w:t>
            </w:r>
          </w:p>
        </w:tc>
      </w:tr>
      <w:tr>
        <w:trPr>
          <w:trHeight w:val="257"/>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Loss (earnings) allocated to unvested restricted stock</w:t>
            </w: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9"/>
              </w:rPr>
              <w:t>(27)</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70"/>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Denominator for basic earnings per common share - weighted average shares outstanding</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17,965</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w w:val="90"/>
              </w:rPr>
              <w:t>Denominator for diluted earnings per common share - weighted average shares outstanding</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17,805</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6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57"/>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2020 there were 1,034,084 stock options excluded from the computation of diluted earnings per share because the inclusion of such stock options would result in an antidilutive effect and 27,085 shares were excluded from the computation of diluted earnings per share amounts because the loss attributable to common stockholders was a loss, not income. For the three months ended March 31, 2021, no stock options were excluded from the computation of diluted earnings per share.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disaggregated by major source for each of our reportable segments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Funeral</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Cemetery</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43,522</w:t>
            </w:r>
          </w:p>
        </w:tc>
        <w:tc>
          <w:tcPr>
            <w:tcW w:w="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Merchandise</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24,461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Cemetery property</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71,774</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Funeral</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Arial" w:cs="Arial" w:eastAsia="Arial" w:hAnsi="Arial"/>
                <w:sz w:val="16"/>
                <w:szCs w:val="16"/>
                <w:b w:val="1"/>
                <w:bCs w:val="1"/>
                <w:color w:val="auto"/>
              </w:rPr>
              <w:t>Cemetery</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37,559</w:t>
            </w:r>
          </w:p>
        </w:tc>
        <w:tc>
          <w:tcPr>
            <w:tcW w:w="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Merchandise</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20,700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Cemetery property</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61,742</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3"/>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3"/>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9640" w:type="dxa"/>
            <w:vAlign w:val="bottom"/>
            <w:gridSpan w:val="15"/>
          </w:tcPr>
          <w:p>
            <w:pPr>
              <w:ind w:left="380"/>
              <w:spacing w:after="0"/>
              <w:rPr>
                <w:sz w:val="20"/>
                <w:szCs w:val="20"/>
                <w:color w:val="auto"/>
              </w:rPr>
            </w:pPr>
            <w:r>
              <w:rPr>
                <w:rFonts w:ascii="Arial" w:cs="Arial" w:eastAsia="Arial" w:hAnsi="Arial"/>
                <w:sz w:val="18"/>
                <w:szCs w:val="18"/>
                <w:color w:val="auto"/>
                <w:w w:val="96"/>
              </w:rPr>
              <w:t>The following table presents operating income (loss), income (loss) before income taxes and total assets (in thousands):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ind w:left="620"/>
              <w:spacing w:after="0"/>
              <w:rPr>
                <w:sz w:val="20"/>
                <w:szCs w:val="20"/>
                <w:color w:val="auto"/>
              </w:rPr>
            </w:pPr>
            <w:r>
              <w:rPr>
                <w:rFonts w:ascii="Arial" w:cs="Arial" w:eastAsia="Arial" w:hAnsi="Arial"/>
                <w:sz w:val="14"/>
                <w:szCs w:val="14"/>
                <w:b w:val="1"/>
                <w:bCs w:val="1"/>
                <w:color w:val="auto"/>
              </w:rPr>
              <w:t>Funeral</w:t>
            </w:r>
          </w:p>
        </w:tc>
        <w:tc>
          <w:tcPr>
            <w:tcW w:w="240" w:type="dxa"/>
            <w:vAlign w:val="bottom"/>
          </w:tcPr>
          <w:p>
            <w:pPr>
              <w:spacing w:after="0"/>
              <w:rPr>
                <w:sz w:val="18"/>
                <w:szCs w:val="18"/>
                <w:color w:val="auto"/>
              </w:rPr>
            </w:pPr>
          </w:p>
        </w:tc>
        <w:tc>
          <w:tcPr>
            <w:tcW w:w="1400" w:type="dxa"/>
            <w:vAlign w:val="bottom"/>
            <w:gridSpan w:val="4"/>
          </w:tcPr>
          <w:p>
            <w:pPr>
              <w:ind w:left="580"/>
              <w:spacing w:after="0"/>
              <w:rPr>
                <w:sz w:val="20"/>
                <w:szCs w:val="20"/>
                <w:color w:val="auto"/>
              </w:rPr>
            </w:pPr>
            <w:r>
              <w:rPr>
                <w:rFonts w:ascii="Arial" w:cs="Arial" w:eastAsia="Arial" w:hAnsi="Arial"/>
                <w:sz w:val="14"/>
                <w:szCs w:val="14"/>
                <w:b w:val="1"/>
                <w:bCs w:val="1"/>
                <w:color w:val="auto"/>
              </w:rPr>
              <w:t>Cemetery</w:t>
            </w:r>
          </w:p>
        </w:tc>
        <w:tc>
          <w:tcPr>
            <w:tcW w:w="280" w:type="dxa"/>
            <w:vAlign w:val="bottom"/>
          </w:tcPr>
          <w:p>
            <w:pPr>
              <w:spacing w:after="0"/>
              <w:rPr>
                <w:sz w:val="18"/>
                <w:szCs w:val="18"/>
                <w:color w:val="auto"/>
              </w:rPr>
            </w:pPr>
          </w:p>
        </w:tc>
        <w:tc>
          <w:tcPr>
            <w:tcW w:w="1220" w:type="dxa"/>
            <w:vAlign w:val="bottom"/>
            <w:gridSpan w:val="3"/>
          </w:tcPr>
          <w:p>
            <w:pPr>
              <w:ind w:left="4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Three months ended March 31, 2021</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25,876</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9,493</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(9,123)</w:t>
            </w:r>
          </w:p>
        </w:tc>
        <w:tc>
          <w:tcPr>
            <w:tcW w:w="8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Three months ended March 31, 2020</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4,167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Three months ended March 31, 2021</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25,718</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9,476</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(16,620)</w:t>
            </w:r>
          </w:p>
        </w:tc>
        <w:tc>
          <w:tcPr>
            <w:tcW w:w="8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Three months ended March 31, 2020</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4,105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March 31, 2021</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763,761</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378,945</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15,020</w:t>
            </w:r>
          </w:p>
        </w:tc>
        <w:tc>
          <w:tcPr>
            <w:tcW w:w="8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1,157,726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764,535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366,964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70"/>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- 37 -</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w w:val="87"/>
              </w:rPr>
              <w:t>17.</w:t>
            </w:r>
          </w:p>
        </w:tc>
        <w:tc>
          <w:tcPr>
            <w:tcW w:w="7020" w:type="dxa"/>
            <w:vAlign w:val="bottom"/>
          </w:tcPr>
          <w:p>
            <w:pPr>
              <w:ind w:left="420"/>
              <w:spacing w:after="0"/>
              <w:rPr>
                <w:sz w:val="20"/>
                <w:szCs w:val="20"/>
                <w:color w:val="auto"/>
              </w:rPr>
            </w:pPr>
            <w:r>
              <w:rPr>
                <w:rFonts w:ascii="Arial" w:cs="Arial" w:eastAsia="Arial" w:hAnsi="Arial"/>
                <w:sz w:val="18"/>
                <w:szCs w:val="18"/>
                <w:b w:val="1"/>
                <w:bCs w:val="1"/>
                <w:color w:val="auto"/>
              </w:rPr>
              <w:t>SUPPLEMENTARY DATA</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7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Balance Sheet</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w w:val="97"/>
              </w:rPr>
              <w:t>The following table presents the detail of certain balance sheet accounts (in thousands):</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0"/>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2020</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13"/>
        </w:trPr>
        <w:tc>
          <w:tcPr>
            <w:tcW w:w="4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Prepaid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1,919</w:t>
            </w:r>
          </w:p>
        </w:tc>
        <w:tc>
          <w:tcPr>
            <w:tcW w:w="2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1,913</w:t>
            </w:r>
          </w:p>
        </w:tc>
      </w:tr>
      <w:tr>
        <w:trPr>
          <w:trHeight w:val="230"/>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4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Total prepaid and other current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30"/>
        </w:trPr>
        <w:tc>
          <w:tcPr>
            <w:tcW w:w="4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Current portion of debt and lease obligations: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acquisition debt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2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portion of finance lease obligations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r>
      <w:tr>
        <w:trPr>
          <w:trHeight w:val="223"/>
        </w:trPr>
        <w:tc>
          <w:tcPr>
            <w:tcW w:w="4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Total current portion of debt and lease obligations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30"/>
        </w:trPr>
        <w:tc>
          <w:tcPr>
            <w:tcW w:w="4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Accrued and other liabilities: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wages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r>
      <w:tr>
        <w:trPr>
          <w:trHeight w:val="22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Accrued incentive compensation</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11,139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5,964</w:t>
            </w:r>
          </w:p>
        </w:tc>
      </w:tr>
      <w:tr>
        <w:trPr>
          <w:trHeight w:val="230"/>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r>
      <w:tr>
        <w:trPr>
          <w:trHeight w:val="22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Accrued insurance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3,507</w:t>
            </w:r>
          </w:p>
        </w:tc>
      </w:tr>
      <w:tr>
        <w:trPr>
          <w:trHeight w:val="230"/>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r>
      <w:tr>
        <w:trPr>
          <w:trHeight w:val="22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Accrued ad valorem and franchise taxes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29"/>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Employer payroll tax deferral</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Accrued commissions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30"/>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Perpetual care trust payable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4,392</w:t>
            </w:r>
          </w:p>
        </w:tc>
      </w:tr>
      <w:tr>
        <w:trPr>
          <w:trHeight w:val="230"/>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29"/>
        </w:trPr>
        <w:tc>
          <w:tcPr>
            <w:tcW w:w="4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Unrecognized tax benefit</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r>
      <w:tr>
        <w:trPr>
          <w:trHeight w:val="248"/>
        </w:trPr>
        <w:tc>
          <w:tcPr>
            <w:tcW w:w="40" w:type="dxa"/>
            <w:vAlign w:val="bottom"/>
          </w:tcPr>
          <w:p>
            <w:pPr>
              <w:spacing w:after="0"/>
              <w:rPr>
                <w:sz w:val="21"/>
                <w:szCs w:val="21"/>
                <w:color w:val="auto"/>
              </w:rPr>
            </w:pPr>
          </w:p>
        </w:tc>
        <w:tc>
          <w:tcPr>
            <w:tcW w:w="7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and other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31,138</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39,599</w:t>
            </w:r>
          </w:p>
        </w:tc>
      </w:tr>
      <w:tr>
        <w:trPr>
          <w:trHeight w:val="20"/>
        </w:trPr>
        <w:tc>
          <w:tcPr>
            <w:tcW w:w="40" w:type="dxa"/>
            <w:vAlign w:val="bottom"/>
          </w:tcPr>
          <w:p>
            <w:pPr>
              <w:spacing w:after="0" w:line="20" w:lineRule="exact"/>
              <w:rPr>
                <w:sz w:val="1"/>
                <w:szCs w:val="1"/>
                <w:color w:val="auto"/>
              </w:rPr>
            </w:pPr>
          </w:p>
        </w:tc>
        <w:tc>
          <w:tcPr>
            <w:tcW w:w="72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9"/>
        </w:trPr>
        <w:tc>
          <w:tcPr>
            <w:tcW w:w="40" w:type="dxa"/>
            <w:vAlign w:val="bottom"/>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Incentive compensation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2,975</w:t>
            </w:r>
          </w:p>
        </w:tc>
        <w:tc>
          <w:tcPr>
            <w:tcW w:w="2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4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Employer payroll tax deferral</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Accrued severance</w:t>
            </w:r>
          </w:p>
        </w:tc>
        <w:tc>
          <w:tcPr>
            <w:tcW w:w="3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48"/>
        </w:trPr>
        <w:tc>
          <w:tcPr>
            <w:tcW w:w="40" w:type="dxa"/>
            <w:vAlign w:val="bottom"/>
          </w:tcPr>
          <w:p>
            <w:pPr>
              <w:spacing w:after="0"/>
              <w:rPr>
                <w:sz w:val="21"/>
                <w:szCs w:val="21"/>
                <w:color w:val="auto"/>
              </w:rPr>
            </w:pPr>
          </w:p>
        </w:tc>
        <w:tc>
          <w:tcPr>
            <w:tcW w:w="7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long-term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r>
      <w:tr>
        <w:trPr>
          <w:trHeight w:val="20"/>
        </w:trPr>
        <w:tc>
          <w:tcPr>
            <w:tcW w:w="4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information is supplemental disclosure for the Consolidated Statements of Cash Flows (in thousands):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10"/>
        </w:trPr>
        <w:tc>
          <w:tcPr>
            <w:tcW w:w="7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and financing costs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616</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Cash paid for taxes</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532</w:t>
            </w:r>
          </w:p>
        </w:tc>
      </w:tr>
      <w:tr>
        <w:trPr>
          <w:trHeight w:val="23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donated real property</w:t>
            </w:r>
          </w:p>
        </w:tc>
        <w:tc>
          <w:tcPr>
            <w:tcW w:w="5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635</w:t>
            </w:r>
          </w:p>
        </w:tc>
      </w:tr>
    </w:tbl>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1B1D"/>
        </w:rPr>
        <w:t>New Notes Purchase Agreement</w:t>
      </w:r>
    </w:p>
    <w:p>
      <w:pPr>
        <w:spacing w:after="0" w:line="117"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1F1B1D"/>
        </w:rPr>
        <w:t>On April 29, 2021, we and certain of our existing subsidiaries (the “Subsidiary Guarantors”) entered into a Purchase Agreement with BofA Securities, Inc., as representative of the several initial purchasers named therein (collectively, the “Purchasers”), under which we agreed to sell $400 million in aggregate principal amount of 4.25% Senior Notes due 2029 (the “New Notes”) in a private placement to persons reasonably believed to be qualified institutional buyers pursuant to Rule 144A and to certain non-U.S. persons outside of the United States pursuant to Regulation S, each under the Securities Act of 1933, as amended. The New Notes will be issued pursuant to an indenture to be entered into among the Company, the Subsidiary Guarantors and Wilmington Trust, National Association, as trustee.</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34" w:name="page35"/>
    <w:bookmarkEnd w:id="34"/>
    <w:p>
      <w:pPr>
        <w:jc w:val="both"/>
        <w:ind w:firstLine="405"/>
        <w:spacing w:after="0" w:line="291" w:lineRule="auto"/>
        <w:rPr>
          <w:sz w:val="20"/>
          <w:szCs w:val="20"/>
          <w:color w:val="auto"/>
        </w:rPr>
      </w:pPr>
      <w:r>
        <w:rPr>
          <w:rFonts w:ascii="Arial" w:cs="Arial" w:eastAsia="Arial" w:hAnsi="Arial"/>
          <w:sz w:val="17"/>
          <w:szCs w:val="17"/>
          <w:color w:val="1F1B1D"/>
        </w:rPr>
        <w:t>The sale of the New Notes to the Purchasers is expected to settle on May 13, 2021, subject to customary closing conditions, and is expected to result in approximately $394 million in net proceeds to us after deducting the Purchasers’ discount and estimated offering expenses payable by us.</w:t>
      </w:r>
    </w:p>
    <w:p>
      <w:pPr>
        <w:spacing w:after="0" w:line="3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1F1B1D"/>
        </w:rPr>
        <w:t>We intend to use the net proceeds of the sale of the New Notes, together with borrowings under the amended and restated credit facility, which we expect to enter into concurrently with the settlement of the sale of the New Notes, to redeem all of our existing Senior Notes.</w:t>
      </w:r>
    </w:p>
    <w:p>
      <w:pPr>
        <w:spacing w:after="0" w:line="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1F1B1D"/>
        </w:rPr>
        <w:t>The New Notes will be our unsecured senior obligations and will bear interest at a rate of 4.25% per year. Interest will be payable semi-annually in arrears on May 15 and November 15 of each year, beginning on November 15, 2021. The New Notes will mature on May 15, 2029, unless earlier repurchased or redeemed.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1F1B1D"/>
        </w:rPr>
        <w:t>The New Notes will be guaranteed on a senior unsecured basis by the Subsidiary Guarantors.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1B1D"/>
        </w:rPr>
        <w:t>Notice of Conditional Redemption</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1F1B1D"/>
        </w:rPr>
        <w:t>On April 30, 2021, we delivered a notice of conditional redemption to the trustee for the Senior Notes to call for redemption on June 1, 2021, all of the outstanding aggregate principal amount of the Senior Notes at a redemption price of 104.969% of the principal amount thereof, plus accrued and unpaid interest up to, but excluding, the scheduled redemption date. Our redemption obligation is conditioned on and subject to the completion of the offering of New Notes and the entry into an amended and restated credit facility in connection with the closing of the offering.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The words “may”, “will”, “estimate”, “intend”, “believe”, “expect”, “seek”, “project”, “forecast”, “foresee”, “should”, “would”, “could”, “plan”, “anticipate” and other similar words or expressions are intended to identify forward-looking statements, which are generally not historical in nature. These forward-looking statements include, but are not limited to, statements regarding any projections of earnings, revenue, asset sales, cash flow, debt levels or other financial items; any statements of the plans, strategies and objectives of management for future operations or future acquisitions; any statements of the plans, timing and objectives of management for acquisition and divestiture activities; any statements of the plans, timing, expectations and objectives of management for future financing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4" w:lineRule="exact"/>
        <w:rPr>
          <w:sz w:val="20"/>
          <w:szCs w:val="20"/>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23" w:lineRule="exact"/>
        <w:rPr>
          <w:rFonts w:ascii="Arial" w:cs="Arial" w:eastAsia="Arial" w:hAnsi="Arial"/>
          <w:sz w:val="18"/>
          <w:szCs w:val="18"/>
          <w:color w:val="auto"/>
        </w:rPr>
      </w:pPr>
    </w:p>
    <w:p>
      <w:pPr>
        <w:ind w:left="580" w:hanging="329"/>
        <w:spacing w:after="0" w:line="250"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our incentive and compensation plans and programs, including such effects on our Standards Operating Model and our operational and financial performance;</w:t>
      </w: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execute our growth strategy;</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execution of our Standards Operating, 4E Leadership and Strategic Acquisition Models;</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number of deaths in our markets;</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consumer preferences and our ability to adapt to or meet those changes;</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preneed sales, including implementing our cemetery portfolio sales strategy;</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investment performance of our funeral and cemetery trust funds;</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 w:lineRule="exact"/>
        <w:rPr>
          <w:rFonts w:ascii="Arial" w:cs="Arial" w:eastAsia="Arial" w:hAnsi="Arial"/>
          <w:sz w:val="18"/>
          <w:szCs w:val="18"/>
          <w:color w:val="auto"/>
        </w:rPr>
      </w:pPr>
    </w:p>
    <w:p>
      <w:pPr>
        <w:ind w:left="580" w:hanging="329"/>
        <w:spacing w:after="0" w:line="250"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jc w:val="both"/>
        <w:ind w:left="580" w:hanging="329"/>
        <w:spacing w:after="0" w:line="255"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the timing, objectives and cost saving expectations related to anticipated financing activities, including our deleveraging program, forecasts and planned uses of free cash flow, expected plans and projections for refinancing our senior notes and future capital allocation, including potential acquisitions, share repurchases, dividend increases, or debt repayment plans;</w:t>
      </w:r>
    </w:p>
    <w:p>
      <w:pPr>
        <w:spacing w:after="0" w:line="1"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the projected financial performance metrics included in our updated Milestone Two-Year Scenario, if at all;</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timely and full payment of death benefits related to preneed funeral contracts funded through life insurance contracts;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condition of third-party insurance companies that fund our preneed funeral contracts;</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or unanticipated costs, such as insurance or taxes;</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level of indebtedness and the cash required to service our indebtedness;</w:t>
      </w:r>
    </w:p>
    <w:p>
      <w:pPr>
        <w:spacing w:after="0" w:line="9" w:lineRule="exact"/>
        <w:rPr>
          <w:rFonts w:ascii="Arial" w:cs="Arial" w:eastAsia="Arial" w:hAnsi="Arial"/>
          <w:sz w:val="18"/>
          <w:szCs w:val="18"/>
          <w:color w:val="auto"/>
        </w:rPr>
      </w:pPr>
    </w:p>
    <w:p>
      <w:pPr>
        <w:ind w:left="580" w:hanging="329"/>
        <w:spacing w:after="0" w:line="258"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federal income tax laws and regulations and the implementation and interpretation of these laws and regulations by the Internal Revenue Service;</w:t>
      </w: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the application of other applicable laws and regulations, including changes in such regulations or the interpretation thereof;</w:t>
      </w:r>
    </w:p>
    <w:p>
      <w:pPr>
        <w:spacing w:after="0" w:line="9" w:lineRule="exact"/>
        <w:rPr>
          <w:rFonts w:ascii="Arial" w:cs="Arial" w:eastAsia="Arial" w:hAnsi="Arial"/>
          <w:sz w:val="18"/>
          <w:szCs w:val="18"/>
          <w:color w:val="auto"/>
        </w:rPr>
      </w:pPr>
    </w:p>
    <w:p>
      <w:pPr>
        <w:ind w:left="580" w:hanging="329"/>
        <w:spacing w:after="0" w:line="258"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impact of epidemics and pandemics, including the COVID-19 coronavirus (“COVID-19”), on customer preferences and on our business;</w:t>
      </w: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litigation;</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consolidation of the funeral and cemetery industry;</w:t>
      </w:r>
    </w:p>
    <w:p>
      <w:pPr>
        <w:spacing w:after="0" w:line="9" w:lineRule="exact"/>
        <w:rPr>
          <w:rFonts w:ascii="Arial" w:cs="Arial" w:eastAsia="Arial" w:hAnsi="Arial"/>
          <w:sz w:val="18"/>
          <w:szCs w:val="18"/>
          <w:color w:val="auto"/>
        </w:rPr>
      </w:pPr>
    </w:p>
    <w:p>
      <w:pPr>
        <w:ind w:left="580" w:hanging="329"/>
        <w:spacing w:after="0" w:line="258"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consummate the divestiture of low performing businesses as currently expected, if at all, including expected use of proceeds related thereto;</w:t>
      </w:r>
    </w:p>
    <w:p>
      <w:pPr>
        <w:ind w:left="580" w:hanging="329"/>
        <w:spacing w:after="0" w:line="258"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integrate acquired businesses with our existing businesses, including expected performance and financial improvements related thereto;</w:t>
      </w:r>
    </w:p>
    <w:p>
      <w:pPr>
        <w:ind w:left="580" w:hanging="329"/>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financial and stock market fluctuations;</w:t>
      </w:r>
    </w:p>
    <w:p>
      <w:pPr>
        <w:spacing w:after="0" w:line="200" w:lineRule="exact"/>
        <w:rPr>
          <w:rFonts w:ascii="Arial" w:cs="Arial" w:eastAsia="Arial" w:hAnsi="Arial"/>
          <w:sz w:val="18"/>
          <w:szCs w:val="18"/>
          <w:color w:val="auto"/>
        </w:rPr>
      </w:pPr>
    </w:p>
    <w:p>
      <w:pPr>
        <w:spacing w:after="0" w:line="361" w:lineRule="exact"/>
        <w:rPr>
          <w:rFonts w:ascii="Arial" w:cs="Arial" w:eastAsia="Arial" w:hAnsi="Arial"/>
          <w:sz w:val="18"/>
          <w:szCs w:val="18"/>
          <w:color w:val="auto"/>
        </w:rPr>
      </w:pPr>
    </w:p>
    <w:p>
      <w:pPr>
        <w:ind w:left="5540" w:hanging="111"/>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or security lapses of our information technology, including any cybersecurity or ransomware incidents;</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maintain effective control over financial reporting; and</w:t>
      </w:r>
    </w:p>
    <w:p>
      <w:pPr>
        <w:spacing w:after="0" w:line="22" w:lineRule="exact"/>
        <w:rPr>
          <w:rFonts w:ascii="Arial" w:cs="Arial" w:eastAsia="Arial" w:hAnsi="Arial"/>
          <w:sz w:val="18"/>
          <w:szCs w:val="18"/>
          <w:color w:val="auto"/>
        </w:rPr>
      </w:pPr>
    </w:p>
    <w:p>
      <w:pPr>
        <w:ind w:left="580" w:hanging="329"/>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and uncertainties inherent in the funeral and cemetery industry.</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2020.</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Carriage Services, Inc. (“Carriage,” the “Company,” “we,” “us,” or “our”) was incorporated in the State of Delaware in December 1993 and is a leading U.S. provider of funeral and cemetery services and merchandise. We operate in two business segments: Funeral Home Operations, which currently account for approximately 75% of our revenue, and Cemetery Operations, which currently account for approximately 25% of our revenue.</w:t>
      </w:r>
    </w:p>
    <w:p>
      <w:pPr>
        <w:spacing w:after="0" w:line="5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At March 31, 2021, we operated 173 funeral homes in 26 states and 32 cemeteries in 12 states. We compete with other publicly held and independent operators of funeral and cemetery companies. We believe we are a market leader in most of our markets.</w:t>
      </w:r>
    </w:p>
    <w:p>
      <w:pPr>
        <w:spacing w:after="0" w:line="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cemeteries provide interment rights (primarily grave sites, lawn crypts, mausoleum spaces and niches), related cemetery merchandise (such as outer burial containers, memorial markers and floral placements) and services (interments, inurnments and installation of cemetery merchandise).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provide funeral and cemetery services and products on both an “atneed” (time of death) and “preneed” (planned prior to death)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Divestitures</w:t>
      </w:r>
    </w:p>
    <w:p>
      <w:pPr>
        <w:spacing w:after="0" w:line="117" w:lineRule="exact"/>
        <w:rPr>
          <w:sz w:val="20"/>
          <w:szCs w:val="20"/>
          <w:color w:val="auto"/>
        </w:rPr>
      </w:pPr>
    </w:p>
    <w:p>
      <w:pPr>
        <w:ind w:left="460" w:right="1360" w:hanging="39"/>
        <w:spacing w:after="0" w:line="406" w:lineRule="auto"/>
        <w:rPr>
          <w:sz w:val="20"/>
          <w:szCs w:val="20"/>
          <w:color w:val="auto"/>
        </w:rPr>
      </w:pPr>
      <w:r>
        <w:rPr>
          <w:rFonts w:ascii="Arial" w:cs="Arial" w:eastAsia="Arial" w:hAnsi="Arial"/>
          <w:sz w:val="18"/>
          <w:szCs w:val="18"/>
          <w:color w:val="auto"/>
        </w:rPr>
        <w:t xml:space="preserve">During the three months ended March 31, 2021, we divested two funeral homes for a total of $2.8 million, at a gain of $0.3 million. </w:t>
      </w:r>
      <w:r>
        <w:rPr>
          <w:rFonts w:ascii="Arial" w:cs="Arial" w:eastAsia="Arial" w:hAnsi="Arial"/>
          <w:sz w:val="18"/>
          <w:szCs w:val="18"/>
          <w:i w:val="1"/>
          <w:iCs w:val="1"/>
          <w:color w:val="auto"/>
        </w:rPr>
        <w:t>Convertible Notes Conversions and Maturity</w:t>
      </w:r>
    </w:p>
    <w:p>
      <w:pPr>
        <w:spacing w:after="0" w:line="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2021, we converted approximately $2.4 million in aggregate principal amount of our 2.75% convertible subordinated notes due 2021 (the “Convertible Notes”) held by certain holders for approximately $3.8 million in cash. The Convertible Notes matured on March 15, 2021, at which time all Convertible Notes outstanding, approximately $0.2 million in aggregate principal amount, were paid in full in cash at par value. Therefore, no Convertible Notes remain outstanding at March 31, 2021.</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Impact under the Macroeconomic Environment of COVID-19</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March 11, 2020, COVID-19 was deemed a global pandemic and since then, the Company has continued to proactively monitor and assess the pandemic’s current and potential impact to the Company’s operations. Beginning in early March 2020, the Company’s senior leadership team took certain steps to assist our businesses in appropriately adjusting and adapting to the conditions resulting from the COVID-19 pandemic. Our businesses have been designated as essential services and, therefore, each one of the Company’s business locations remains open and ready to provide service to their communities in this time of need. While our businesses provide an essential public function, along with a critical responsibility to the communities and families they serve, the health and safety of our employees and the families we serve remain our top priority. The Company has taken additional steps during this time to continually review and update our processes and procedures to comply with all regulatory mandates and procure additional supplies to ensure that each of our businesses have appropriate personal protective equipment to provide these essential services. Additionally, in many of our business locations, we have also updated staffing and service guidelines, such as reducing the number of team members present for a service, restricting the size and number of attendees and adjusting other operating procedures. The Company has also implemented additional safety and precautionary measures as it concerns our businesses’ day-to-day interaction with the families and communities they serve.</w:t>
      </w:r>
    </w:p>
    <w:p>
      <w:pPr>
        <w:spacing w:after="0" w:line="6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overall impact of the macroeconomic environment to the deathcare industry from COVID-19 may provide varying results as compared to other industries. Our industry’s revenues are impacted by various factors, including the number of funeral services performed, the average price for a service and the mix of traditional burial versus cremation contracts. Changes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both"/>
        <w:spacing w:after="0" w:line="273" w:lineRule="auto"/>
        <w:rPr>
          <w:sz w:val="20"/>
          <w:szCs w:val="20"/>
          <w:color w:val="auto"/>
        </w:rPr>
      </w:pPr>
      <w:r>
        <w:rPr>
          <w:rFonts w:ascii="Arial" w:cs="Arial" w:eastAsia="Arial" w:hAnsi="Arial"/>
          <w:sz w:val="17"/>
          <w:szCs w:val="17"/>
          <w:color w:val="auto"/>
        </w:rPr>
        <w:t>in the macroeconomic environment as a result of the pandemic have, to this point, led to an increase in volume and may create situations where people choose to spend less on funerals by purchasing less expensive caskets, minimize the scale of services and visitations, or elect not to make a preneed funeral or cemetery arrangement. During this time, our businesses have been focused on being innovative and resourceful, providing some type of immediate service as part of the grieving process. Gathering restrictions across many areas of the country have, in some cases, limited our ability to provide large, in-person memorialization services and we have seen client families elect webcasting and livestreaming services, hold services with smaller attendance or rotating visitors, outdoor services, or in some cases, choose to delay services to a future date.</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Within our financial reporting environment, we have considered various areas that could affect the results of our operations, though the scope, severity and duration of these impacts remain uncertain at this time because the COVID-19 pandemic is continually evolving and the ultimate impact of COVID-19 remains uncertain. Certain estimates inherently involve assumptions about future events and annual results, making reliable estimates for those matters challenging in periods of economic instability. We do not believe we are vulnerable to certain concentrations, whether by geographic area, revenue for specific products or our relationships with our vendors. Our relationships with our vendors and suppliers have remained consistent and we continue to receive reliable service. Remote working arrangements, when utilized, have not materially affected our ability to maintain and support operations, including financial reporting systems, internal controls over financial reporting, and disclosure controls and procedures.</w:t>
      </w:r>
    </w:p>
    <w:p>
      <w:pPr>
        <w:spacing w:after="0" w:line="6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believe our access to capital, the cost of our capital, or the sources and uses of our cash should be relatively consistent in the near term, but given the unprecedented nature of COVID-19, we also believe, it is prudent for us to take a broad-based approach to ensuring we maintain financial flexibility throughout the expected duration of the pandemic. While the expected duration of the pandemic is unknown, we have not currently experienced any material negative impacts to our liquidity position, access to capital, or cash flows as a result of COVID-19. See Liquidity within Item 2, Management’s Discussion and Analysis of Financial Condition and Results of Operations, for additional information related to our liquidity position.</w:t>
      </w:r>
    </w:p>
    <w:p>
      <w:pPr>
        <w:spacing w:after="0" w:line="6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also applied certain measures of the CARES Act, which has provided a cash benefit in the form of tax payment refunds, tax credits related to employee retention, cash deferral for the employer portion of the Social Security tax and anticipated minimal cash taxes for 2020. Although we expect to take advantage of certain tax relief provisions of the CARES Act, we do not believe it will have a significant impact on our short-term or long-term liquidity position. See Item 1, Financial Statements and Supplementary Data, Note 1 for additional information related to the CARES Act.</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COVID-19 pandemic, and related gathering restrictions issued by state and local officials, did impact aspects of our financial results in the first quarter including revenue, volume, preneed cemetery sales, and average revenue per contract. We will continue to assess these impacts and implement appropriate procedures, plans, strategy, and issue any disclosures that may be required, as the situation surrounding the pandemic and related gathering restrictions evolves.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Funeral Home Operations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Operations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 culture operating framework linked with incentive compensation programs that attract top-quality industry talent to our organization. We also believe that Carriage provides a unique consolidation and operating framework that offers a highly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attractive succession planning solution for owners who want their legacy family business to remain operationally prosperous in their local communities.</w:t>
      </w:r>
    </w:p>
    <w:p>
      <w:pPr>
        <w:spacing w:after="0" w:line="136"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states that “we are committed to being the most professional, ethical and highest quality funeral and cemetery service organization in our industry” and our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state our core values, which are comprised of:</w:t>
      </w:r>
    </w:p>
    <w:p>
      <w:pPr>
        <w:spacing w:after="0" w:line="4" w:lineRule="exact"/>
        <w:rPr>
          <w:sz w:val="20"/>
          <w:szCs w:val="20"/>
          <w:color w:val="auto"/>
        </w:rPr>
      </w:pPr>
    </w:p>
    <w:p>
      <w:pPr>
        <w:ind w:left="1220" w:hanging="64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Honesty, integrity and quality in all that we do;</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Hard work, pride of accomplishment, and shared success through employee ownership;</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Belief in the power of people through individual initiative and teamwork;</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Outstanding service and profitability to hand-in-hand; and</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Growth of the company is driven by decentralization and partnership.</w:t>
      </w:r>
    </w:p>
    <w:p>
      <w:pPr>
        <w:spacing w:after="0" w:line="113"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color w:val="auto"/>
        </w:rPr>
        <w:t xml:space="preserve">Our five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collectively embody our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high-performance culture and operating framework. Our operations and business strategy are built upon the execution of the following three models:</w:t>
      </w:r>
    </w:p>
    <w:p>
      <w:pPr>
        <w:spacing w:after="0" w:line="4" w:lineRule="exact"/>
        <w:rPr>
          <w:sz w:val="20"/>
          <w:szCs w:val="20"/>
          <w:color w:val="auto"/>
        </w:rPr>
      </w:pPr>
    </w:p>
    <w:p>
      <w:pPr>
        <w:ind w:left="1220" w:hanging="64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Standards Operating Model;</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4E Leadership Model; and</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Acquisition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Operating Model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4E Leadership Model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 performance culture: </w:t>
      </w:r>
      <w:r>
        <w:rPr>
          <w:rFonts w:ascii="Arial" w:cs="Arial" w:eastAsia="Arial" w:hAnsi="Arial"/>
          <w:sz w:val="18"/>
          <w:szCs w:val="18"/>
          <w:i w:val="1"/>
          <w:iCs w:val="1"/>
          <w:color w:val="auto"/>
        </w:rPr>
        <w:t>Energy</w:t>
      </w:r>
      <w:r>
        <w:rPr>
          <w:rFonts w:ascii="Arial" w:cs="Arial" w:eastAsia="Arial" w:hAnsi="Arial"/>
          <w:sz w:val="18"/>
          <w:szCs w:val="18"/>
          <w:color w:val="auto"/>
        </w:rPr>
        <w:t xml:space="preserve"> to get the job done; the ability to </w:t>
      </w:r>
      <w:r>
        <w:rPr>
          <w:rFonts w:ascii="Arial" w:cs="Arial" w:eastAsia="Arial" w:hAnsi="Arial"/>
          <w:sz w:val="18"/>
          <w:szCs w:val="18"/>
          <w:i w:val="1"/>
          <w:iCs w:val="1"/>
          <w:color w:val="auto"/>
        </w:rPr>
        <w:t>Energiz</w:t>
      </w:r>
      <w:r>
        <w:rPr>
          <w:rFonts w:ascii="Arial" w:cs="Arial" w:eastAsia="Arial" w:hAnsi="Arial"/>
          <w:sz w:val="18"/>
          <w:szCs w:val="18"/>
          <w:color w:val="auto"/>
        </w:rPr>
        <w:t xml:space="preserve">e others; the </w:t>
      </w:r>
      <w:r>
        <w:rPr>
          <w:rFonts w:ascii="Arial" w:cs="Arial" w:eastAsia="Arial" w:hAnsi="Arial"/>
          <w:sz w:val="18"/>
          <w:szCs w:val="18"/>
          <w:i w:val="1"/>
          <w:iCs w:val="1"/>
          <w:color w:val="auto"/>
        </w:rPr>
        <w:t xml:space="preserve">Edge </w:t>
      </w:r>
      <w:r>
        <w:rPr>
          <w:rFonts w:ascii="Arial" w:cs="Arial" w:eastAsia="Arial" w:hAnsi="Arial"/>
          <w:sz w:val="18"/>
          <w:szCs w:val="18"/>
          <w:color w:val="auto"/>
        </w:rPr>
        <w:t>necessary to make difficult decisions; and the ability to</w:t>
      </w:r>
      <w:r>
        <w:rPr>
          <w:rFonts w:ascii="Arial" w:cs="Arial" w:eastAsia="Arial" w:hAnsi="Arial"/>
          <w:sz w:val="18"/>
          <w:szCs w:val="18"/>
          <w:i w:val="1"/>
          <w:iCs w:val="1"/>
          <w:color w:val="auto"/>
        </w:rPr>
        <w:t xml:space="preserve"> Execute </w:t>
      </w:r>
      <w:r>
        <w:rPr>
          <w:rFonts w:ascii="Arial" w:cs="Arial" w:eastAsia="Arial" w:hAnsi="Arial"/>
          <w:sz w:val="18"/>
          <w:szCs w:val="18"/>
          <w:color w:val="auto"/>
        </w:rPr>
        <w:t>and produce results. To achieve a high level within our Standards in a business year</w:t>
      </w:r>
      <w:r>
        <w:rPr>
          <w:rFonts w:ascii="Arial" w:cs="Arial" w:eastAsia="Arial" w:hAnsi="Arial"/>
          <w:sz w:val="18"/>
          <w:szCs w:val="18"/>
          <w:i w:val="1"/>
          <w:iCs w:val="1"/>
          <w:color w:val="auto"/>
        </w:rPr>
        <w:t xml:space="preserve"> </w:t>
      </w:r>
      <w:r>
        <w:rPr>
          <w:rFonts w:ascii="Arial" w:cs="Arial" w:eastAsia="Arial" w:hAnsi="Arial"/>
          <w:sz w:val="18"/>
          <w:szCs w:val="18"/>
          <w:color w:val="auto"/>
        </w:rPr>
        <w:t>after year, we require local Managing Partners that have the 4E Leadership skills to entrepreneurially grow the business by hiring, training and developing highly motivated and productive local teams.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 Model</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80"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color w:val="auto"/>
        </w:rPr>
        <w:t xml:space="preserve">Our belief in our </w:t>
      </w:r>
      <w:r>
        <w:rPr>
          <w:rFonts w:ascii="Arial" w:cs="Arial" w:eastAsia="Arial" w:hAnsi="Arial"/>
          <w:sz w:val="17"/>
          <w:szCs w:val="17"/>
          <w:b w:val="1"/>
          <w:bCs w:val="1"/>
          <w:color w:val="auto"/>
        </w:rPr>
        <w:t>Mission Statement</w:t>
      </w:r>
      <w:r>
        <w:rPr>
          <w:rFonts w:ascii="Arial" w:cs="Arial" w:eastAsia="Arial" w:hAnsi="Arial"/>
          <w:sz w:val="17"/>
          <w:szCs w:val="17"/>
          <w:color w:val="auto"/>
        </w:rPr>
        <w:t xml:space="preserve"> and </w:t>
      </w:r>
      <w:r>
        <w:rPr>
          <w:rFonts w:ascii="Arial" w:cs="Arial" w:eastAsia="Arial" w:hAnsi="Arial"/>
          <w:sz w:val="17"/>
          <w:szCs w:val="17"/>
          <w:b w:val="1"/>
          <w:bCs w:val="1"/>
          <w:color w:val="auto"/>
        </w:rPr>
        <w:t>Guiding Principles</w:t>
      </w:r>
      <w:r>
        <w:rPr>
          <w:rFonts w:ascii="Arial" w:cs="Arial" w:eastAsia="Arial" w:hAnsi="Arial"/>
          <w:sz w:val="17"/>
          <w:szCs w:val="17"/>
          <w:color w:val="auto"/>
        </w:rPr>
        <w:t xml:space="preserve"> 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primary sources of liquidity and capital resources are internally generated cash flows from operating activities and availability under our Credit Facility.</w:t>
      </w:r>
    </w:p>
    <w:p>
      <w:pPr>
        <w:spacing w:after="0" w:line="6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expenditures or acquisition plans change, we may need to access the capital markets to obtain additional funding.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2020 and Part II, Item 1A “Risk Factors” in this Quarterly Report on Form 10-Q.</w:t>
      </w:r>
    </w:p>
    <w:p>
      <w:pPr>
        <w:spacing w:after="0" w:line="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plan is to remain focused on integrating our newly acquired businesses and to use cash on hand and borrowings under our Credit Facility primarily for general corporate purposes, payment of dividends and debt obligations. However, if the conditions set forth in our conditional notice of redemption are satisfied and we are able to redeem our existing Senior Notes on June 1, 2021, then it may provide us the ability, from a capital allocation perspective, to potentially resume strategic acquisitions, internal growth capital expenditures, share repurchases, dividend increases and further debt repayments. See Item 1, Financial Statements and Supplementary Data, Note 18 for additional details regarding the notice of conditional redemption for our Senior Notes. We also expect continued divestiture activity for the next 6-9 months, which could yield approximately $3-5 million of cash from the proceeds of the sale. From time to time we may also use available cash resources (including borrowings under our Credit Facility) to repurchase shares of our common stock, subject to satisfying certain financial covenants in our Credit Facility. We believe that our existing and anticipated cash resources will be sufficient to meet our anticipated working capital requirements, capital expenditures, scheduled debt payments, commitments and dividends for the next 12 months.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began 2021 with $0.9 million in cash and ended the first quarter with $0.4 million in cash. At March 31, 2021, we had borrowings of $28.3 million outstanding on our Credit Facility compared to $47.2 million at December 31, 2020.</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elements of cash flow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businesses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Acquisitions of real estate</w:t>
            </w: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 and sale of other assets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borrowings (payments) on our Credit Facility, acquisition debt and finance lease obligations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29,713</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Conversions and maturity of the Convertibles Notes</w:t>
            </w: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debt issuance and transaction costs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Net proceeds (payments) related to employee equity plans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on common stock</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costs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0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at end of the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5420"/>
              <w:spacing w:after="0"/>
              <w:rPr>
                <w:sz w:val="20"/>
                <w:szCs w:val="20"/>
                <w:color w:val="auto"/>
              </w:rPr>
            </w:pPr>
            <w:r>
              <w:rPr>
                <w:rFonts w:ascii="Arial" w:cs="Arial" w:eastAsia="Arial" w:hAnsi="Arial"/>
                <w:sz w:val="18"/>
                <w:szCs w:val="18"/>
                <w:color w:val="auto"/>
              </w:rPr>
              <w:t>- 45 -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2021, cash provided by operating activities was $26.8 million compared to $13.5 million for the three months ended March 31, 2020. The increase of $13.3 million is a reflection of the resilient cash generating ability of our portfolio of high-quality funeral home and cemetery operations. Our operating income (excluding the non-cash impact of the divestitures and impairment charges) increased $9.1 million in addition to other favorable working capital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investing activities, resulted in a net cash outflow of $1.9 million for the three months ended March 31, 2021 compared to $30.7 million for the three months ended March 31, 2020, a decrease of $28.8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 and Divestiture Activity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2021, we sold two funeral homes for $2.8 million and purchased real estate for $0.4 million.</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2020, we acquired a funeral home and cemetery combination business in Lafayette, California for $33.0 million in cash, of which $5.0 million was deposited in escrow in 2019 and $28.0 million was paid in 2020.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2021, capital expenditures (comprising of growth and maintenance spend) totaled $4.3 million compared to $2.7 million for the three months ended March 31, 2020, an increase of $1.6 million.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our growth and maintenance capital expenditures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Growth</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Cemetery development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Renovations at certain businesses</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Growth</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376"/>
        </w:trPr>
        <w:tc>
          <w:tcPr>
            <w:tcW w:w="7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Borders>
              <w:bottom w:val="single" w:sz="8" w:color="auto"/>
            </w:tcBorders>
          </w:tcPr>
          <w:p>
            <w:pPr>
              <w:spacing w:after="0"/>
              <w:rPr>
                <w:sz w:val="24"/>
                <w:szCs w:val="24"/>
                <w:color w:val="auto"/>
              </w:rPr>
            </w:pPr>
          </w:p>
        </w:tc>
      </w:tr>
      <w:tr>
        <w:trPr>
          <w:trHeight w:val="210"/>
        </w:trPr>
        <w:tc>
          <w:tcPr>
            <w:tcW w:w="74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Maintenance</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Facility repairs and improvements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General equipment and furniture</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Paving roads and parking lots</w:t>
            </w: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7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Maintenance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financing activities resulted in a net cash outflow of $25.4 million for the three months ended March 31, 2021 compared to a net cash inflow of $28.3 million for the three months ended March 31, 2020, an increase of $53.7 million.</w:t>
      </w:r>
    </w:p>
    <w:p>
      <w:pPr>
        <w:spacing w:after="0" w:line="6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three months ended March 31, 2021, we had net payments on our Credit Facility, acquisition debt and finance leases of $19.1 million, we paid $1.8 million in dividends and $4.0 million for the conversions and maturity of our Convertible Notes.</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2020, we had net borrowings on our Credit Facility, acquisition debt and finance leases of $29.7 million and paid $1.3 million in dividends.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2021, we did not repurchase any shares of our common stock. At March 31, 2021, we had approximately $25.6 million available for repurchases under our share repurchase program.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Board declared the following dividends payable on the dates below (in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2020</w:t>
            </w:r>
          </w:p>
        </w:tc>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w w:val="98"/>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March 1</w:t>
            </w:r>
            <w:r>
              <w:rPr>
                <w:rFonts w:ascii="Arial" w:cs="Arial" w:eastAsia="Arial" w:hAnsi="Arial"/>
                <w:sz w:val="23"/>
                <w:szCs w:val="23"/>
                <w:color w:val="auto"/>
                <w:vertAlign w:val="superscript"/>
              </w:rPr>
              <w:t>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175"/>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2021</w:t>
            </w:r>
          </w:p>
        </w:tc>
        <w:tc>
          <w:tcPr>
            <w:tcW w:w="7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w w:val="98"/>
              </w:rPr>
              <w:t>Dollar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March 1</w:t>
            </w:r>
            <w:r>
              <w:rPr>
                <w:rFonts w:ascii="Arial" w:cs="Arial" w:eastAsia="Arial" w:hAnsi="Arial"/>
                <w:sz w:val="23"/>
                <w:szCs w:val="23"/>
                <w:color w:val="auto"/>
                <w:vertAlign w:val="superscript"/>
              </w:rPr>
              <w:t>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Lease Obligations and Acquisition Debt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outstanding principal of our Credit Facility, lease obligations and acquisition debt at March 31, 2021 is as follows (in thousands):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5,776</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21,933</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 debt</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61,364</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2021, our $190.0 million senior secured revolving credit facility (the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Facility is secured by a first-priority perfected security interest in and lien on substantially all of the Company’s personal property assets and those of the Credit Facility Guarantors.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the Credit Facility also contains customary negative covenants, including, but not limited to, covenants that restrict (subject to certain exceptions) the ability of the Company and its subsidiaries party thereto as guarantors (the “Credit Facility Guarantors”) to incur additional indebtedness, grant liens on assets, make investments, engage in mergers and acquisitions, and pay dividends and other restricted payments, and certain financial covenants. As of March 31, 2021, we were subject to the following financial covenants under our Credit Facility: (A) a Total Leverage Ratio not to exceed 5.50 to 1.00,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were in compliance with the total leverage ratio, fixed charge coverage ratio and senior secured leverage ratio covenants contained in our Credit Facility as of March 31, 2021.</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2021, we had outstanding borrowings under our Credit Facility of $28.3 million. We also had one letter of credit for $2.1 million outstanding under the Credit Facility, which bears interest at 3.125% and will expire on November 25, 2021. The letter of credit will automatically renew annually and secures our obligations under our various self-insured policies. At March 31, 2021, we had $159.6 million of availability under the Credit Facility after giving effect to the $2.1 million of the outstanding letter of credit.</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Outstanding borrowings under our Credit Facility bear interest at either a prime rate or a LIBOR rate, plus an applicable margin based upon our leverage ratio. At March 31, 2021, the prime rate margin was equivalent to 1.5% and the LIBOR rate margin was 2.5%. The weighted average interest rate on our Credit Facility was 4.3% and 3.3% for the three months ended March 31, 2020 and 2021,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color w:val="auto"/>
        </w:rPr>
        <w:t>The interest expense and amortization of debt issuance costs related to our Credit Facility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Three months ended March 31,</w:t>
            </w:r>
          </w:p>
        </w:tc>
        <w:tc>
          <w:tcPr>
            <w:tcW w:w="360" w:type="dxa"/>
            <w:vAlign w:val="bottom"/>
            <w:tcBorders>
              <w:bottom w:val="single" w:sz="8" w:color="auto"/>
            </w:tcBorders>
          </w:tcPr>
          <w:p>
            <w:pPr>
              <w:spacing w:after="0"/>
              <w:rPr>
                <w:sz w:val="18"/>
                <w:szCs w:val="18"/>
                <w:color w:val="auto"/>
              </w:rPr>
            </w:pPr>
          </w:p>
        </w:tc>
      </w:tr>
      <w:tr>
        <w:trPr>
          <w:trHeight w:val="210"/>
        </w:trPr>
        <w:tc>
          <w:tcPr>
            <w:tcW w:w="8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 interest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445</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Credit Facility amortization of debt issuance costs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118</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lease obligations consist of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w:t>
      </w:r>
    </w:p>
    <w:p>
      <w:pPr>
        <w:spacing w:after="0" w:line="41"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The lease cost related to our operating leases and short-term leases and depreciation expense and interest expense related to our finance leases are as follows (in thousands):</w:t>
      </w: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Three months ended March 31,</w:t>
            </w:r>
          </w:p>
        </w:tc>
        <w:tc>
          <w:tcPr>
            <w:tcW w:w="360" w:type="dxa"/>
            <w:vAlign w:val="bottom"/>
            <w:tcBorders>
              <w:bottom w:val="single" w:sz="8" w:color="auto"/>
            </w:tcBorders>
          </w:tcPr>
          <w:p>
            <w:pPr>
              <w:spacing w:after="0"/>
              <w:rPr>
                <w:sz w:val="18"/>
                <w:szCs w:val="18"/>
                <w:color w:val="auto"/>
              </w:rPr>
            </w:pPr>
          </w:p>
        </w:tc>
      </w:tr>
      <w:tr>
        <w:trPr>
          <w:trHeight w:val="210"/>
        </w:trPr>
        <w:tc>
          <w:tcPr>
            <w:tcW w:w="8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960</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3"/>
        </w:trPr>
        <w:tc>
          <w:tcPr>
            <w:tcW w:w="8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9"/>
        </w:trPr>
        <w:tc>
          <w:tcPr>
            <w:tcW w:w="8280" w:type="dxa"/>
            <w:vAlign w:val="bottom"/>
          </w:tcPr>
          <w:p>
            <w:pPr>
              <w:ind w:left="220"/>
              <w:spacing w:after="0"/>
              <w:rPr>
                <w:sz w:val="20"/>
                <w:szCs w:val="20"/>
                <w:color w:val="auto"/>
              </w:rPr>
            </w:pPr>
            <w:r>
              <w:rPr>
                <w:rFonts w:ascii="Arial" w:cs="Arial" w:eastAsia="Arial" w:hAnsi="Arial"/>
                <w:sz w:val="18"/>
                <w:szCs w:val="18"/>
                <w:color w:val="auto"/>
              </w:rPr>
              <w:t>Depreciation of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108</w:t>
            </w:r>
          </w:p>
        </w:tc>
      </w:tr>
      <w:tr>
        <w:trPr>
          <w:trHeight w:val="23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Debt</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imputed interest expense related to our acquisition debt is as follows (in thousands):</w:t>
      </w:r>
    </w:p>
    <w:p>
      <w:pPr>
        <w:spacing w:after="0" w:line="50"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20320</wp:posOffset>
            </wp:positionV>
            <wp:extent cx="18859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9320"/>
        <w:spacing w:after="0"/>
        <w:tabs>
          <w:tab w:leader="none" w:pos="1088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tabs>
          <w:tab w:leader="none" w:pos="8260" w:val="left"/>
          <w:tab w:leader="none" w:pos="9300" w:val="left"/>
          <w:tab w:leader="none" w:pos="9840" w:val="left"/>
          <w:tab w:leader="none" w:pos="10960" w:val="left"/>
        </w:tabs>
        <w:rPr>
          <w:sz w:val="20"/>
          <w:szCs w:val="20"/>
          <w:color w:val="auto"/>
        </w:rPr>
      </w:pPr>
      <w:r>
        <w:rPr>
          <w:rFonts w:ascii="Arial" w:cs="Arial" w:eastAsia="Arial" w:hAnsi="Arial"/>
          <w:sz w:val="18"/>
          <w:szCs w:val="18"/>
          <w:color w:val="auto"/>
        </w:rPr>
        <w:t>Acquisition debt imputed 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Subordinated Notes due 2021</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2021, we converted approximately $2.4 million in aggregate principal amount of our Convertible Notes held by certain holders for approximately $3.8 million in cash. The Convertible Notes matured on March 15, 2021, at which time all Convertible Notes outstanding, approximately $0.2 million in aggregate principal amount, were paid in full in cash at par value. Therefore, no Convertible Notes remain outstanding at March 31, 2021.</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interest expense and accretion of debt discount and debt issuance costs related to our Convertible Notes are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Three months ended March 31,</w:t>
            </w:r>
          </w:p>
        </w:tc>
        <w:tc>
          <w:tcPr>
            <w:tcW w:w="360" w:type="dxa"/>
            <w:vAlign w:val="bottom"/>
            <w:tcBorders>
              <w:bottom w:val="single" w:sz="8" w:color="auto"/>
            </w:tcBorders>
          </w:tcPr>
          <w:p>
            <w:pPr>
              <w:spacing w:after="0"/>
              <w:rPr>
                <w:sz w:val="18"/>
                <w:szCs w:val="18"/>
                <w:color w:val="auto"/>
              </w:rPr>
            </w:pPr>
          </w:p>
        </w:tc>
      </w:tr>
      <w:tr>
        <w:trPr>
          <w:trHeight w:val="210"/>
        </w:trPr>
        <w:tc>
          <w:tcPr>
            <w:tcW w:w="8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interest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Convertible Notes accretion of debt discount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amortization of debt issuance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 interest rate on the unamortized debt discount for both the three months ended March 31, 2020 and 2021 was 11.4%. The effective interest rate on the debt issuance costs for the three months ended March 31, 2020 and 2021 was 3.2% and 3.1%,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March 31, 2021, the principal amount of our 6.625% senior notes due 2026 (the “Senior Notes”) was $400.0 million. The Senior Notes were issued under an indenture, dated as of May 31, 2018 (the “Indenture”), among us, certain of our existing subsidiaries (collectively, the “Subsidiary Guarantors”), as guarantors, and Wilmington Trust, National Association., as trustee. The Senior Notes are unsecured, senior obligations and are fully and unconditionally guaranteed on a senior unsecured basis, jointly and severally, by each of the Subsidiary Guarantors. The Senior Notes are due on June 1, 2026 unless earlier redeemed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or repurchased and bear interest at 6.625% per year, which is payable semi-annually in arrears on June 1 and December 1 of each year.</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plus accrued and unpaid interest, if any, to the date of redemption. Additionally, at any time before June 1, 2021, we may redeem up to 40% of the aggregate principal amount of the Senior Notes issued with an amount equal to the net proceeds of certain equity offerings, at a price equal to 106.625% of the principal amount of the Senior Notes, plus accrued and unpaid interest, if any, to the date of redemption; provided that (1) at least 60% of the aggregate principal amount of the Senior Notes (including any additional Senior Notes) originally issued under the Indenture remain outstanding immediately after the occurrence of such redemption (excluding Senior Notes held by us); and (2) each such redemption must occur within 180 days of the date of the closing of each such equity offering.</w:t>
      </w:r>
    </w:p>
    <w:p>
      <w:pPr>
        <w:spacing w:after="0" w:line="5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If a “change of control” occurs, holders of the Senior Notes will have the option to require us to purchase for cash all or a 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0"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8"/>
          <w:szCs w:val="18"/>
          <w:color w:val="auto"/>
        </w:rPr>
        <w:t>The interest expense and amortization of debt discount, debt premium and debt issuance costs related to our Senior Notes are as follows (in thousands):</w:t>
      </w: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210"/>
        </w:trPr>
        <w:tc>
          <w:tcPr>
            <w:tcW w:w="8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Senior Notes amortization of debt discount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amortization of debt premium</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Senior Notes amortization of debt issuance costs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2021, the fair value of the Senior Notes, which are Level 2 measurements, was $417.6 million.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debt discount, the debt premium and the debt issuance costs are being amortized using the effective interest method over the remaining term of approximately 62 months of the Senior Notes. The effective interest rate on the unamortized debt discount and the unamortized debt issuance costs for the Senior Notes, issued in May 2018, for both three months ended March 31, 2020 and 2021 was 6.87% and 6.69%, respectively. The effective interest rate on the unamortized debt premium and the unamortized debt issuance costs for the Senior Notes, issued in December 2019, for both three months ended March 31, 2020 and 2021 was 6.20% and 6.88%, respectively.</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April 30, 2021, we delivered a notice of conditional redemption to the trustee for the Senior Notes to call for redemption on June 1, 2021, all of the outstanding aggregate principal amount of the Senior Notes at a redemption price of 104.969% of the principal amount thereof, plus accrued and unpaid interest up to, but excluding, the scheduled redemption date. Our redemption obligation is conditioned on and subject to the completion of the offering of </w:t>
      </w:r>
      <w:r>
        <w:rPr>
          <w:rFonts w:ascii="Arial" w:cs="Arial" w:eastAsia="Arial" w:hAnsi="Arial"/>
          <w:sz w:val="18"/>
          <w:szCs w:val="18"/>
          <w:color w:val="1F1B1D"/>
        </w:rPr>
        <w:t xml:space="preserve">$400 million in aggregate principal amount of 4.25% Senior Notes due 2029 </w:t>
      </w:r>
      <w:r>
        <w:rPr>
          <w:rFonts w:ascii="Arial" w:cs="Arial" w:eastAsia="Arial" w:hAnsi="Arial"/>
          <w:sz w:val="18"/>
          <w:szCs w:val="18"/>
          <w:color w:val="000000"/>
        </w:rPr>
        <w:t>and the entry into an amended and restated credit facility in connection with</w:t>
      </w:r>
      <w:r>
        <w:rPr>
          <w:rFonts w:ascii="Arial" w:cs="Arial" w:eastAsia="Arial" w:hAnsi="Arial"/>
          <w:sz w:val="18"/>
          <w:szCs w:val="18"/>
          <w:color w:val="1F1B1D"/>
        </w:rPr>
        <w:t xml:space="preserve"> </w:t>
      </w:r>
      <w:r>
        <w:rPr>
          <w:rFonts w:ascii="Arial" w:cs="Arial" w:eastAsia="Arial" w:hAnsi="Arial"/>
          <w:sz w:val="18"/>
          <w:szCs w:val="18"/>
          <w:color w:val="000000"/>
        </w:rPr>
        <w:t>the closing of the offering.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are our financial highlights (in thousands except for volumes and averages):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77,490</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Funeral contracts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11,493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revenue per funeral contract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Preneed interment rights (property) sold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1,868</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preneed interment right sold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23,171</w:t>
            </w:r>
          </w:p>
        </w:tc>
        <w:tc>
          <w:tcPr>
            <w:tcW w:w="2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35,061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r>
    </w:tbl>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Revenue for the three months ended March 31, 2021 increased $19.1 million compared to the three months ended March 31, 2020, as we experienced a 15.7% increase in total funeral contracts primarily due to a peak spike in Covid deaths in the first quarter of 2021 when compared to the first quarter of 2020, which resulted in market share gains for the majority of our businesses, while the average revenue per funeral contract remained flat. In addition, we experienced a 42.3% increase in the number of preneed interment rights (property) sold, as well as a 20.4% increase in the average price per interment right sold of 20.4%, primarily due to 1) the full integration of the cemetery acquisitions made in the fourth quarter of 2019 and first quarter of 2020, and 2) the execution of the initial stages of our two year cemetery sales strategy of building high performance sales teams and standardized sales systems across our portfolio of cemeteries.</w:t>
      </w:r>
    </w:p>
    <w:p>
      <w:pPr>
        <w:spacing w:after="0" w:line="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Gross profit for the three months ended March 31, 2021 increased $11.9 million compared to the three months ended March 31, 2020, primarily due to the increase in revenue from both our funeral home and cemetery segments, as well as disciplined expense and cost management by leaders at each business.</w:t>
      </w:r>
    </w:p>
    <w:p>
      <w:pPr>
        <w:spacing w:after="0" w:line="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Net income for the three months ended March 31, 2021 increased $17.1 million compared to the three months ended March 31, 2020, primarily due to the increase in gross profit and the $14.7 million impairment charge we recorded in the first quarter of 2020 that did not occur in first quarter of 2021, offset by the $7.8 million increase in tax expense in the first quarter of 2021 as we experienced a net loss in the first quarter of 2020.</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Further discussion of Revenue and the components of Gross profit for our funeral home and cemetery segments is presented herein under “– Results of Operations.”</w:t>
      </w:r>
    </w:p>
    <w:p>
      <w:pPr>
        <w:spacing w:after="0" w:line="6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Further discussion of General, administrative and other expenses, Home office depreciation and amortization expense, Interest expense, Income taxes and other components of income and expenses are presented herein under “– Other Financial Statement Items.”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REPORTING AND NON-GAAP FINANCIAL MEASURES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present our financial performance in our “Operating and Financial Trend Report” (“Trend Report”) as reported in our earnings release for the three months ended March 31, 2021 issued on April 21, 2021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reconciliation of Net income (loss), a GAAP measure, to Adjusted net income, a non-GAAP measure,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210"/>
        </w:trPr>
        <w:tc>
          <w:tcPr>
            <w:tcW w:w="8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r>
      <w:tr>
        <w:trPr>
          <w:trHeight w:val="229"/>
        </w:trPr>
        <w:tc>
          <w:tcPr>
            <w:tcW w:w="8280" w:type="dxa"/>
            <w:vAlign w:val="bottom"/>
          </w:tcPr>
          <w:p>
            <w:pPr>
              <w:ind w:left="20"/>
              <w:spacing w:after="0" w:line="230" w:lineRule="exact"/>
              <w:rPr>
                <w:sz w:val="20"/>
                <w:szCs w:val="20"/>
                <w:color w:val="auto"/>
              </w:rPr>
            </w:pPr>
            <w:r>
              <w:rPr>
                <w:rFonts w:ascii="Arial" w:cs="Arial" w:eastAsia="Arial" w:hAnsi="Arial"/>
                <w:sz w:val="18"/>
                <w:szCs w:val="18"/>
                <w:color w:val="auto"/>
              </w:rPr>
              <w:t>Special items, net of tax</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Pr>
          <w:p>
            <w:pPr>
              <w:ind w:left="220"/>
              <w:spacing w:after="0" w:line="230" w:lineRule="exact"/>
              <w:rPr>
                <w:sz w:val="20"/>
                <w:szCs w:val="20"/>
                <w:color w:val="auto"/>
              </w:rPr>
            </w:pPr>
            <w:r>
              <w:rPr>
                <w:rFonts w:ascii="Arial" w:cs="Arial" w:eastAsia="Arial" w:hAnsi="Arial"/>
                <w:sz w:val="18"/>
                <w:szCs w:val="18"/>
                <w:color w:val="auto"/>
              </w:rPr>
              <w:t>Severance and separation costs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30"/>
        </w:trPr>
        <w:tc>
          <w:tcPr>
            <w:tcW w:w="8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Accretion of discount on Convertible Notes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280" w:type="dxa"/>
            <w:vAlign w:val="bottom"/>
          </w:tcPr>
          <w:p>
            <w:pPr>
              <w:ind w:left="220"/>
              <w:spacing w:after="0" w:line="230" w:lineRule="exact"/>
              <w:rPr>
                <w:sz w:val="20"/>
                <w:szCs w:val="20"/>
                <w:color w:val="auto"/>
              </w:rPr>
            </w:pPr>
            <w:r>
              <w:rPr>
                <w:rFonts w:ascii="Arial" w:cs="Arial" w:eastAsia="Arial" w:hAnsi="Arial"/>
                <w:sz w:val="18"/>
                <w:szCs w:val="18"/>
                <w:color w:val="auto"/>
              </w:rPr>
              <w:t>Gain on divestitures</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8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Net impact of impairment of goodwill and other intangibles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20"/>
              <w:spacing w:after="0"/>
              <w:rPr>
                <w:sz w:val="20"/>
                <w:szCs w:val="20"/>
                <w:color w:val="auto"/>
              </w:rPr>
            </w:pPr>
            <w:r>
              <w:rPr>
                <w:rFonts w:ascii="Arial" w:cs="Arial" w:eastAsia="Arial" w:hAnsi="Arial"/>
                <w:sz w:val="18"/>
                <w:szCs w:val="18"/>
                <w:color w:val="auto"/>
              </w:rPr>
              <w:t>Litigation reserve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Natural disaster and pandemic costs</w:t>
            </w:r>
            <w:r>
              <w:rPr>
                <w:rFonts w:ascii="Arial" w:cs="Arial" w:eastAsia="Arial" w:hAnsi="Arial"/>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23"/>
        </w:trPr>
        <w:tc>
          <w:tcPr>
            <w:tcW w:w="8280" w:type="dxa"/>
            <w:vAlign w:val="bottom"/>
          </w:tcPr>
          <w:p>
            <w:pPr>
              <w:ind w:left="20"/>
              <w:spacing w:after="0" w:line="22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14,690</w:t>
            </w: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062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6" w:lineRule="exact"/>
        <w:rPr>
          <w:sz w:val="20"/>
          <w:szCs w:val="20"/>
          <w:color w:val="auto"/>
        </w:rPr>
      </w:pPr>
    </w:p>
    <w:p>
      <w:pPr>
        <w:jc w:val="both"/>
        <w:ind w:left="400" w:right="60" w:hanging="374"/>
        <w:spacing w:after="0" w:line="225" w:lineRule="auto"/>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Special items are defined as charges or credits included in our GAAP financial statements that can vary from period to period and are not reflective of costs incurred in the ordinary course of our operations. Special items are taxed at the federal statutory rate of 21.0%, except for the Accretion of the discount on Convertible Notes, as this is a non-tax deductible item. The Gain on divestitures and the Net impact of impairment of goodwill and other intangibles taxed at the operating tax rate during the respective period (described below).</w:t>
      </w:r>
    </w:p>
    <w:p>
      <w:pPr>
        <w:spacing w:after="0" w:line="12" w:lineRule="exact"/>
        <w:rPr>
          <w:rFonts w:ascii="Arial" w:cs="Arial" w:eastAsia="Arial" w:hAnsi="Arial"/>
          <w:sz w:val="16"/>
          <w:szCs w:val="16"/>
          <w:color w:val="auto"/>
        </w:rPr>
      </w:pPr>
    </w:p>
    <w:p>
      <w:pPr>
        <w:ind w:left="400" w:hanging="374"/>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increase is due to separation costs related to the resignation of two members of senior leadership in the first quarter of 2021.</w:t>
      </w:r>
    </w:p>
    <w:p>
      <w:pPr>
        <w:spacing w:after="0" w:line="32" w:lineRule="exact"/>
        <w:rPr>
          <w:rFonts w:ascii="Arial" w:cs="Arial" w:eastAsia="Arial" w:hAnsi="Arial"/>
          <w:sz w:val="16"/>
          <w:szCs w:val="16"/>
          <w:color w:val="auto"/>
        </w:rPr>
      </w:pPr>
    </w:p>
    <w:p>
      <w:pPr>
        <w:ind w:left="400" w:hanging="374"/>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of the operating tax rate of 33.6% in 2020 and 31.0% in 2021.</w:t>
      </w:r>
    </w:p>
    <w:p>
      <w:pPr>
        <w:spacing w:after="0" w:line="32" w:lineRule="exact"/>
        <w:rPr>
          <w:rFonts w:ascii="Arial" w:cs="Arial" w:eastAsia="Arial" w:hAnsi="Arial"/>
          <w:sz w:val="16"/>
          <w:szCs w:val="16"/>
          <w:color w:val="auto"/>
        </w:rPr>
      </w:pPr>
    </w:p>
    <w:p>
      <w:pPr>
        <w:ind w:left="400" w:right="80" w:hanging="374"/>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increase is primarily due to health and safety expenses, including personal protective equipment (“PPE”). In the first quarter of 2020, we purchased PPE during the last few weeks of March 2020 when the Pandemic began compared to three months in the first quarter of 2021.</w:t>
      </w:r>
    </w:p>
    <w:p>
      <w:pPr>
        <w:spacing w:after="0" w:line="10" w:lineRule="exact"/>
        <w:rPr>
          <w:rFonts w:ascii="Arial" w:cs="Arial" w:eastAsia="Arial" w:hAnsi="Arial"/>
          <w:sz w:val="16"/>
          <w:szCs w:val="16"/>
          <w:color w:val="auto"/>
        </w:rPr>
      </w:pPr>
    </w:p>
    <w:p>
      <w:pPr>
        <w:ind w:left="400" w:right="60" w:hanging="374"/>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0" w:lineRule="exact"/>
        <w:rPr>
          <w:rFonts w:ascii="Arial" w:cs="Arial" w:eastAsia="Arial" w:hAnsi="Arial"/>
          <w:sz w:val="16"/>
          <w:szCs w:val="16"/>
          <w:color w:val="auto"/>
        </w:rPr>
      </w:pPr>
    </w:p>
    <w:p>
      <w:pPr>
        <w:ind w:left="5540" w:hanging="111"/>
        <w:spacing w:after="0"/>
        <w:tabs>
          <w:tab w:leader="none" w:pos="5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color w:val="auto"/>
        </w:rPr>
        <w:t>Below is a reconciliation of Gross profit (a GAAP measure) to Operating profit (a non-GAAP measure)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210"/>
        </w:trPr>
        <w:tc>
          <w:tcPr>
            <w:tcW w:w="8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35,061</w:t>
            </w:r>
          </w:p>
        </w:tc>
      </w:tr>
      <w:tr>
        <w:trPr>
          <w:trHeight w:val="203"/>
        </w:trPr>
        <w:tc>
          <w:tcPr>
            <w:tcW w:w="8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Cemetery property amortization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Field depreciation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3,136</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and unallocated funeral and cemetery costs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w:t>
            </w:r>
          </w:p>
        </w:tc>
      </w:tr>
      <w:tr>
        <w:trPr>
          <w:trHeight w:val="223"/>
        </w:trPr>
        <w:tc>
          <w:tcPr>
            <w:tcW w:w="8280" w:type="dxa"/>
            <w:vAlign w:val="bottom"/>
          </w:tcPr>
          <w:p>
            <w:pPr>
              <w:ind w:left="20"/>
              <w:spacing w:after="0" w:line="223" w:lineRule="exact"/>
              <w:rPr>
                <w:sz w:val="20"/>
                <w:szCs w:val="20"/>
                <w:color w:val="auto"/>
              </w:rPr>
            </w:pPr>
            <w:r>
              <w:rPr>
                <w:rFonts w:ascii="Arial" w:cs="Arial" w:eastAsia="Arial" w:hAnsi="Arial"/>
                <w:sz w:val="18"/>
                <w:szCs w:val="18"/>
                <w:color w:val="auto"/>
              </w:rPr>
              <w:t>Operating profit</w:t>
            </w:r>
            <w:r>
              <w:rPr>
                <w:rFonts w:ascii="Arial" w:cs="Arial" w:eastAsia="Arial" w:hAnsi="Arial"/>
                <w:sz w:val="23"/>
                <w:szCs w:val="23"/>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30,094</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45,787</w:t>
            </w: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6" w:lineRule="exact"/>
        <w:rPr>
          <w:sz w:val="20"/>
          <w:szCs w:val="20"/>
          <w:color w:val="auto"/>
        </w:rPr>
      </w:pPr>
    </w:p>
    <w:p>
      <w:pPr>
        <w:ind w:left="400" w:hanging="374"/>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Operating profit is defined as Gross profit less Cemetery property amortization, Field depreciation expense and Regional and unallocated funeral and cemetery costs.</w:t>
      </w:r>
    </w:p>
    <w:p>
      <w:pPr>
        <w:spacing w:after="0" w:line="145" w:lineRule="exact"/>
        <w:rPr>
          <w:sz w:val="20"/>
          <w:szCs w:val="20"/>
          <w:color w:val="auto"/>
        </w:rPr>
      </w:pPr>
    </w:p>
    <w:p>
      <w:pPr>
        <w:ind w:right="20" w:firstLine="405"/>
        <w:spacing w:after="0" w:line="274" w:lineRule="auto"/>
        <w:rPr>
          <w:sz w:val="20"/>
          <w:szCs w:val="20"/>
          <w:color w:val="auto"/>
        </w:rPr>
      </w:pPr>
      <w:r>
        <w:rPr>
          <w:rFonts w:ascii="Arial" w:cs="Arial" w:eastAsia="Arial" w:hAnsi="Arial"/>
          <w:sz w:val="18"/>
          <w:szCs w:val="18"/>
          <w:color w:val="auto"/>
        </w:rPr>
        <w:t>Our operations are reported in two business segments: Funeral Home and Cemetery. Below is a breakdown of Operating profit (a non-GAAP measure) by Segment (in thousands):</w:t>
      </w: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210"/>
        </w:trPr>
        <w:tc>
          <w:tcPr>
            <w:tcW w:w="8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Funeral Home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32,906</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Cemetery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30,094</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profit margin</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062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59" w:lineRule="exact"/>
        <w:rPr>
          <w:sz w:val="20"/>
          <w:szCs w:val="20"/>
          <w:color w:val="auto"/>
        </w:rPr>
      </w:pPr>
    </w:p>
    <w:p>
      <w:pPr>
        <w:ind w:left="400" w:hanging="374"/>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profit margin is defined as Operating profit as a percentage of Revenue.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Operating profit for our funeral home and cemetery segments is presented herein under “–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discussion of our results of operations for the three months ended March 31, 2021 and 2020.</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term “same store” refers to funeral homes and cemeteries acquired prior to January 1, 2017 and owned and operated for the entirety of each period being presented, excluding certain funeral home and cemetery businesses that we intend to divest in the near future.</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term “acquired” refers to funeral homes and cemeteries purchased after December 31, 2016, excluding any funeral home and cemetery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“divested” when discussed in the Funeral Home Segment, refers to the two funeral homes we sold in first quarter of 2021.</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“Planned divested” refers to the funeral home and cemetery businesses that we intend to divest.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“Ancillary” in the Funeral Home Segment represents our flower shop, pet cremation business and online cremation business.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Funeral Home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funeral home operations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Same store operating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46,696</w:t>
            </w:r>
          </w:p>
        </w:tc>
        <w:tc>
          <w:tcPr>
            <w:tcW w:w="2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56,683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operating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Divested/planned divested revenue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Ancillary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Preneed funeral insurance commissions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Preneed funeral trust and insurance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61,742</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Same store operating profit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25,812</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Acquired operating profit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Divested/planned divested operating profit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Ancillary operating profit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Preneed funeral insurance commissions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Preneed funeral trust and insurance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 store: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Contract volume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5,344</w:t>
            </w:r>
          </w:p>
        </w:tc>
        <w:tc>
          <w:tcPr>
            <w:tcW w:w="2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Burial rate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Cremation rate</w:t>
            </w:r>
          </w:p>
        </w:tc>
        <w:tc>
          <w:tcPr>
            <w:tcW w:w="3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Acquired:</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volume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5,127</w:t>
            </w:r>
          </w:p>
        </w:tc>
        <w:tc>
          <w:tcPr>
            <w:tcW w:w="2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Burial rate</w:t>
            </w:r>
          </w:p>
        </w:tc>
        <w:tc>
          <w:tcPr>
            <w:tcW w:w="32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Cremation rate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Funeral home same store operating revenue for the three months ended March 31, 2021 increased $10.0 million compared to the three months ended March 31, 2020. The increase in operating revenue is primarily due to a 21.7% same store contract volume increase, while the average revenue per contract excluding preneed interest, remained flat in the three months ended March 31, 2021 compared to the same period in 2020. The increase in volume is primarily due to a peak spike in Covid deaths in the first quarter of 2021, which resulted in market share gains for the majority of our businesses.</w:t>
      </w:r>
    </w:p>
    <w:p>
      <w:pPr>
        <w:spacing w:after="0" w:line="4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Funeral home same store operating profit for the three months ended March 31, 2021 increased $7.8 million when compared to the three months ended March 31, 2020. The comparable operating profit margin increased 680 basis points to 45.5%. The increase in operating profit is primarily due to the increase in same store operating revenue along with disciplined expense and cost management by leaders at each business. Operating expenses as a percent of operating revenue decreased 6.9% for the three months ending 2021 compared to the same period in 2020. The largest decrease was in salaries and benefits, which decreased 3.7% as a percent of operating revenue as we increased revenue without adding extra personnel.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9" w:name="page50"/>
    <w:bookmarkEnd w:id="49"/>
    <w:p>
      <w:pPr>
        <w:jc w:val="both"/>
        <w:ind w:firstLine="405"/>
        <w:spacing w:after="0" w:line="301" w:lineRule="auto"/>
        <w:rPr>
          <w:sz w:val="20"/>
          <w:szCs w:val="20"/>
          <w:color w:val="auto"/>
        </w:rPr>
      </w:pPr>
      <w:r>
        <w:rPr>
          <w:rFonts w:ascii="Arial" w:cs="Arial" w:eastAsia="Arial" w:hAnsi="Arial"/>
          <w:sz w:val="16"/>
          <w:szCs w:val="16"/>
          <w:color w:val="auto"/>
        </w:rPr>
        <w:t>Funeral home acquired operating revenue for the three months ended March 31, 2021 increased $1.3 million compared to the three months ended March 31, 2020. The increase in operating revenue is primarily due to a 15.5% increase in acquired contract volume primarily due to the increased deaths related to the COVID-19 pandemic and broad market share gains, which was partially offset by a 1.2% decrease in the average revenue per contract, excluding preneed interest, due to a 90 basis point decrease in the burial rate, along with a 5.4% decrease of cremation contracts with services.</w:t>
      </w:r>
    </w:p>
    <w:p>
      <w:pPr>
        <w:spacing w:after="0" w:line="4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Acquired operating profit for the three months ended March 31, 2021 increased $1.2 million when compared to the three months ended March 31, 2020. The comparable operating profit margin increased 760 basis points to 44.1%. The increase in operating profit is primarily due to the increase in acquired operating revenue along with disciplined expense and cost management by leaders at each business. The operating margin of the nine businesses acquired in the fourth quarter of 2019 increased 310 basis points and the operating margin of the business acquired in the first quarter of 2020 increased 520 basis points during the three months ended March 31, 2021 compared to the same period in 2020. Overall acquired operating expenses as a percent of operating revenue decreased 7.5%, with the largest decrease in salaries and benefits of 5.9% as we increased revenue without adding extra personnel.</w:t>
      </w:r>
    </w:p>
    <w:p>
      <w:pPr>
        <w:spacing w:after="0" w:line="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Ancillary revenue, which is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represents revenue from our flower shop, pet cremation and online cremation businesses acquired in the fourth quarter of 2019. Ancillary revenue increased 4.9% for the three months ending March 31, 2021 compared to the three months ending March 31, 2020 primarily due to an increase in our online cremation business.</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Ancillary operating profit decreased 18.0% for the three months ended March 31, 2021 compared to the same period in 2020, primarily due to an increase in operating expenses with the largest increase in third party pick up and embalming and general and administrative expenses at our online cremation business.</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Preneed funeral insurance commissions and preneed funeral trust and insurance, also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on a combined basis, increased $0.3 million or 12.2% for the three months ended March 31, 2021 compared to the same period in 2020. The increase is primarily related to a 13.9% increase in preneed contracts maturing to atneed which triggers the recognition of trust earnings on matured contracts. Operating profit for preneed funeral insurance commissions and preneed trust and insurance, on a combined basis, increased $0.3 million or 12.7% for the same comparative period, primarily due to the increase in preneed funeral trust and insurance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Segment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cemetery operations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Same store operating revenue</w:t>
            </w:r>
          </w:p>
        </w:tc>
        <w:tc>
          <w:tcPr>
            <w:tcW w:w="3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10,907</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operating revenue</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Divested/planned divested revenue</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Preneed cemetery trust revenue</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Preneed cemetery finance charges</w:t>
            </w:r>
          </w:p>
        </w:tc>
        <w:tc>
          <w:tcPr>
            <w:tcW w:w="3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Same store operating profit</w:t>
            </w:r>
          </w:p>
        </w:tc>
        <w:tc>
          <w:tcPr>
            <w:tcW w:w="3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3,167</w:t>
            </w:r>
          </w:p>
        </w:tc>
        <w:tc>
          <w:tcPr>
            <w:tcW w:w="2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operating profit</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Divested/planned divested operating profit</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Preneed cemetery trust operating profit</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Preneed cemetery finance charges</w:t>
            </w:r>
          </w:p>
        </w:tc>
        <w:tc>
          <w:tcPr>
            <w:tcW w:w="3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070"/>
              <w:spacing w:after="0"/>
              <w:rPr>
                <w:sz w:val="20"/>
                <w:szCs w:val="20"/>
                <w:color w:val="auto"/>
              </w:rPr>
            </w:pPr>
            <w:r>
              <w:rPr>
                <w:rFonts w:ascii="Arial" w:cs="Arial" w:eastAsia="Arial" w:hAnsi="Arial"/>
                <w:sz w:val="18"/>
                <w:szCs w:val="18"/>
                <w:color w:val="auto"/>
              </w:rPr>
              <w:t>- 54 -</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3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0" w:name="page51"/>
    <w:bookmarkEnd w:id="50"/>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 store: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Preneed revenue as a percentage of operating revenue</w:t>
            </w: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color w:val="auto"/>
                <w:w w:val="99"/>
              </w:rPr>
              <w:t>58%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Preneed revenue (in thousands)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8,460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Atneed revenue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4,604</w:t>
            </w:r>
          </w:p>
        </w:tc>
        <w:tc>
          <w:tcPr>
            <w:tcW w:w="20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6,162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preneed interment rights sold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Average price per interment right sold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3,615</w:t>
            </w:r>
          </w:p>
        </w:tc>
        <w:tc>
          <w:tcPr>
            <w:tcW w:w="20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3,879</w:t>
            </w:r>
          </w:p>
        </w:tc>
      </w:tr>
      <w:tr>
        <w:trPr>
          <w:trHeight w:val="257"/>
        </w:trPr>
        <w:tc>
          <w:tcPr>
            <w:tcW w:w="7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56"/>
        </w:trPr>
        <w:tc>
          <w:tcPr>
            <w:tcW w:w="7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Preneed revenue as a percentage of operating revenue</w:t>
            </w:r>
          </w:p>
        </w:tc>
        <w:tc>
          <w:tcPr>
            <w:tcW w:w="3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ind w:right="51"/>
              <w:spacing w:after="0"/>
              <w:rPr>
                <w:sz w:val="20"/>
                <w:szCs w:val="20"/>
                <w:color w:val="auto"/>
              </w:rPr>
            </w:pPr>
            <w:r>
              <w:rPr>
                <w:rFonts w:ascii="Arial" w:cs="Arial" w:eastAsia="Arial" w:hAnsi="Arial"/>
                <w:sz w:val="18"/>
                <w:szCs w:val="18"/>
                <w:color w:val="auto"/>
                <w:w w:val="99"/>
              </w:rPr>
              <w:t>64%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Preneed revenue (in thousands)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4,444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Atneed revenue (in thousands)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c>
          <w:tcPr>
            <w:tcW w:w="20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2,537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preneed interment rights sold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Average price per interment right sold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4,696</w:t>
            </w:r>
          </w:p>
        </w:tc>
        <w:tc>
          <w:tcPr>
            <w:tcW w:w="200" w:type="dxa"/>
            <w:vAlign w:val="bottom"/>
          </w:tcPr>
          <w:p>
            <w:pPr>
              <w:spacing w:after="0"/>
              <w:rPr>
                <w:sz w:val="20"/>
                <w:szCs w:val="20"/>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5,800</w:t>
            </w:r>
          </w:p>
        </w:tc>
      </w:tr>
    </w:tbl>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Cemetery same store preneed revenue increased $2.2 million for the three months ended March 31, 2021 compared to the same period in 2020, as we experienced a 20.9% increase in the number of interments rights sold, as well as a 7.3% increase in the average price per interment right sold. The increase is primarily due to the execution of the initial stages of our two year cemetery sales strategy of building high performance sales teams and standardized sales systems across our portfolio of cemeteries. Cemetery same store atneed revenue, which represents 42% of our same store operating revenue, increased $1.6 million as we experienced a 23.7% increase in same store atneed contracts and an 8.3% increase in the average sale per contract for the three months ended March 31, 2021 compared to the same period in 2020, primarily due to the increased deaths related to the COVID-19 pandemic.</w:t>
      </w:r>
    </w:p>
    <w:p>
      <w:pPr>
        <w:spacing w:after="0" w:line="5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Cemetery same store operating profit for the three months ended March 31, 2021 increased $2.5 million from the same period in 2020. The comparable operating profit margin increased 1,010 basis points to 39.1% primarily as a result of the increase in operating revenue, along with disciplined expense and cost management by leaders at each business. Operating expenses as a percent of operating revenue decreased 10.0% in the first quarter of 2021 compared to the same period in 2020, most notably in salaries and wages, which decreased 4.5% as a percent of operating revenue, followed by promotional expenses and facilities and grounds costs which decreased 1.8% and 1.3% respectively, as a percent of operating revenue.</w:t>
      </w:r>
    </w:p>
    <w:p>
      <w:pPr>
        <w:spacing w:after="0" w:line="5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There are three businesses in our acquired cemetery portfolio, two of which were acquired in the fourth quarter of 2019 and one acquired in the first quarter of 2020. In the first quarter of 2020, we hired new sales leadership at two of the newly acquired cemeteries and continued to build their respective sales team throughout the year. As a result, our acquired cemetery portfolio experienced a $2.7 million increase in preneed revenue and a $1.5 million increase in atneed revenue for the period ended March 31, 2021 compared to the same period in 2020.</w:t>
      </w:r>
    </w:p>
    <w:p>
      <w:pPr>
        <w:spacing w:after="0" w:line="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Cemetery acquired operating profit increased $3.3 million for three months ended March 31, 2021. The comparable operating profit margin increased 2,930 basis points to 58.8% primarily as a result of the increase in operating revenue, along with disciplined expense and cost management by leaders at each business. Operating expenses as a percent of operating revenue decreased 29% in the first quarter of 2021 compared to the same period in 2020, as we experienced decreases in the majority of our operating costs, most notably in salaries and wages, which decreased 17% as a percent of operating revenue, as we increased revenue without adding extra personnel.</w:t>
      </w:r>
    </w:p>
    <w:p>
      <w:pPr>
        <w:spacing w:after="0" w:line="8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Preneed cemetery trust revenue and preneed cemetery finance charges, which are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on a combined basis increased $1.2 million for the three months ended March 31, 2021 compared to the same period in 2020. The increase in our trust fund income is primarily due to our execution of a major repositioning strategy beginning at the height of the COVID-19 market crisis in March 2020, substantially increasing our preneed cemetery trust revenue and operating profit. We experienced a $0.9 million increase in income and a $0.2 million increase in realized capital gains within our trusts in the first quarter of 2021 compared to the same period of 2020. Operating profit for the two categories of </w:t>
      </w:r>
      <w:r>
        <w:rPr>
          <w:rFonts w:ascii="Arial" w:cs="Arial" w:eastAsia="Arial" w:hAnsi="Arial"/>
          <w:sz w:val="18"/>
          <w:szCs w:val="18"/>
          <w:i w:val="1"/>
          <w:iCs w:val="1"/>
          <w:color w:val="auto"/>
        </w:rPr>
        <w:t>Other revenue</w:t>
      </w:r>
      <w:r>
        <w:rPr>
          <w:rFonts w:ascii="Arial" w:cs="Arial" w:eastAsia="Arial" w:hAnsi="Arial"/>
          <w:sz w:val="18"/>
          <w:szCs w:val="18"/>
          <w:color w:val="auto"/>
        </w:rPr>
        <w:t>, on a combined basis, increased $1.2 million for three months ended March 31, 2021 compared to the same period in 2020 primarily due to the increase in preneed cemetery trust revenue.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1" w:name="page52"/>
    <w:bookmarkEnd w:id="51"/>
    <w:p>
      <w:pPr>
        <w:jc w:val="both"/>
        <w:ind w:firstLine="405"/>
        <w:spacing w:after="0" w:line="308" w:lineRule="auto"/>
        <w:rPr>
          <w:sz w:val="20"/>
          <w:szCs w:val="20"/>
          <w:color w:val="auto"/>
        </w:rPr>
      </w:pPr>
      <w:r>
        <w:rPr>
          <w:rFonts w:ascii="Arial" w:cs="Arial" w:eastAsia="Arial" w:hAnsi="Arial"/>
          <w:sz w:val="17"/>
          <w:szCs w:val="17"/>
          <w:i w:val="1"/>
          <w:iCs w:val="1"/>
          <w:color w:val="auto"/>
        </w:rPr>
        <w:t>Cemetery property amortization</w:t>
      </w:r>
      <w:r>
        <w:rPr>
          <w:rFonts w:ascii="Arial" w:cs="Arial" w:eastAsia="Arial" w:hAnsi="Arial"/>
          <w:sz w:val="17"/>
          <w:szCs w:val="17"/>
          <w:color w:val="auto"/>
        </w:rPr>
        <w:t>. Cemetery property amortization totaled $1.5 million for the three months ended March 31, 2021, an increase of $0.6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compared to the three months ended March 31, 2020, due to the increase in property sold across our cemetery portfolio.</w:t>
      </w:r>
    </w:p>
    <w:p>
      <w:pPr>
        <w:spacing w:after="0" w:line="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Field depreciation. </w:t>
      </w:r>
      <w:r>
        <w:rPr>
          <w:rFonts w:ascii="Arial" w:cs="Arial" w:eastAsia="Arial" w:hAnsi="Arial"/>
          <w:sz w:val="18"/>
          <w:szCs w:val="18"/>
          <w:color w:val="auto"/>
        </w:rPr>
        <w:t>Depreciation expense for our field businesses decreased $0.2 million for the three months ended March 31,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The decrease was primarily due to building structures and older vehicles becoming fully depreciated without any newly acquired building structures and vehicles to offset the decrease.</w:t>
      </w:r>
    </w:p>
    <w:p>
      <w:pPr>
        <w:spacing w:after="0" w:line="7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Regional and unallocated funeral and cemetery costs. </w:t>
      </w:r>
      <w:r>
        <w:rPr>
          <w:rFonts w:ascii="Arial" w:cs="Arial" w:eastAsia="Arial" w:hAnsi="Arial"/>
          <w:sz w:val="18"/>
          <w:szCs w:val="18"/>
          <w:color w:val="auto"/>
        </w:rPr>
        <w:t>Regional and unallocated funeral and cemetery costs consist of salaries and benefits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management, field incentive compensation and other related costs for field infrastructure. Regional and unallocated funeral and cemetery costs totaled $6.1 million for the three months ended March 31, 2021, an increase of $3.3 million primarily due to the following: (1) a $2.2 million increase in cash incentives and equity compensation, as a result of our improved performance, which reinforces our strategy of aligning incentives with long-term value creation; (2) a $0.7 million increase in health and safety expenses related to the COVID-19 pandemic; and (3) a $0.4 million increase in other general administrative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Statement Items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General, administrative and other. </w:t>
      </w:r>
      <w:r>
        <w:rPr>
          <w:rFonts w:ascii="Arial" w:cs="Arial" w:eastAsia="Arial" w:hAnsi="Arial"/>
          <w:sz w:val="18"/>
          <w:szCs w:val="18"/>
          <w:color w:val="auto"/>
        </w:rPr>
        <w:t>General, administrative and other expenses totaled $8.8 million for the three months ended March 31,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$2.9 million compared to the three months ended March 31, 2020. The increase was primarily attributable to the following: (1) a $1.4 million increase in cash incentives and equity compensation, as a result of our improved performance, which reinforces our strategy of aligning incentives with long-term value creation; (2) a $1.3 million increase in separation expenses related to the resignation of two members of senior leadership; and (3) a $0.2 million increase in other general administrative costs.</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Home office depreciation and amortization. </w:t>
      </w:r>
      <w:r>
        <w:rPr>
          <w:rFonts w:ascii="Arial" w:cs="Arial" w:eastAsia="Arial" w:hAnsi="Arial"/>
          <w:sz w:val="18"/>
          <w:szCs w:val="18"/>
          <w:color w:val="auto"/>
        </w:rPr>
        <w:t>Home office depreciation and amortization expense totaled $0.3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a decrease of $0.1 million compared to the three months ended March 31, 2020 primarily due to equipment and software at the home office becoming fully depreciated in the latter half of 2020 without any newly acquired assets to offset the decrease.</w:t>
      </w:r>
    </w:p>
    <w:p>
      <w:pPr>
        <w:spacing w:after="0" w:line="76" w:lineRule="exact"/>
        <w:rPr>
          <w:sz w:val="20"/>
          <w:szCs w:val="20"/>
          <w:color w:val="auto"/>
        </w:rPr>
      </w:pPr>
    </w:p>
    <w:p>
      <w:pPr>
        <w:jc w:val="both"/>
        <w:ind w:right="20" w:firstLine="405"/>
        <w:spacing w:after="0" w:line="274" w:lineRule="auto"/>
        <w:rPr>
          <w:sz w:val="20"/>
          <w:szCs w:val="20"/>
          <w:color w:val="auto"/>
        </w:rPr>
      </w:pPr>
      <w:r>
        <w:rPr>
          <w:rFonts w:ascii="Arial" w:cs="Arial" w:eastAsia="Arial" w:hAnsi="Arial"/>
          <w:sz w:val="18"/>
          <w:szCs w:val="18"/>
          <w:i w:val="1"/>
          <w:iCs w:val="1"/>
          <w:color w:val="auto"/>
        </w:rPr>
        <w:t xml:space="preserve">Net loss (gain) on divestitures and impairments charges. </w:t>
      </w:r>
      <w:r>
        <w:rPr>
          <w:rFonts w:ascii="Arial" w:cs="Arial" w:eastAsia="Arial" w:hAnsi="Arial"/>
          <w:sz w:val="18"/>
          <w:szCs w:val="18"/>
          <w:color w:val="auto"/>
        </w:rPr>
        <w:t>The components of Net loss (gain) on divestitures and impairment charges are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Tradename impairment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divestitures</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14,693</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(308)</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2021, we divested two funeral homes for a gain of $0.3 million.</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2020, we recorded an impairment for goodwill of $13.6 million as the carrying amount of our funeral homes in the Eastern Region Reporting Unit exceeded the fair value and we recorded an impairment for certain of our tradenames of $1.1 million as the carrying amount of these tradenames exceeded the fair value.</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totaled $7.6 million for the three months ended March 31, 2021, a decrease of $0.8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primarily due to decreased borrowings on our Credit Facility.</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expense was $5.6 million for the three months ended March 31, 2021 compared to an income tax benefit of $2.2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2020. Our operating tax rate before discrete items was 31.0% and 33.6% for the three months ended March 31, 2021 and 2020.</w:t>
      </w:r>
    </w:p>
    <w:p>
      <w:pPr>
        <w:spacing w:after="0" w:line="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filed carryback refund claims for the 2018 and 2019 tax years as allowed by the legislative changes included in the CARES Act. As a result of requesting a tax refund in excess of $5 million, we must receive Joint Committee approval and undergo an audit for the tax year ending December 31, 2018. This audit is currently in progress. In 2020, the 2018 tax return was amended to take full advantage of the CARES Act legislative benefits resulting in additional losses that increase the amount of our carryback refund claim. The majority of the net operating losses generated in 2018 are the result of filing non-automatic accounting method changes relating to the recognition of revenue from our cemetery property and merchandise and services sales. Due to the uncertainty of receiving Internal Revenue Service approval regarding our non-automatic accounting method changes, a reserve has been recorded against the benefit derived from this carrying back that the net operating losses generated. At March 31, 2021, the reserve for uncertain tax positions was $3.7 million.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OVERVIEW OF CRITICAL ACCOUNTING POLICIES AND ESTIMATES</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preparation of the Consolidated Financial Statements requires us to make estimates and judgments that affect the amounts reported in the unaudited consolidated financial statements and accompanying notes.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that our margins, operating income and net income, as a percentage of revenue, will be consistent from year to year.</w:t>
      </w:r>
    </w:p>
    <w:p>
      <w:pPr>
        <w:spacing w:after="0" w:line="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(“MD&amp;A”) is based upon our Consolidated Financial Statements presented herewith, which have been prepared in accordance with GAAP. Our critical accounting policies are discussed in MD&amp;A in our Annual Report on Form 10-K for the year ended 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business can be affected by seasonal fluctuations in the death rate. Generally, the death rate is higher during the winter months because the incidences of death from influenza and pneumonia are higher during this period than other periods of the year.</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COVID-19 which are described in more detail in Item 1A - Risk Factors below.</w:t>
      </w:r>
    </w:p>
    <w:p>
      <w:pPr>
        <w:spacing w:after="0" w:line="4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quantitative and qualitative information is provided about financial instruments to which we are a party at March 31, 2021 and from which we may incur future gains or losses from changes in market conditions. We do not enter into derivative or other financial instruments for speculative or trading purposes.</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information about our market-sensitive financial instruments constitutes a “forward-looking statement.”</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as of March 31, 2021 are presented in Item 1, “Condensed Notes to Consolidated Financial Statements,” Note 6 to our Consolidated Financial Statements in this Quarterly Report on Form 10-Q. The sensitivity of the fixed income securities is such that a 0.25% change in interest rates causes an approximate 1.38% change in the value of the fixed income securities.</w:t>
      </w:r>
    </w:p>
    <w:p>
      <w:pPr>
        <w:spacing w:after="0" w:line="8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monitor current and forecasted interest rate risk in the ordinary course of business and seek to maintain optimal financial flexibility, quality and solvency. As of March 31, 2021, we had outstanding borrowings under the Credit Facility of $28.3 million. Any further borrowings or voluntary prepayments against the Credit Facility or any change in the floating rate would cause a change in interest expense. We have the option to pay interest under the Credit Facility at either prime rate or the LIBOR rate plus a margin. At March 31, 2021, the prime rate margin was equivalent to 1.5% and the LIBOR rate margin was 2.5%. Assuming the outstanding balance remains unchanged, a change of 100 basis points in our borrowing rate would result in a change in income before taxes of $0.3 million. We have not entered into interest rate hedging arrangements in the past. Management continually evaluates the cost and potential benefits of interest rate hedging arrangements.</w:t>
      </w:r>
    </w:p>
    <w:p>
      <w:pPr>
        <w:spacing w:after="0" w:line="8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Senior Notes bear interest at the fixed annual rate of 6.625%. 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governing the Senior Notes, plus accrued and unpaid interest, if any, to the date of redemption. At March 31, 2021, the carrying value of the Senior Notes on our Consolidated Balance Sheet was $396.1 million and the fair value of the Senior Notes was $417.6 million based on the last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traded or broker quoted price, reported by the Financial Industry Regulatory Authority, Inc. Increases in market interest rates may cause the value of the Senior Notes to decrease, but such changes will not affect our interest costs.</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as of March 31, 2021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7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 Update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supplementing the risk factors as previously disclosed in Part I, Item 1A “Risk Factors” in our Annual Report on Form 10-K for the year ended December 31, 2020 (the “2020 Form 10-K”), with the updated risk factors set out below. The risk factors below should be read in conjunction with the risk factors set out in our 2020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Employees and Compensation</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“Good To Great” and “Good To Great II” incentive programs could result in significant future payments and the issuance of a significant number of shares of common stock to our Managing Partners and to certain critical employees who are not managing partners.</w:t>
      </w:r>
    </w:p>
    <w:p>
      <w:pPr>
        <w:spacing w:after="0" w:line="3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Good To Great incentive program rewards our Managing Partners for achieving an average net revenue compounded annual growth rate equal to at least 1% (the “Minimum Growth Rate”) over a five year performance period (the “Performance Period”) with respect to our funeral homes that they operate, which aligns our incentives with long-term value creation. Each Managing Partner that achieves the Minimum Growth Rate during the applicable Performance Period and remains continuously employed as a Managing Partner of the same business throughout the Performance Period will receive a one-time bonus, payable in a combination of cash and shares of our common stock, determined at our discretion. To date, we have had five Performance Periods ended, with the most recent period ended December 31, 2020, which over the course of those five Performance Periods our highest Good To Great incentive bonus paid to our Managing Partners was for the Performance Period ended December 31, 2016, totaling $2.4 million. Although we have had sufficient levels of cash on hand to make cash bonus payments under the program, there is the potential we could be required to make similar or higher cash bonus payments than our highest historical payment under the program, which could result in less cash available to fund our operations. Because the bonus payments under the program are subject to achieving a Minimum Growth Rate, which is determined by various operational, financial and performance measures, future potential bonus payments cannot be determined with certainty at this time. In addition, our Good To Great II incentive program rewards certain of our employees who are not Managing Partners in alignment with the incentive programs for our Managing Partners. For example, there is a potential risk of dilution to our shareholders if we achieve the highest performance tier under the Good To Great II incentive program, which equals a Common Stock Price Average (as defined by the program) of $77.34 per share. As of March 31, 2021, under such a scenario, a total of 971,820 shares of common stock would be awarded to participants under the program. We believe these incentive programs will result in improved field-level margins, market share and overall financial performance.</w:t>
      </w:r>
    </w:p>
    <w:p>
      <w:pPr>
        <w:spacing w:after="0" w:line="7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Please also refer to the complete set of Risk Factors discussed in Part I, Item 1A “Risk Factors” in our 2020 Form 10-K, which could materially affect our business, financial condition or future results. The risks described in our 2020 Form 10-K are not the only risks we face.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certain information with respect to repurchases of our common stock during the quarter ended March 31, 2021: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94"/>
              </w:rPr>
              <w:t>Shares That May</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Average Price</w:t>
            </w: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Part of Publicly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6"/>
              <w:spacing w:after="0" w:line="162" w:lineRule="exact"/>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162"/>
        </w:trPr>
        <w:tc>
          <w:tcPr>
            <w:tcW w:w="5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Announced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6"/>
              <w:spacing w:after="0" w:line="162" w:lineRule="exact"/>
              <w:rPr>
                <w:sz w:val="20"/>
                <w:szCs w:val="20"/>
                <w:color w:val="auto"/>
              </w:rPr>
            </w:pPr>
            <w:r>
              <w:rPr>
                <w:rFonts w:ascii="Arial" w:cs="Arial" w:eastAsia="Arial" w:hAnsi="Arial"/>
                <w:sz w:val="16"/>
                <w:szCs w:val="16"/>
                <w:b w:val="1"/>
                <w:bCs w:val="1"/>
                <w:color w:val="auto"/>
                <w:w w:val="93"/>
              </w:rPr>
              <w:t>Under the</w:t>
            </w: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13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4"/>
              </w:rPr>
              <w:t>Purchased</w:t>
            </w:r>
            <w:r>
              <w:rPr>
                <w:rFonts w:ascii="Arial" w:cs="Arial" w:eastAsia="Arial" w:hAnsi="Arial"/>
                <w:sz w:val="21"/>
                <w:szCs w:val="21"/>
                <w:b w:val="1"/>
                <w:bCs w:val="1"/>
                <w:color w:val="auto"/>
                <w:w w:val="84"/>
                <w:vertAlign w:val="superscript"/>
              </w:rPr>
              <w:t>(1)</w:t>
            </w:r>
          </w:p>
        </w:tc>
        <w:tc>
          <w:tcPr>
            <w:tcW w:w="14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Paid Per Share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Program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6"/>
              <w:spacing w:after="0" w:line="216" w:lineRule="exact"/>
              <w:rPr>
                <w:sz w:val="20"/>
                <w:szCs w:val="20"/>
                <w:color w:val="auto"/>
              </w:rPr>
            </w:pPr>
            <w:r>
              <w:rPr>
                <w:rFonts w:ascii="Arial" w:cs="Arial" w:eastAsia="Arial" w:hAnsi="Arial"/>
                <w:sz w:val="16"/>
                <w:szCs w:val="16"/>
                <w:b w:val="1"/>
                <w:bCs w:val="1"/>
                <w:color w:val="auto"/>
                <w:w w:val="89"/>
              </w:rPr>
              <w:t>Program</w:t>
            </w:r>
            <w:r>
              <w:rPr>
                <w:rFonts w:ascii="Arial" w:cs="Arial" w:eastAsia="Arial" w:hAnsi="Arial"/>
                <w:sz w:val="21"/>
                <w:szCs w:val="21"/>
                <w:b w:val="1"/>
                <w:bCs w:val="1"/>
                <w:color w:val="auto"/>
                <w:w w:val="89"/>
                <w:vertAlign w:val="superscript"/>
              </w:rPr>
              <w:t>(2)</w:t>
            </w:r>
          </w:p>
        </w:tc>
        <w:tc>
          <w:tcPr>
            <w:tcW w:w="0" w:type="dxa"/>
            <w:vAlign w:val="bottom"/>
          </w:tcPr>
          <w:p>
            <w:pPr>
              <w:spacing w:after="0"/>
              <w:rPr>
                <w:sz w:val="1"/>
                <w:szCs w:val="1"/>
                <w:color w:val="auto"/>
              </w:rPr>
            </w:pPr>
          </w:p>
        </w:tc>
      </w:tr>
      <w:tr>
        <w:trPr>
          <w:trHeight w:val="88"/>
        </w:trPr>
        <w:tc>
          <w:tcPr>
            <w:tcW w:w="5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2021 - January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25,601,446</w:t>
            </w:r>
          </w:p>
        </w:tc>
        <w:tc>
          <w:tcPr>
            <w:tcW w:w="0" w:type="dxa"/>
            <w:vAlign w:val="bottom"/>
          </w:tcPr>
          <w:p>
            <w:pPr>
              <w:spacing w:after="0"/>
              <w:rPr>
                <w:sz w:val="1"/>
                <w:szCs w:val="1"/>
                <w:color w:val="auto"/>
              </w:rPr>
            </w:pP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February 1, 2021 - February 28, 2021</w:t>
            </w:r>
          </w:p>
        </w:tc>
        <w:tc>
          <w:tcPr>
            <w:tcW w:w="1300" w:type="dxa"/>
            <w:vAlign w:val="bottom"/>
          </w:tcPr>
          <w:p>
            <w:pPr>
              <w:jc w:val="right"/>
              <w:spacing w:after="0"/>
              <w:rPr>
                <w:sz w:val="20"/>
                <w:szCs w:val="20"/>
                <w:color w:val="auto"/>
              </w:rPr>
            </w:pPr>
            <w:r>
              <w:rPr>
                <w:rFonts w:ascii="Arial" w:cs="Arial" w:eastAsia="Arial" w:hAnsi="Arial"/>
                <w:sz w:val="18"/>
                <w:szCs w:val="18"/>
                <w:color w:val="auto"/>
              </w:rPr>
              <w:t>9,688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35.81</w:t>
            </w:r>
          </w:p>
        </w:tc>
        <w:tc>
          <w:tcPr>
            <w:tcW w:w="140" w:type="dxa"/>
            <w:vAlign w:val="bottom"/>
          </w:tcPr>
          <w:p>
            <w:pPr>
              <w:spacing w:after="0"/>
              <w:rPr>
                <w:sz w:val="19"/>
                <w:szCs w:val="19"/>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25,601,446</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 March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25,601,446</w:t>
            </w: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Total for quarter ended March 31,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ind w:left="460" w:hanging="400"/>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shares surrendered by employees to pay taxes withheld upon the vesting of restricted stock awards.</w:t>
      </w:r>
    </w:p>
    <w:p>
      <w:pPr>
        <w:spacing w:after="0" w:line="32" w:lineRule="exact"/>
        <w:rPr>
          <w:rFonts w:ascii="Arial" w:cs="Arial" w:eastAsia="Arial" w:hAnsi="Arial"/>
          <w:sz w:val="16"/>
          <w:szCs w:val="16"/>
          <w:color w:val="auto"/>
        </w:rPr>
      </w:pPr>
    </w:p>
    <w:p>
      <w:pPr>
        <w:ind w:left="460" w:hanging="400"/>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See Part I, Item 1, Financial Statements and Supplementary Data, Note 14 for additional information on our publicly announced share repurchase program.</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r>
        <w:rPr>
          <w:rFonts w:ascii="Arial" w:cs="Arial" w:eastAsia="Arial" w:hAnsi="Arial"/>
          <w:sz w:val="15"/>
          <w:szCs w:val="15"/>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exhibits required to be filed pursuant to the requirements of Item 601 of Regulation S-K are set forth in the Exhibit Index accompanying this Quarterly Report on Form 10-Q and are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CARRIAGE SERVICES, INC.</w:t>
      </w:r>
    </w:p>
    <w:p>
      <w:pPr>
        <w:spacing w:after="0" w:line="23" w:lineRule="exact"/>
        <w:rPr>
          <w:sz w:val="20"/>
          <w:szCs w:val="20"/>
          <w:color w:val="auto"/>
        </w:rPr>
      </w:pPr>
    </w:p>
    <w:p>
      <w:pPr>
        <w:ind w:left="620" w:right="4740" w:hanging="4886"/>
        <w:spacing w:after="0" w:line="273" w:lineRule="auto"/>
        <w:tabs>
          <w:tab w:leader="none" w:pos="600" w:val="left"/>
        </w:tabs>
        <w:rPr>
          <w:sz w:val="20"/>
          <w:szCs w:val="20"/>
          <w:color w:val="auto"/>
        </w:rPr>
      </w:pPr>
      <w:r>
        <w:rPr>
          <w:rFonts w:ascii="Arial" w:cs="Arial" w:eastAsia="Arial" w:hAnsi="Arial"/>
          <w:sz w:val="18"/>
          <w:szCs w:val="18"/>
          <w:color w:val="auto"/>
        </w:rPr>
        <w:t>Date:</w:t>
      </w:r>
      <w:r>
        <w:rPr>
          <w:rFonts w:ascii="Arial" w:cs="Arial" w:eastAsia="Arial" w:hAnsi="Arial"/>
          <w:sz w:val="18"/>
          <w:szCs w:val="18"/>
          <w:color w:val="242424"/>
        </w:rPr>
        <w:tab/>
        <w:t xml:space="preserve">May 5, 2021 </w:t>
      </w:r>
      <w:r>
        <w:rPr>
          <w:rFonts w:ascii="Arial" w:cs="Arial" w:eastAsia="Arial" w:hAnsi="Arial"/>
          <w:sz w:val="18"/>
          <w:szCs w:val="18"/>
          <w:color w:val="000000"/>
        </w:rPr>
        <w:t>/s/ C. Benjamin Brink</w:t>
      </w:r>
      <w:r>
        <w:rPr>
          <w:rFonts w:ascii="Arial" w:cs="Arial" w:eastAsia="Arial" w:hAnsi="Arial"/>
          <w:sz w:val="18"/>
          <w:szCs w:val="18"/>
          <w:color w:val="242424"/>
        </w:rPr>
        <w:t xml:space="preserve"> </w:t>
      </w:r>
      <w:r>
        <w:rPr>
          <w:rFonts w:ascii="Arial" w:cs="Arial" w:eastAsia="Arial" w:hAnsi="Arial"/>
          <w:sz w:val="18"/>
          <w:szCs w:val="18"/>
          <w:color w:val="000000"/>
        </w:rPr>
        <w:t>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-3175</wp:posOffset>
            </wp:positionV>
            <wp:extent cx="4003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2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tbl>
      <w:tblPr>
        <w:tblLayout w:type="fixed"/>
        <w:tblInd w:w="14"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60" w:type="dxa"/>
            <w:vAlign w:val="bottom"/>
            <w:gridSpan w:val="9"/>
          </w:tcPr>
          <w:p>
            <w:pPr>
              <w:jc w:val="center"/>
              <w:ind w:right="4240"/>
              <w:spacing w:after="0"/>
              <w:rPr>
                <w:sz w:val="20"/>
                <w:szCs w:val="20"/>
                <w:color w:val="auto"/>
              </w:rPr>
            </w:pPr>
            <w:r>
              <w:rPr>
                <w:rFonts w:ascii="Arial" w:cs="Arial" w:eastAsia="Arial" w:hAnsi="Arial"/>
                <w:sz w:val="18"/>
                <w:szCs w:val="18"/>
                <w:b w:val="1"/>
                <w:bCs w:val="1"/>
                <w:color w:val="auto"/>
                <w:w w:val="99"/>
              </w:rPr>
              <w:t>CARRIAGE SERVICES, INC.</w:t>
            </w:r>
          </w:p>
        </w:tc>
      </w:tr>
      <w:tr>
        <w:trPr>
          <w:trHeight w:val="378"/>
        </w:trPr>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60" w:type="dxa"/>
            <w:vAlign w:val="bottom"/>
            <w:gridSpan w:val="9"/>
          </w:tcPr>
          <w:p>
            <w:pPr>
              <w:jc w:val="center"/>
              <w:ind w:right="4260"/>
              <w:spacing w:after="0"/>
              <w:rPr>
                <w:sz w:val="20"/>
                <w:szCs w:val="20"/>
                <w:color w:val="auto"/>
              </w:rPr>
            </w:pPr>
            <w:r>
              <w:rPr>
                <w:rFonts w:ascii="Arial" w:cs="Arial" w:eastAsia="Arial" w:hAnsi="Arial"/>
                <w:sz w:val="18"/>
                <w:szCs w:val="18"/>
                <w:b w:val="1"/>
                <w:bCs w:val="1"/>
                <w:color w:val="auto"/>
              </w:rPr>
              <w:t>INDEX OF EXHIBITS</w:t>
            </w:r>
          </w:p>
        </w:tc>
      </w:tr>
      <w:tr>
        <w:trPr>
          <w:trHeight w:val="270"/>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16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85"/>
              </w:rPr>
              <w:t>10.1</w:t>
            </w:r>
          </w:p>
        </w:tc>
        <w:tc>
          <w:tcPr>
            <w:tcW w:w="9080" w:type="dxa"/>
            <w:vAlign w:val="bottom"/>
            <w:tcBorders>
              <w:bottom w:val="single" w:sz="8" w:color="0000FF"/>
            </w:tcBorders>
            <w:gridSpan w:val="9"/>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 xml:space="preserve">First Amendment to Employment Agreement </w:t>
              </w:r>
            </w:hyperlink>
            <w:r>
              <w:rPr>
                <w:rFonts w:ascii="Arial" w:cs="Arial" w:eastAsia="Arial" w:hAnsi="Arial"/>
                <w:sz w:val="18"/>
                <w:szCs w:val="18"/>
                <w:color w:val="0000FF"/>
                <w:w w:val="92"/>
              </w:rPr>
              <w:t xml:space="preserve">dated </w:t>
            </w:r>
            <w:hyperlink r:id="rId91">
              <w:r>
                <w:rPr>
                  <w:rFonts w:ascii="Arial" w:cs="Arial" w:eastAsia="Arial" w:hAnsi="Arial"/>
                  <w:sz w:val="18"/>
                  <w:szCs w:val="18"/>
                  <w:color w:val="0000FF"/>
                  <w:w w:val="92"/>
                </w:rPr>
                <w:t>February 17, 2021 by and between the Company and Melvin C. Payne.</w:t>
              </w:r>
            </w:hyperlink>
          </w:p>
        </w:tc>
        <w:tc>
          <w:tcPr>
            <w:tcW w:w="80" w:type="dxa"/>
            <w:vAlign w:val="bottom"/>
            <w:gridSpan w:val="4"/>
          </w:tcPr>
          <w:p>
            <w:pPr>
              <w:spacing w:after="0"/>
              <w:rPr>
                <w:sz w:val="18"/>
                <w:szCs w:val="18"/>
                <w:color w:val="auto"/>
              </w:rPr>
            </w:pPr>
          </w:p>
        </w:tc>
      </w:tr>
      <w:tr>
        <w:trPr>
          <w:trHeight w:val="156"/>
        </w:trPr>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160" w:type="dxa"/>
            <w:vAlign w:val="bottom"/>
            <w:gridSpan w:val="13"/>
          </w:tcPr>
          <w:p>
            <w:pPr>
              <w:spacing w:after="0" w:line="156" w:lineRule="exact"/>
              <w:rPr>
                <w:rFonts w:ascii="Arial" w:cs="Arial" w:eastAsia="Arial" w:hAnsi="Arial"/>
                <w:sz w:val="18"/>
                <w:szCs w:val="18"/>
                <w:color w:val="0000FF"/>
                <w:w w:val="97"/>
              </w:rPr>
            </w:pPr>
            <w:hyperlink r:id="rId91">
              <w:r>
                <w:rPr>
                  <w:rFonts w:ascii="Arial" w:cs="Arial" w:eastAsia="Arial" w:hAnsi="Arial"/>
                  <w:sz w:val="18"/>
                  <w:szCs w:val="18"/>
                  <w:u w:val="single" w:color="auto"/>
                  <w:color w:val="0000FF"/>
                  <w:w w:val="97"/>
                </w:rPr>
                <w:t>Incorporated</w:t>
              </w:r>
              <w:r>
                <w:rPr>
                  <w:rFonts w:ascii="Arial" w:cs="Arial" w:eastAsia="Arial" w:hAnsi="Arial"/>
                  <w:sz w:val="18"/>
                  <w:szCs w:val="18"/>
                  <w:color w:val="0000FF"/>
                  <w:w w:val="97"/>
                </w:rPr>
                <w:t xml:space="preserve"> by reference to Exhibit 10.1 to the Company's Current Report on Form 8-K filed on February 18, 2021. </w:t>
              </w:r>
            </w:hyperlink>
            <w:r>
              <w:rPr>
                <w:rFonts w:ascii="Arial" w:cs="Arial" w:eastAsia="Arial" w:hAnsi="Arial"/>
                <w:sz w:val="18"/>
                <w:szCs w:val="18"/>
                <w:color w:val="000000"/>
                <w:w w:val="97"/>
              </w:rPr>
              <w:t>†</w:t>
            </w:r>
          </w:p>
        </w:tc>
      </w:tr>
      <w:tr>
        <w:trPr>
          <w:trHeight w:val="20"/>
        </w:trPr>
        <w:tc>
          <w:tcPr>
            <w:tcW w:w="20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*10.2</w:t>
            </w:r>
          </w:p>
        </w:tc>
        <w:tc>
          <w:tcPr>
            <w:tcW w:w="9160" w:type="dxa"/>
            <w:vAlign w:val="bottom"/>
            <w:gridSpan w:val="13"/>
          </w:tcPr>
          <w:p>
            <w:pPr>
              <w:spacing w:after="0"/>
              <w:rPr>
                <w:rFonts w:ascii="Arial" w:cs="Arial" w:eastAsia="Arial" w:hAnsi="Arial"/>
                <w:sz w:val="18"/>
                <w:szCs w:val="18"/>
                <w:color w:val="0000FF"/>
                <w:w w:val="94"/>
              </w:rPr>
            </w:pPr>
            <w:hyperlink w:anchor="page59">
              <w:r>
                <w:rPr>
                  <w:rFonts w:ascii="Arial" w:cs="Arial" w:eastAsia="Arial" w:hAnsi="Arial"/>
                  <w:sz w:val="18"/>
                  <w:szCs w:val="18"/>
                  <w:color w:val="0000FF"/>
                  <w:w w:val="94"/>
                </w:rPr>
                <w:t xml:space="preserve">Form of First Amendment to Employment Agreement Consideration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77.34 Option Grant dated February 17, 2021 by and</w:t>
              </w:r>
            </w:hyperlink>
          </w:p>
        </w:tc>
      </w:tr>
      <w:tr>
        <w:trPr>
          <w:trHeight w:val="155"/>
        </w:trPr>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1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 xml:space="preserve">between the Company and Melvin C. Payne. </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*10.3</w:t>
            </w:r>
          </w:p>
        </w:tc>
        <w:tc>
          <w:tcPr>
            <w:tcW w:w="9160" w:type="dxa"/>
            <w:vAlign w:val="bottom"/>
            <w:gridSpan w:val="13"/>
          </w:tcPr>
          <w:p>
            <w:pPr>
              <w:spacing w:after="0"/>
              <w:rPr>
                <w:rFonts w:ascii="Arial" w:cs="Arial" w:eastAsia="Arial" w:hAnsi="Arial"/>
                <w:sz w:val="18"/>
                <w:szCs w:val="18"/>
                <w:color w:val="0000FF"/>
                <w:w w:val="94"/>
              </w:rPr>
            </w:pPr>
            <w:hyperlink w:anchor="page60">
              <w:r>
                <w:rPr>
                  <w:rFonts w:ascii="Arial" w:cs="Arial" w:eastAsia="Arial" w:hAnsi="Arial"/>
                  <w:sz w:val="18"/>
                  <w:szCs w:val="18"/>
                  <w:color w:val="0000FF"/>
                  <w:w w:val="94"/>
                </w:rPr>
                <w:t xml:space="preserve">Form of First Amendment to Employment Agreement Consideration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53.39 Option Grant dated February 17, 2021 by and</w:t>
              </w:r>
            </w:hyperlink>
          </w:p>
        </w:tc>
      </w:tr>
      <w:tr>
        <w:trPr>
          <w:trHeight w:val="155"/>
        </w:trPr>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1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60">
              <w:r>
                <w:rPr>
                  <w:rFonts w:ascii="Arial" w:cs="Arial" w:eastAsia="Arial" w:hAnsi="Arial"/>
                  <w:sz w:val="18"/>
                  <w:szCs w:val="18"/>
                  <w:color w:val="0000FF"/>
                </w:rPr>
                <w:t xml:space="preserve">between the Company and Melvin C. Payne. </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85"/>
              </w:rPr>
              <w:t>10.4</w:t>
            </w:r>
          </w:p>
        </w:tc>
        <w:tc>
          <w:tcPr>
            <w:tcW w:w="9160" w:type="dxa"/>
            <w:vAlign w:val="bottom"/>
            <w:tcBorders>
              <w:bottom w:val="single" w:sz="8" w:color="0000FF"/>
            </w:tcBorders>
            <w:gridSpan w:val="13"/>
          </w:tcPr>
          <w:p>
            <w:pPr>
              <w:spacing w:after="0"/>
              <w:rPr>
                <w:rFonts w:ascii="Arial" w:cs="Arial" w:eastAsia="Arial" w:hAnsi="Arial"/>
                <w:sz w:val="18"/>
                <w:szCs w:val="18"/>
                <w:color w:val="0000FF"/>
                <w:w w:val="92"/>
              </w:rPr>
            </w:pPr>
            <w:hyperlink r:id="rId92">
              <w:r>
                <w:rPr>
                  <w:rFonts w:ascii="Arial" w:cs="Arial" w:eastAsia="Arial" w:hAnsi="Arial"/>
                  <w:sz w:val="18"/>
                  <w:szCs w:val="18"/>
                  <w:color w:val="0000FF"/>
                  <w:w w:val="92"/>
                </w:rPr>
                <w:t>Release and Separation Agreement by and between Carriage Services, Inc. and Viki K. Blinderman, dated February 2, 2021</w:t>
              </w:r>
            </w:hyperlink>
          </w:p>
        </w:tc>
      </w:tr>
      <w:tr>
        <w:trPr>
          <w:trHeight w:val="176"/>
        </w:trPr>
        <w:tc>
          <w:tcPr>
            <w:tcW w:w="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160" w:type="dxa"/>
            <w:vAlign w:val="bottom"/>
            <w:gridSpan w:val="13"/>
          </w:tcPr>
          <w:p>
            <w:pPr>
              <w:spacing w:after="0" w:line="15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and effective March 31, 2021. Incorporated by reference to Exhibit 10.40 to the Company's Annual Report on Form 10-K filed</w:t>
              </w:r>
            </w:hyperlink>
          </w:p>
        </w:tc>
      </w:tr>
      <w:tr>
        <w:trPr>
          <w:trHeight w:val="135"/>
        </w:trPr>
        <w:tc>
          <w:tcPr>
            <w:tcW w:w="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100" w:type="dxa"/>
            <w:vAlign w:val="bottom"/>
            <w:tcBorders>
              <w:top w:val="single" w:sz="8" w:color="0000FF"/>
            </w:tcBorders>
            <w:gridSpan w:val="4"/>
          </w:tcPr>
          <w:p>
            <w:pPr>
              <w:spacing w:after="0" w:line="136" w:lineRule="exact"/>
              <w:rPr>
                <w:rFonts w:ascii="Arial" w:cs="Arial" w:eastAsia="Arial" w:hAnsi="Arial"/>
                <w:sz w:val="15"/>
                <w:szCs w:val="15"/>
                <w:color w:val="0000FF"/>
              </w:rPr>
            </w:pPr>
            <w:hyperlink r:id="rId92">
              <w:r>
                <w:rPr>
                  <w:rFonts w:ascii="Arial" w:cs="Arial" w:eastAsia="Arial" w:hAnsi="Arial"/>
                  <w:sz w:val="15"/>
                  <w:szCs w:val="15"/>
                  <w:color w:val="0000FF"/>
                </w:rPr>
                <w:t xml:space="preserve">on March 2, 2021. </w:t>
              </w:r>
              <w:r>
                <w:rPr>
                  <w:rFonts w:ascii="Arial" w:cs="Arial" w:eastAsia="Arial" w:hAnsi="Arial"/>
                  <w:sz w:val="15"/>
                  <w:szCs w:val="15"/>
                  <w:color w:val="000000"/>
                </w:rPr>
                <w:t>†</w:t>
              </w:r>
            </w:hyperlink>
          </w:p>
        </w:tc>
        <w:tc>
          <w:tcPr>
            <w:tcW w:w="1060" w:type="dxa"/>
            <w:vAlign w:val="bottom"/>
            <w:tcBorders>
              <w:top w:val="single" w:sz="8" w:color="0000FF"/>
            </w:tcBorders>
          </w:tcPr>
          <w:p>
            <w:pPr>
              <w:spacing w:after="0"/>
              <w:rPr>
                <w:sz w:val="11"/>
                <w:szCs w:val="11"/>
                <w:color w:val="auto"/>
              </w:rPr>
            </w:pPr>
          </w:p>
        </w:tc>
        <w:tc>
          <w:tcPr>
            <w:tcW w:w="940" w:type="dxa"/>
            <w:vAlign w:val="bottom"/>
            <w:tcBorders>
              <w:top w:val="single" w:sz="8" w:color="0000FF"/>
            </w:tcBorders>
          </w:tcPr>
          <w:p>
            <w:pPr>
              <w:spacing w:after="0"/>
              <w:rPr>
                <w:sz w:val="11"/>
                <w:szCs w:val="11"/>
                <w:color w:val="auto"/>
              </w:rPr>
            </w:pPr>
          </w:p>
        </w:tc>
        <w:tc>
          <w:tcPr>
            <w:tcW w:w="4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85"/>
              </w:rPr>
              <w:t>10.5</w:t>
            </w:r>
          </w:p>
        </w:tc>
        <w:tc>
          <w:tcPr>
            <w:tcW w:w="9160" w:type="dxa"/>
            <w:vAlign w:val="bottom"/>
            <w:gridSpan w:val="13"/>
          </w:tcPr>
          <w:p>
            <w:pPr>
              <w:spacing w:after="0"/>
              <w:rPr>
                <w:rFonts w:ascii="Arial" w:cs="Arial" w:eastAsia="Arial" w:hAnsi="Arial"/>
                <w:sz w:val="18"/>
                <w:szCs w:val="18"/>
                <w:color w:val="0000FF"/>
                <w:w w:val="90"/>
              </w:rPr>
            </w:pPr>
            <w:hyperlink r:id="rId93">
              <w:r>
                <w:rPr>
                  <w:rFonts w:ascii="Arial" w:cs="Arial" w:eastAsia="Arial" w:hAnsi="Arial"/>
                  <w:sz w:val="18"/>
                  <w:szCs w:val="18"/>
                  <w:color w:val="0000FF"/>
                  <w:w w:val="90"/>
                </w:rPr>
                <w:t>Second Amendment to the Amended and Restated Carriage Services, Inc. 2007 Employee Stock Purchase Plan. Incorporated</w:t>
              </w:r>
            </w:hyperlink>
          </w:p>
        </w:tc>
      </w:tr>
      <w:tr>
        <w:trPr>
          <w:trHeight w:val="156"/>
        </w:trPr>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4"/>
              </w:rPr>
            </w:pPr>
            <w:hyperlink r:id="rId93">
              <w:r>
                <w:rPr>
                  <w:rFonts w:ascii="Arial" w:cs="Arial" w:eastAsia="Arial" w:hAnsi="Arial"/>
                  <w:sz w:val="18"/>
                  <w:szCs w:val="18"/>
                  <w:color w:val="0000FF"/>
                  <w:w w:val="94"/>
                </w:rPr>
                <w:t>by reference to Appendix A to the Company’s Definitive Proxy Statement on Schedule 14A filed with the SEC on April 5,</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140" w:type="dxa"/>
            <w:vAlign w:val="bottom"/>
            <w:gridSpan w:val="12"/>
          </w:tcPr>
          <w:p>
            <w:pPr>
              <w:spacing w:after="0" w:line="156" w:lineRule="exact"/>
              <w:rPr>
                <w:rFonts w:ascii="Arial" w:cs="Arial" w:eastAsia="Arial" w:hAnsi="Arial"/>
                <w:sz w:val="18"/>
                <w:szCs w:val="18"/>
                <w:color w:val="0000FF"/>
                <w:w w:val="97"/>
              </w:rPr>
            </w:pPr>
            <w:hyperlink r:id="rId93">
              <w:r>
                <w:rPr>
                  <w:rFonts w:ascii="Arial" w:cs="Arial" w:eastAsia="Arial" w:hAnsi="Arial"/>
                  <w:sz w:val="18"/>
                  <w:szCs w:val="18"/>
                  <w:color w:val="0000FF"/>
                  <w:w w:val="97"/>
                </w:rPr>
                <w:t xml:space="preserve">2021 and Amendment No. 1 to our Definitive Proxy Statement on Schedule 14A filed with the SEC on April 6, 2021. </w:t>
              </w:r>
              <w:r>
                <w:rPr>
                  <w:rFonts w:ascii="Arial" w:cs="Arial" w:eastAsia="Arial" w:hAnsi="Arial"/>
                  <w:sz w:val="18"/>
                  <w:szCs w:val="18"/>
                  <w:color w:val="000000"/>
                  <w:w w:val="97"/>
                </w:rPr>
                <w:t>†</w:t>
              </w:r>
            </w:hyperlink>
          </w:p>
        </w:tc>
        <w:tc>
          <w:tcPr>
            <w:tcW w:w="20" w:type="dxa"/>
            <w:vAlign w:val="bottom"/>
          </w:tcPr>
          <w:p>
            <w:pPr>
              <w:spacing w:after="0"/>
              <w:rPr>
                <w:sz w:val="13"/>
                <w:szCs w:val="13"/>
                <w:color w:val="auto"/>
              </w:rPr>
            </w:pPr>
          </w:p>
        </w:tc>
      </w:tr>
      <w:tr>
        <w:trPr>
          <w:trHeight w:val="20"/>
        </w:trPr>
        <w:tc>
          <w:tcPr>
            <w:tcW w:w="2080" w:type="dxa"/>
            <w:vAlign w:val="bottom"/>
            <w:tcBorders>
              <w:right w:val="single" w:sz="8" w:color="0000FF"/>
            </w:tcBorders>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*31.1</w:t>
            </w:r>
          </w:p>
        </w:tc>
        <w:tc>
          <w:tcPr>
            <w:tcW w:w="9160" w:type="dxa"/>
            <w:vAlign w:val="bottom"/>
            <w:gridSpan w:val="13"/>
          </w:tcPr>
          <w:p>
            <w:pPr>
              <w:spacing w:after="0"/>
              <w:rPr>
                <w:rFonts w:ascii="Arial" w:cs="Arial" w:eastAsia="Arial" w:hAnsi="Arial"/>
                <w:sz w:val="18"/>
                <w:szCs w:val="18"/>
                <w:color w:val="0000FF"/>
                <w:w w:val="95"/>
              </w:rPr>
            </w:pPr>
            <w:hyperlink w:anchor="page61">
              <w:r>
                <w:rPr>
                  <w:rFonts w:ascii="Arial" w:cs="Arial" w:eastAsia="Arial" w:hAnsi="Arial"/>
                  <w:sz w:val="18"/>
                  <w:szCs w:val="18"/>
                  <w:color w:val="0000FF"/>
                  <w:w w:val="95"/>
                </w:rPr>
                <w:t>Certification of Periodic Financial Reports by Melvin C. Payne in satisfaction of Section 302 of the Sarbanes-Oxley Act of</w:t>
              </w:r>
            </w:hyperlink>
          </w:p>
        </w:tc>
      </w:tr>
      <w:tr>
        <w:trPr>
          <w:trHeight w:val="156"/>
        </w:trPr>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0"/>
              </w:rPr>
            </w:pPr>
            <w:hyperlink w:anchor="page61">
              <w:r>
                <w:rPr>
                  <w:rFonts w:ascii="Arial" w:cs="Arial" w:eastAsia="Arial" w:hAnsi="Arial"/>
                  <w:sz w:val="18"/>
                  <w:szCs w:val="18"/>
                  <w:color w:val="0000FF"/>
                  <w:w w:val="70"/>
                </w:rPr>
                <w:t>2002.</w:t>
              </w:r>
            </w:hyperlink>
          </w:p>
        </w:tc>
        <w:tc>
          <w:tcPr>
            <w:tcW w:w="3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*31.2</w:t>
            </w:r>
          </w:p>
        </w:tc>
        <w:tc>
          <w:tcPr>
            <w:tcW w:w="9160" w:type="dxa"/>
            <w:vAlign w:val="bottom"/>
            <w:gridSpan w:val="13"/>
          </w:tcPr>
          <w:p>
            <w:pPr>
              <w:spacing w:after="0"/>
              <w:rPr>
                <w:rFonts w:ascii="Arial" w:cs="Arial" w:eastAsia="Arial" w:hAnsi="Arial"/>
                <w:sz w:val="18"/>
                <w:szCs w:val="18"/>
                <w:color w:val="0000FF"/>
                <w:w w:val="93"/>
              </w:rPr>
            </w:pPr>
            <w:hyperlink w:anchor="page62">
              <w:r>
                <w:rPr>
                  <w:rFonts w:ascii="Arial" w:cs="Arial" w:eastAsia="Arial" w:hAnsi="Arial"/>
                  <w:sz w:val="18"/>
                  <w:szCs w:val="18"/>
                  <w:color w:val="0000FF"/>
                  <w:w w:val="93"/>
                </w:rPr>
                <w:t>Certification of Periodic Financial Reports by C. Benjamin Brink in satisfaction of Section 302 of the Sarbanes-Oxley Act of</w:t>
              </w:r>
            </w:hyperlink>
          </w:p>
        </w:tc>
      </w:tr>
      <w:tr>
        <w:trPr>
          <w:trHeight w:val="156"/>
        </w:trPr>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0"/>
              </w:rPr>
            </w:pPr>
            <w:hyperlink w:anchor="page62">
              <w:r>
                <w:rPr>
                  <w:rFonts w:ascii="Arial" w:cs="Arial" w:eastAsia="Arial" w:hAnsi="Arial"/>
                  <w:sz w:val="18"/>
                  <w:szCs w:val="18"/>
                  <w:color w:val="0000FF"/>
                  <w:w w:val="70"/>
                </w:rPr>
                <w:t>2002.</w:t>
              </w:r>
            </w:hyperlink>
          </w:p>
        </w:tc>
        <w:tc>
          <w:tcPr>
            <w:tcW w:w="3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2080" w:type="dxa"/>
            <w:vAlign w:val="bottom"/>
            <w:gridSpan w:val="2"/>
          </w:tcPr>
          <w:p>
            <w:pPr>
              <w:jc w:val="center"/>
              <w:ind w:right="480"/>
              <w:spacing w:after="0"/>
              <w:rPr>
                <w:sz w:val="20"/>
                <w:szCs w:val="20"/>
                <w:color w:val="auto"/>
              </w:rPr>
            </w:pPr>
            <w:r>
              <w:rPr>
                <w:rFonts w:ascii="Arial" w:cs="Arial" w:eastAsia="Arial" w:hAnsi="Arial"/>
                <w:sz w:val="18"/>
                <w:szCs w:val="18"/>
                <w:color w:val="auto"/>
              </w:rPr>
              <w:t>**32</w:t>
            </w:r>
          </w:p>
        </w:tc>
        <w:tc>
          <w:tcPr>
            <w:tcW w:w="9160" w:type="dxa"/>
            <w:vAlign w:val="bottom"/>
            <w:gridSpan w:val="13"/>
          </w:tcPr>
          <w:p>
            <w:pPr>
              <w:spacing w:after="0"/>
              <w:rPr>
                <w:rFonts w:ascii="Arial" w:cs="Arial" w:eastAsia="Arial" w:hAnsi="Arial"/>
                <w:sz w:val="18"/>
                <w:szCs w:val="18"/>
                <w:color w:val="0000FF"/>
                <w:w w:val="95"/>
              </w:rPr>
            </w:pPr>
            <w:hyperlink w:anchor="page63">
              <w:r>
                <w:rPr>
                  <w:rFonts w:ascii="Arial" w:cs="Arial" w:eastAsia="Arial" w:hAnsi="Arial"/>
                  <w:sz w:val="18"/>
                  <w:szCs w:val="18"/>
                  <w:color w:val="0000FF"/>
                  <w:w w:val="95"/>
                </w:rPr>
                <w:t>Certification of Periodic Financial Reports by Melvin C. Payne and C. Benjamin Brink in satisfaction of Section 906 of the</w:t>
              </w:r>
            </w:hyperlink>
          </w:p>
        </w:tc>
      </w:tr>
      <w:tr>
        <w:trPr>
          <w:trHeight w:val="155"/>
        </w:trPr>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Sarbanes-Oxley Act of 2002 and 18 U.S.C. Section 1350.</w:t>
              </w:r>
            </w:hyperlink>
          </w:p>
        </w:tc>
        <w:tc>
          <w:tcPr>
            <w:tcW w:w="502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5"/>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*101.INS</w:t>
            </w:r>
          </w:p>
        </w:tc>
        <w:tc>
          <w:tcPr>
            <w:tcW w:w="9160" w:type="dxa"/>
            <w:vAlign w:val="bottom"/>
            <w:gridSpan w:val="13"/>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XBRL tags are</w:t>
            </w:r>
          </w:p>
        </w:tc>
      </w:tr>
      <w:tr>
        <w:trPr>
          <w:trHeight w:val="230"/>
        </w:trPr>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77"/>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*101.SCH</w:t>
            </w:r>
          </w:p>
        </w:tc>
        <w:tc>
          <w:tcPr>
            <w:tcW w:w="91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Documents.</w:t>
            </w:r>
          </w:p>
        </w:tc>
      </w:tr>
      <w:tr>
        <w:trPr>
          <w:trHeight w:val="378"/>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rPr>
              <w:t>*101.CAL</w:t>
            </w:r>
          </w:p>
        </w:tc>
        <w:tc>
          <w:tcPr>
            <w:tcW w:w="91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78"/>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rPr>
              <w:t>*101.LAB</w:t>
            </w:r>
          </w:p>
        </w:tc>
        <w:tc>
          <w:tcPr>
            <w:tcW w:w="916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78"/>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*101.PRE</w:t>
            </w:r>
          </w:p>
        </w:tc>
        <w:tc>
          <w:tcPr>
            <w:tcW w:w="916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78"/>
        </w:trPr>
        <w:tc>
          <w:tcPr>
            <w:tcW w:w="208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*101.DEF</w:t>
            </w:r>
          </w:p>
        </w:tc>
        <w:tc>
          <w:tcPr>
            <w:tcW w:w="91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8"/>
        </w:trPr>
        <w:tc>
          <w:tcPr>
            <w:tcW w:w="208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*104</w:t>
            </w:r>
          </w:p>
        </w:tc>
        <w:tc>
          <w:tcPr>
            <w:tcW w:w="916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95" w:lineRule="exact"/>
        <w:rPr>
          <w:sz w:val="20"/>
          <w:szCs w:val="20"/>
          <w:color w:val="auto"/>
        </w:rPr>
      </w:pPr>
    </w:p>
    <w:p>
      <w:pPr>
        <w:ind w:left="14"/>
        <w:spacing w:after="0"/>
        <w:rPr>
          <w:sz w:val="20"/>
          <w:szCs w:val="20"/>
          <w:color w:val="auto"/>
        </w:rPr>
      </w:pPr>
      <w:r>
        <w:rPr>
          <w:rFonts w:ascii="Arial" w:cs="Arial" w:eastAsia="Arial" w:hAnsi="Arial"/>
          <w:sz w:val="16"/>
          <w:szCs w:val="16"/>
          <w:color w:val="auto"/>
        </w:rPr>
        <w:t>__________________</w:t>
      </w:r>
    </w:p>
    <w:p>
      <w:pPr>
        <w:spacing w:after="0" w:line="122" w:lineRule="exact"/>
        <w:rPr>
          <w:sz w:val="20"/>
          <w:szCs w:val="20"/>
          <w:color w:val="auto"/>
        </w:rPr>
      </w:pPr>
    </w:p>
    <w:p>
      <w:pPr>
        <w:ind w:left="654" w:hanging="654"/>
        <w:spacing w:after="0"/>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54" w:hanging="654"/>
        <w:spacing w:after="0"/>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654" w:hanging="654"/>
        <w:spacing w:after="0"/>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174"/>
          </w:cols>
          <w:pgMar w:left="346" w:top="891" w:right="3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t>STOCK OPTION AGREEMENT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CARRIAGE SERVICES,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2017 OMNIBUS INCENTIVE PLAN</w:t>
      </w:r>
    </w:p>
    <w:p>
      <w:pPr>
        <w:spacing w:after="0" w:line="352" w:lineRule="exact"/>
        <w:rPr>
          <w:sz w:val="20"/>
          <w:szCs w:val="20"/>
          <w:color w:val="auto"/>
        </w:rPr>
      </w:pPr>
    </w:p>
    <w:p>
      <w:pPr>
        <w:jc w:val="both"/>
        <w:ind w:firstLine="254"/>
        <w:spacing w:after="0" w:line="254" w:lineRule="auto"/>
        <w:rPr>
          <w:sz w:val="20"/>
          <w:szCs w:val="20"/>
          <w:color w:val="auto"/>
        </w:rPr>
      </w:pPr>
      <w:r>
        <w:rPr>
          <w:rFonts w:ascii="Arial" w:cs="Arial" w:eastAsia="Arial" w:hAnsi="Arial"/>
          <w:sz w:val="18"/>
          <w:szCs w:val="18"/>
          <w:b w:val="1"/>
          <w:bCs w:val="1"/>
          <w:color w:val="auto"/>
        </w:rPr>
        <w:t xml:space="preserve">THIS STOCK OPTION AGREEMENT </w:t>
      </w:r>
      <w:r>
        <w:rPr>
          <w:rFonts w:ascii="Arial" w:cs="Arial" w:eastAsia="Arial" w:hAnsi="Arial"/>
          <w:sz w:val="18"/>
          <w:szCs w:val="18"/>
          <w:color w:val="auto"/>
        </w:rPr>
        <w:t>(this “Agreement”) evidences the grant by CARRIAGE SERVICES,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of an option (the “Option”) to purchase the number of shares of common stock, $.01 par value (“Common Stock”), of the Company specified below, to the Participant whose name appears below and who has evidenced his acceptance hereof by signing at the bottom of this Agreement. The term of the Option shall be for the number of years indicated below, commencing on the date of grant set forth below opposite the Company’s signature (the “Grant Date”), and for the number of shares and at the exercise price shown below, subject to adjustment as provided in Section 4.4 of the Carriage Services, Inc. 2017 Omnibus Incentive Plan (the “Plan”). The Option shall be subject to the vesting schedule set forth below. The Option is </w:t>
      </w:r>
      <w:r>
        <w:rPr>
          <w:rFonts w:ascii="Arial" w:cs="Arial" w:eastAsia="Arial" w:hAnsi="Arial"/>
          <w:sz w:val="18"/>
          <w:szCs w:val="18"/>
          <w:u w:val="single" w:color="auto"/>
          <w:color w:val="auto"/>
        </w:rPr>
        <w:t>designated</w:t>
      </w:r>
      <w:r>
        <w:rPr>
          <w:rFonts w:ascii="Arial" w:cs="Arial" w:eastAsia="Arial" w:hAnsi="Arial"/>
          <w:sz w:val="18"/>
          <w:szCs w:val="18"/>
          <w:color w:val="auto"/>
        </w:rPr>
        <w:t xml:space="preserve"> below as either an incentive stock option (“ISO”) or a non-qualified stock option (“NQSO”) within the meaning of Section 422 of the Internal Revenue Code. The Company makes no representation or guarantee that an initial grant of an ISO will continue to qualify as such. If the Participant’s employment with the Company terminates, the exercising of an Option(s) shall be governed pursuant to the termination provisions set forth in Section 6.3 of the Plan.</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780" w:type="dxa"/>
            <w:vAlign w:val="bottom"/>
          </w:tcPr>
          <w:p>
            <w:pPr>
              <w:spacing w:after="0"/>
              <w:rPr>
                <w:sz w:val="20"/>
                <w:szCs w:val="20"/>
                <w:color w:val="auto"/>
              </w:rPr>
            </w:pPr>
            <w:r>
              <w:rPr>
                <w:rFonts w:ascii="Arial" w:cs="Arial" w:eastAsia="Arial" w:hAnsi="Arial"/>
                <w:sz w:val="18"/>
                <w:szCs w:val="18"/>
                <w:b w:val="1"/>
                <w:bCs w:val="1"/>
                <w:color w:val="auto"/>
              </w:rPr>
              <w:t>Name of Participant:</w:t>
            </w: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rPr>
              <w:t>Melvin C. Payne</w:t>
            </w: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84"/>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Period:</w:t>
            </w: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rPr>
              <w:t>Ten (10) years</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ISO Options:</w:t>
            </w: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NQSO Options:</w:t>
            </w:r>
          </w:p>
        </w:tc>
        <w:tc>
          <w:tcPr>
            <w:tcW w:w="1220" w:type="dxa"/>
            <w:vAlign w:val="bottom"/>
          </w:tcPr>
          <w:p>
            <w:pPr>
              <w:ind w:left="500"/>
              <w:spacing w:after="0"/>
              <w:rPr>
                <w:sz w:val="20"/>
                <w:szCs w:val="20"/>
                <w:color w:val="auto"/>
              </w:rPr>
            </w:pPr>
            <w:r>
              <w:rPr>
                <w:rFonts w:ascii="Arial" w:cs="Arial" w:eastAsia="Arial" w:hAnsi="Arial"/>
                <w:sz w:val="18"/>
                <w:szCs w:val="18"/>
                <w:color w:val="auto"/>
              </w:rPr>
              <w:t>100,000</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1220" w:type="dxa"/>
            <w:vAlign w:val="bottom"/>
          </w:tcPr>
          <w:p>
            <w:pPr>
              <w:ind w:left="500"/>
              <w:spacing w:after="0"/>
              <w:rPr>
                <w:sz w:val="20"/>
                <w:szCs w:val="20"/>
                <w:color w:val="auto"/>
              </w:rPr>
            </w:pPr>
            <w:r>
              <w:rPr>
                <w:rFonts w:ascii="Arial" w:cs="Arial" w:eastAsia="Arial" w:hAnsi="Arial"/>
                <w:sz w:val="18"/>
                <w:szCs w:val="18"/>
                <w:color w:val="auto"/>
              </w:rPr>
              <w:t>$34.79</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280" w:type="dxa"/>
            <w:vAlign w:val="bottom"/>
            <w:gridSpan w:val="5"/>
          </w:tcPr>
          <w:p>
            <w:pPr>
              <w:ind w:left="500"/>
              <w:spacing w:after="0"/>
              <w:rPr>
                <w:sz w:val="20"/>
                <w:szCs w:val="20"/>
                <w:color w:val="auto"/>
              </w:rPr>
            </w:pPr>
            <w:r>
              <w:rPr>
                <w:rFonts w:ascii="Arial" w:cs="Arial" w:eastAsia="Arial" w:hAnsi="Arial"/>
                <w:sz w:val="18"/>
                <w:szCs w:val="18"/>
                <w:color w:val="auto"/>
                <w:w w:val="99"/>
              </w:rPr>
              <w:t>Subject to Section 6.3 of the Plan, the Option shall become vested when the Company’s Common</w:t>
            </w:r>
          </w:p>
        </w:tc>
      </w:tr>
      <w:tr>
        <w:trPr>
          <w:trHeight w:val="230"/>
        </w:trPr>
        <w:tc>
          <w:tcPr>
            <w:tcW w:w="2780" w:type="dxa"/>
            <w:vAlign w:val="bottom"/>
          </w:tcPr>
          <w:p>
            <w:pPr>
              <w:spacing w:after="0"/>
              <w:rPr>
                <w:sz w:val="19"/>
                <w:szCs w:val="19"/>
                <w:color w:val="auto"/>
              </w:rPr>
            </w:pPr>
          </w:p>
        </w:tc>
        <w:tc>
          <w:tcPr>
            <w:tcW w:w="8280" w:type="dxa"/>
            <w:vAlign w:val="bottom"/>
            <w:gridSpan w:val="5"/>
          </w:tcPr>
          <w:p>
            <w:pPr>
              <w:ind w:left="500"/>
              <w:spacing w:after="0"/>
              <w:rPr>
                <w:sz w:val="20"/>
                <w:szCs w:val="20"/>
                <w:color w:val="auto"/>
              </w:rPr>
            </w:pPr>
            <w:r>
              <w:rPr>
                <w:rFonts w:ascii="Arial" w:cs="Arial" w:eastAsia="Arial" w:hAnsi="Arial"/>
                <w:sz w:val="18"/>
                <w:szCs w:val="18"/>
                <w:color w:val="auto"/>
              </w:rPr>
              <w:t>Stock closes at, or above, the below specified price for three consecutive trading days.</w:t>
            </w:r>
          </w:p>
        </w:tc>
      </w:tr>
      <w:tr>
        <w:trPr>
          <w:trHeight w:val="688"/>
        </w:trPr>
        <w:tc>
          <w:tcPr>
            <w:tcW w:w="2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b w:val="1"/>
                <w:bCs w:val="1"/>
                <w:color w:val="auto"/>
              </w:rPr>
              <w:t>Vesting Schedule</w:t>
            </w:r>
          </w:p>
        </w:tc>
      </w:tr>
      <w:tr>
        <w:trPr>
          <w:trHeight w:val="27"/>
        </w:trPr>
        <w:tc>
          <w:tcPr>
            <w:tcW w:w="2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278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$77.34</w:t>
            </w:r>
          </w:p>
        </w:tc>
        <w:tc>
          <w:tcPr>
            <w:tcW w:w="38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278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b w:val="1"/>
                <w:bCs w:val="1"/>
                <w:color w:val="auto"/>
              </w:rPr>
              <w:t>NQSO</w:t>
            </w:r>
          </w:p>
        </w:tc>
        <w:tc>
          <w:tcPr>
            <w:tcW w:w="5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100,000</w:t>
            </w:r>
          </w:p>
        </w:tc>
        <w:tc>
          <w:tcPr>
            <w:tcW w:w="38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terms and conditions of this Agreement are subject to the terms and provisions of the Plan, as amended, of which the Participant acknowledges receiving a copy.</w:t>
      </w:r>
    </w:p>
    <w:p>
      <w:pPr>
        <w:spacing w:after="0" w:line="201"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GRANTED EFFECTIVE this</w:t>
      </w:r>
      <w:r>
        <w:rPr>
          <w:sz w:val="20"/>
          <w:szCs w:val="20"/>
          <w:color w:val="auto"/>
        </w:rPr>
        <w:tab/>
      </w:r>
      <w:r>
        <w:rPr>
          <w:rFonts w:ascii="Arial" w:cs="Arial" w:eastAsia="Arial" w:hAnsi="Arial"/>
          <w:sz w:val="17"/>
          <w:szCs w:val="17"/>
          <w:b w:val="1"/>
          <w:bCs w:val="1"/>
          <w:color w:val="auto"/>
        </w:rPr>
        <w:t>CARRIAGE SERVICES, INC.</w:t>
      </w:r>
    </w:p>
    <w:p>
      <w:pPr>
        <w:spacing w:after="0" w:line="225" w:lineRule="auto"/>
        <w:rPr>
          <w:sz w:val="20"/>
          <w:szCs w:val="20"/>
          <w:color w:val="auto"/>
        </w:rPr>
      </w:pPr>
      <w:r>
        <w:rPr>
          <w:rFonts w:ascii="Arial" w:cs="Arial" w:eastAsia="Arial" w:hAnsi="Arial"/>
          <w:sz w:val="18"/>
          <w:szCs w:val="18"/>
          <w:color w:val="auto"/>
        </w:rPr>
        <w:t>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2021</w:t>
      </w:r>
    </w:p>
    <w:p>
      <w:pPr>
        <w:ind w:left="1800"/>
        <w:spacing w:after="0"/>
        <w:rPr>
          <w:sz w:val="20"/>
          <w:szCs w:val="20"/>
          <w:color w:val="auto"/>
        </w:rPr>
      </w:pPr>
      <w:r>
        <w:rPr>
          <w:rFonts w:ascii="Arial" w:cs="Arial" w:eastAsia="Arial" w:hAnsi="Arial"/>
          <w:sz w:val="18"/>
          <w:szCs w:val="18"/>
          <w:color w:val="auto"/>
        </w:rPr>
        <w:t>By:_________________________________________</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STEVEN D. METZGER, Senior Vice President, General Counsel &amp; Secretary</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ACCEPTANCE BY PARTICIPANT</w:t>
      </w:r>
    </w:p>
    <w:p>
      <w:pPr>
        <w:spacing w:after="0" w:line="274" w:lineRule="exact"/>
        <w:rPr>
          <w:sz w:val="20"/>
          <w:szCs w:val="20"/>
          <w:color w:val="auto"/>
        </w:rPr>
      </w:pPr>
    </w:p>
    <w:p>
      <w:pPr>
        <w:jc w:val="both"/>
        <w:ind w:firstLine="227"/>
        <w:spacing w:after="0" w:line="254" w:lineRule="auto"/>
        <w:rPr>
          <w:sz w:val="20"/>
          <w:szCs w:val="20"/>
          <w:color w:val="auto"/>
        </w:rPr>
      </w:pPr>
      <w:r>
        <w:rPr>
          <w:rFonts w:ascii="Arial" w:cs="Arial" w:eastAsia="Arial" w:hAnsi="Arial"/>
          <w:sz w:val="18"/>
          <w:szCs w:val="18"/>
          <w:color w:val="auto"/>
        </w:rPr>
        <w:t>THE UNDERSIGNED PARTICIPANT, by his execution below, hereby (i) accepts the grant of the Option on the terms set forth above, (ii) agrees to be bound by all of the terms and conditions of the Carriage Services, Inc. 2017 Omnibus Incentive Plan, including termination provisions in Section 6.3, a copy of which the Participant acknowledges having read and reviewed (together with any counsel or advisors of the Participant’s choice), and (iii) understands all of the legal, tax and other consequences hereof and thereof.</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DATED:_____________________, 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23495</wp:posOffset>
            </wp:positionV>
            <wp:extent cx="3583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Melvin C. Payne</w:t>
      </w:r>
    </w:p>
    <w:p>
      <w:pPr>
        <w:sectPr>
          <w:pgSz w:w="11900" w:h="16838" w:orient="portrait"/>
          <w:cols w:equalWidth="0" w:num="1">
            <w:col w:w="11240"/>
          </w:cols>
          <w:pgMar w:left="320" w:top="121"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b w:val="1"/>
          <w:bCs w:val="1"/>
          <w:color w:val="auto"/>
        </w:rPr>
        <w:t>STOCK OPTION AGREEMENT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CARRIAGE SERVICES,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2017 OMNIBUS INCENTIVE PLAN</w:t>
      </w:r>
    </w:p>
    <w:p>
      <w:pPr>
        <w:spacing w:after="0" w:line="200" w:lineRule="exact"/>
        <w:rPr>
          <w:sz w:val="20"/>
          <w:szCs w:val="20"/>
          <w:color w:val="auto"/>
        </w:rPr>
      </w:pPr>
    </w:p>
    <w:p>
      <w:pPr>
        <w:spacing w:after="0" w:line="395" w:lineRule="exact"/>
        <w:rPr>
          <w:sz w:val="20"/>
          <w:szCs w:val="20"/>
          <w:color w:val="auto"/>
        </w:rPr>
      </w:pPr>
    </w:p>
    <w:p>
      <w:pPr>
        <w:jc w:val="both"/>
        <w:ind w:firstLine="254"/>
        <w:spacing w:after="0" w:line="254" w:lineRule="auto"/>
        <w:rPr>
          <w:sz w:val="20"/>
          <w:szCs w:val="20"/>
          <w:color w:val="auto"/>
        </w:rPr>
      </w:pPr>
      <w:r>
        <w:rPr>
          <w:rFonts w:ascii="Arial" w:cs="Arial" w:eastAsia="Arial" w:hAnsi="Arial"/>
          <w:sz w:val="18"/>
          <w:szCs w:val="18"/>
          <w:b w:val="1"/>
          <w:bCs w:val="1"/>
          <w:color w:val="auto"/>
        </w:rPr>
        <w:t xml:space="preserve">THIS STOCK OPTION AGREEMENT </w:t>
      </w:r>
      <w:r>
        <w:rPr>
          <w:rFonts w:ascii="Arial" w:cs="Arial" w:eastAsia="Arial" w:hAnsi="Arial"/>
          <w:sz w:val="18"/>
          <w:szCs w:val="18"/>
          <w:color w:val="auto"/>
        </w:rPr>
        <w:t>(this “Agreement”) evidences the grant by CARRIAGE SERVICES, INC.,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of an option (the “Option”) to purchase the number of shares of common stock, $.01 par value (“Common Stock”), of the Company specified below, to the Participant whose name appears below and who has evidenced his acceptance hereof by signing at the bottom of this Agreement. The term of the Option shall be for the number of years indicated below, commencing on the date of grant set forth below opposite the Company’s signature (the “Grant Date”), and for the number of shares and at the exercise price shown below, subject to adjustment as provided in Section 4.4 of the Carriage Services, Inc. 2017 Omnibus Incentive Plan (the “Plan”). The Option shall be subject to the vesting schedule set forth below. The Option is </w:t>
      </w:r>
      <w:r>
        <w:rPr>
          <w:rFonts w:ascii="Arial" w:cs="Arial" w:eastAsia="Arial" w:hAnsi="Arial"/>
          <w:sz w:val="18"/>
          <w:szCs w:val="18"/>
          <w:u w:val="single" w:color="auto"/>
          <w:color w:val="auto"/>
        </w:rPr>
        <w:t>designated</w:t>
      </w:r>
      <w:r>
        <w:rPr>
          <w:rFonts w:ascii="Arial" w:cs="Arial" w:eastAsia="Arial" w:hAnsi="Arial"/>
          <w:sz w:val="18"/>
          <w:szCs w:val="18"/>
          <w:color w:val="auto"/>
        </w:rPr>
        <w:t xml:space="preserve"> below as either an incentive stock option (“ISO”) or a non-qualified stock option (“NQSO”) within the meaning of Section 422 of the Internal Revenue Code. The Company makes no representation or guarantee that an initial grant of an ISO will continue to qualify as such. If the Participant’s employment with the Company terminates, the exercising of an Option(s) shall be governed pursuant to the termination provisions set forth in Section 6.3 of the Plan.</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780" w:type="dxa"/>
            <w:vAlign w:val="bottom"/>
          </w:tcPr>
          <w:p>
            <w:pPr>
              <w:spacing w:after="0"/>
              <w:rPr>
                <w:sz w:val="20"/>
                <w:szCs w:val="20"/>
                <w:color w:val="auto"/>
              </w:rPr>
            </w:pPr>
            <w:r>
              <w:rPr>
                <w:rFonts w:ascii="Arial" w:cs="Arial" w:eastAsia="Arial" w:hAnsi="Arial"/>
                <w:sz w:val="18"/>
                <w:szCs w:val="18"/>
                <w:b w:val="1"/>
                <w:bCs w:val="1"/>
                <w:color w:val="auto"/>
              </w:rPr>
              <w:t>Name of Participant:</w:t>
            </w: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rPr>
              <w:t>Melvin C. Payne</w:t>
            </w: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Period:</w:t>
            </w: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rPr>
              <w:t>Ten (10) years</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ISO Options:</w:t>
            </w:r>
          </w:p>
        </w:tc>
        <w:tc>
          <w:tcPr>
            <w:tcW w:w="194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84"/>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NQSO Options:</w:t>
            </w:r>
          </w:p>
        </w:tc>
        <w:tc>
          <w:tcPr>
            <w:tcW w:w="1220" w:type="dxa"/>
            <w:vAlign w:val="bottom"/>
          </w:tcPr>
          <w:p>
            <w:pPr>
              <w:ind w:left="500"/>
              <w:spacing w:after="0"/>
              <w:rPr>
                <w:sz w:val="20"/>
                <w:szCs w:val="20"/>
                <w:color w:val="auto"/>
              </w:rPr>
            </w:pPr>
            <w:r>
              <w:rPr>
                <w:rFonts w:ascii="Arial" w:cs="Arial" w:eastAsia="Arial" w:hAnsi="Arial"/>
                <w:sz w:val="18"/>
                <w:szCs w:val="18"/>
                <w:color w:val="auto"/>
              </w:rPr>
              <w:t>50,000</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1220" w:type="dxa"/>
            <w:vAlign w:val="bottom"/>
          </w:tcPr>
          <w:p>
            <w:pPr>
              <w:ind w:left="500"/>
              <w:spacing w:after="0"/>
              <w:rPr>
                <w:sz w:val="20"/>
                <w:szCs w:val="20"/>
                <w:color w:val="auto"/>
              </w:rPr>
            </w:pPr>
            <w:r>
              <w:rPr>
                <w:rFonts w:ascii="Arial" w:cs="Arial" w:eastAsia="Arial" w:hAnsi="Arial"/>
                <w:sz w:val="18"/>
                <w:szCs w:val="18"/>
                <w:color w:val="auto"/>
              </w:rPr>
              <w:t>$34.79</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83"/>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280" w:type="dxa"/>
            <w:vAlign w:val="bottom"/>
            <w:gridSpan w:val="5"/>
          </w:tcPr>
          <w:p>
            <w:pPr>
              <w:ind w:left="500"/>
              <w:spacing w:after="0"/>
              <w:rPr>
                <w:sz w:val="20"/>
                <w:szCs w:val="20"/>
                <w:color w:val="auto"/>
              </w:rPr>
            </w:pPr>
            <w:r>
              <w:rPr>
                <w:rFonts w:ascii="Arial" w:cs="Arial" w:eastAsia="Arial" w:hAnsi="Arial"/>
                <w:sz w:val="18"/>
                <w:szCs w:val="18"/>
                <w:color w:val="auto"/>
                <w:w w:val="99"/>
              </w:rPr>
              <w:t>Subject to Section 6.3 of the Plan, the Option shall become vested when the Company’s Common</w:t>
            </w:r>
          </w:p>
        </w:tc>
      </w:tr>
      <w:tr>
        <w:trPr>
          <w:trHeight w:val="229"/>
        </w:trPr>
        <w:tc>
          <w:tcPr>
            <w:tcW w:w="2780" w:type="dxa"/>
            <w:vAlign w:val="bottom"/>
          </w:tcPr>
          <w:p>
            <w:pPr>
              <w:spacing w:after="0"/>
              <w:rPr>
                <w:sz w:val="19"/>
                <w:szCs w:val="19"/>
                <w:color w:val="auto"/>
              </w:rPr>
            </w:pPr>
          </w:p>
        </w:tc>
        <w:tc>
          <w:tcPr>
            <w:tcW w:w="8280" w:type="dxa"/>
            <w:vAlign w:val="bottom"/>
            <w:gridSpan w:val="5"/>
          </w:tcPr>
          <w:p>
            <w:pPr>
              <w:ind w:left="500"/>
              <w:spacing w:after="0"/>
              <w:rPr>
                <w:sz w:val="20"/>
                <w:szCs w:val="20"/>
                <w:color w:val="auto"/>
              </w:rPr>
            </w:pPr>
            <w:r>
              <w:rPr>
                <w:rFonts w:ascii="Arial" w:cs="Arial" w:eastAsia="Arial" w:hAnsi="Arial"/>
                <w:sz w:val="18"/>
                <w:szCs w:val="18"/>
                <w:color w:val="auto"/>
              </w:rPr>
              <w:t>Stock closes at, or above, the below specified price for three consecutive trading days.</w:t>
            </w:r>
          </w:p>
        </w:tc>
      </w:tr>
      <w:tr>
        <w:trPr>
          <w:trHeight w:val="688"/>
        </w:trPr>
        <w:tc>
          <w:tcPr>
            <w:tcW w:w="2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b w:val="1"/>
                <w:bCs w:val="1"/>
                <w:color w:val="auto"/>
              </w:rPr>
              <w:t>Vesting Schedule</w:t>
            </w:r>
          </w:p>
        </w:tc>
      </w:tr>
      <w:tr>
        <w:trPr>
          <w:trHeight w:val="27"/>
        </w:trPr>
        <w:tc>
          <w:tcPr>
            <w:tcW w:w="2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278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$53.39</w:t>
            </w:r>
          </w:p>
        </w:tc>
        <w:tc>
          <w:tcPr>
            <w:tcW w:w="38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278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b w:val="1"/>
                <w:bCs w:val="1"/>
                <w:color w:val="auto"/>
              </w:rPr>
              <w:t>NQSO</w:t>
            </w:r>
          </w:p>
        </w:tc>
        <w:tc>
          <w:tcPr>
            <w:tcW w:w="56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50,000</w:t>
            </w:r>
          </w:p>
        </w:tc>
        <w:tc>
          <w:tcPr>
            <w:tcW w:w="38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terms and conditions of this Agreement are subject to the terms and provisions of the Plan, as amended, of which the Participant acknowledges receiving a copy.</w:t>
      </w:r>
    </w:p>
    <w:p>
      <w:pPr>
        <w:spacing w:after="0" w:line="201"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GRANTED EFFECTIVE this</w:t>
      </w:r>
      <w:r>
        <w:rPr>
          <w:sz w:val="20"/>
          <w:szCs w:val="20"/>
          <w:color w:val="auto"/>
        </w:rPr>
        <w:tab/>
      </w:r>
      <w:r>
        <w:rPr>
          <w:rFonts w:ascii="Arial" w:cs="Arial" w:eastAsia="Arial" w:hAnsi="Arial"/>
          <w:sz w:val="17"/>
          <w:szCs w:val="17"/>
          <w:b w:val="1"/>
          <w:bCs w:val="1"/>
          <w:color w:val="auto"/>
        </w:rPr>
        <w:t>CARRIAGE SERVICES, INC.</w:t>
      </w:r>
    </w:p>
    <w:p>
      <w:pPr>
        <w:spacing w:after="0" w:line="225" w:lineRule="auto"/>
        <w:rPr>
          <w:sz w:val="20"/>
          <w:szCs w:val="20"/>
          <w:color w:val="auto"/>
        </w:rPr>
      </w:pPr>
      <w:r>
        <w:rPr>
          <w:rFonts w:ascii="Arial" w:cs="Arial" w:eastAsia="Arial" w:hAnsi="Arial"/>
          <w:sz w:val="18"/>
          <w:szCs w:val="18"/>
          <w:color w:val="auto"/>
        </w:rPr>
        <w:t>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2021</w:t>
      </w:r>
    </w:p>
    <w:p>
      <w:pPr>
        <w:ind w:left="1800"/>
        <w:spacing w:after="0"/>
        <w:rPr>
          <w:sz w:val="20"/>
          <w:szCs w:val="20"/>
          <w:color w:val="auto"/>
        </w:rPr>
      </w:pPr>
      <w:r>
        <w:rPr>
          <w:rFonts w:ascii="Arial" w:cs="Arial" w:eastAsia="Arial" w:hAnsi="Arial"/>
          <w:sz w:val="18"/>
          <w:szCs w:val="18"/>
          <w:color w:val="auto"/>
        </w:rPr>
        <w:t>By:_________________________________________</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STEVEN D. METZGER, Senior Vice President, General Counsel &amp; Secretary</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ACCEPTANCE BY PARTICIPANT</w:t>
      </w:r>
    </w:p>
    <w:p>
      <w:pPr>
        <w:spacing w:after="0" w:line="274" w:lineRule="exact"/>
        <w:rPr>
          <w:sz w:val="20"/>
          <w:szCs w:val="20"/>
          <w:color w:val="auto"/>
        </w:rPr>
      </w:pPr>
    </w:p>
    <w:p>
      <w:pPr>
        <w:jc w:val="both"/>
        <w:ind w:firstLine="227"/>
        <w:spacing w:after="0" w:line="254" w:lineRule="auto"/>
        <w:rPr>
          <w:sz w:val="20"/>
          <w:szCs w:val="20"/>
          <w:color w:val="auto"/>
        </w:rPr>
      </w:pPr>
      <w:r>
        <w:rPr>
          <w:rFonts w:ascii="Arial" w:cs="Arial" w:eastAsia="Arial" w:hAnsi="Arial"/>
          <w:sz w:val="18"/>
          <w:szCs w:val="18"/>
          <w:color w:val="auto"/>
        </w:rPr>
        <w:t>THE UNDERSIGNED PARTICIPANT, by his execution below, hereby (i) accepts the grant of the Option on the terms set forth above, (ii) agrees to be bound by all of the terms and conditions of the Carriage Services, Inc. 2017 Omnibus Incentive Plan, including termination provisions in Section 6.3, a copy of which the Participant acknowledges having read and reviewed (together with any counsel or advisors of the Participant’s choice), and (iii) understands all of the legal, tax and other consequences hereof and thereof.</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DATED:_____________________, 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23495</wp:posOffset>
            </wp:positionV>
            <wp:extent cx="3583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Melvin C. Payne</w:t>
      </w:r>
    </w:p>
    <w:p>
      <w:pPr>
        <w:sectPr>
          <w:pgSz w:w="11900" w:h="16838" w:orient="portrait"/>
          <w:cols w:equalWidth="0" w:num="1">
            <w:col w:w="11240"/>
          </w:cols>
          <w:pgMar w:left="320" w:top="121" w:right="339" w:bottom="1440" w:gutter="0" w:footer="0" w:header="0"/>
        </w:sectPr>
      </w:pPr>
    </w:p>
    <w:bookmarkStart w:id="60" w:name="page61"/>
    <w:bookmarkEnd w:id="60"/>
    <w:p>
      <w:pPr>
        <w:ind w:left="10060"/>
        <w:spacing w:after="0"/>
        <w:rPr>
          <w:sz w:val="20"/>
          <w:szCs w:val="20"/>
          <w:color w:val="auto"/>
        </w:rPr>
      </w:pPr>
      <w:r>
        <w:rPr>
          <w:rFonts w:ascii="Arial" w:cs="Arial" w:eastAsia="Arial" w:hAnsi="Arial"/>
          <w:sz w:val="19"/>
          <w:szCs w:val="19"/>
          <w:b w:val="1"/>
          <w:bCs w:val="1"/>
          <w:color w:val="auto"/>
        </w:rPr>
        <w:t>EXHIBIT 31.1</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 Melvin C. Payne, certify that:</w:t>
      </w:r>
    </w:p>
    <w:p>
      <w:pPr>
        <w:spacing w:after="0" w:line="76" w:lineRule="exact"/>
        <w:rPr>
          <w:sz w:val="20"/>
          <w:szCs w:val="20"/>
          <w:color w:val="auto"/>
        </w:rPr>
      </w:pPr>
    </w:p>
    <w:p>
      <w:pPr>
        <w:ind w:left="1220" w:hanging="645"/>
        <w:spacing w:after="0"/>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 have reviewed this report on Form 10-Q of Carriage Services, Inc. (the “registrant”);</w:t>
      </w:r>
    </w:p>
    <w:p>
      <w:pPr>
        <w:spacing w:after="0" w:line="78" w:lineRule="exact"/>
        <w:rPr>
          <w:rFonts w:ascii="Arial" w:cs="Arial" w:eastAsia="Arial" w:hAnsi="Arial"/>
          <w:sz w:val="19"/>
          <w:szCs w:val="19"/>
          <w:color w:val="auto"/>
        </w:rPr>
      </w:pPr>
    </w:p>
    <w:p>
      <w:pPr>
        <w:jc w:val="both"/>
        <w:ind w:left="1220" w:hanging="645"/>
        <w:spacing w:after="0" w:line="249" w:lineRule="auto"/>
        <w:tabs>
          <w:tab w:leader="none" w:pos="1213"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9"/>
          <w:szCs w:val="19"/>
          <w:color w:val="auto"/>
        </w:rPr>
      </w:pPr>
    </w:p>
    <w:p>
      <w:pPr>
        <w:jc w:val="both"/>
        <w:ind w:left="1220" w:hanging="645"/>
        <w:spacing w:after="0" w:line="249" w:lineRule="auto"/>
        <w:tabs>
          <w:tab w:leader="none" w:pos="1213"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9"/>
          <w:szCs w:val="19"/>
          <w:color w:val="auto"/>
        </w:rPr>
      </w:pPr>
    </w:p>
    <w:p>
      <w:pPr>
        <w:jc w:val="both"/>
        <w:ind w:left="1220" w:hanging="645"/>
        <w:spacing w:after="0" w:line="249" w:lineRule="auto"/>
        <w:tabs>
          <w:tab w:leader="none" w:pos="1213"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16"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9"/>
          <w:szCs w:val="19"/>
          <w:color w:val="auto"/>
        </w:rPr>
      </w:pPr>
    </w:p>
    <w:p>
      <w:pPr>
        <w:jc w:val="both"/>
        <w:ind w:left="2520" w:hanging="487"/>
        <w:spacing w:after="0" w:line="245" w:lineRule="auto"/>
        <w:tabs>
          <w:tab w:leader="none" w:pos="2513"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9"/>
          <w:szCs w:val="19"/>
          <w:color w:val="auto"/>
        </w:rPr>
      </w:pPr>
    </w:p>
    <w:p>
      <w:pPr>
        <w:jc w:val="both"/>
        <w:ind w:left="2520" w:hanging="487"/>
        <w:spacing w:after="0" w:line="249" w:lineRule="auto"/>
        <w:tabs>
          <w:tab w:leader="none" w:pos="2516" w:val="left"/>
        </w:tabs>
        <w:numPr>
          <w:ilvl w:val="1"/>
          <w:numId w:val="3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13" w:val="left"/>
        </w:tabs>
        <w:numPr>
          <w:ilvl w:val="1"/>
          <w:numId w:val="3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9"/>
          <w:szCs w:val="19"/>
          <w:color w:val="auto"/>
        </w:rPr>
      </w:pPr>
    </w:p>
    <w:p>
      <w:pPr>
        <w:jc w:val="both"/>
        <w:ind w:left="1220" w:hanging="645"/>
        <w:spacing w:after="0" w:line="249" w:lineRule="auto"/>
        <w:tabs>
          <w:tab w:leader="none" w:pos="1213"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9"/>
          <w:szCs w:val="19"/>
          <w:color w:val="auto"/>
        </w:rPr>
      </w:pPr>
    </w:p>
    <w:p>
      <w:pPr>
        <w:jc w:val="both"/>
        <w:ind w:left="2520" w:hanging="487"/>
        <w:spacing w:after="0" w:line="249" w:lineRule="auto"/>
        <w:tabs>
          <w:tab w:leader="none" w:pos="2516" w:val="left"/>
        </w:tabs>
        <w:numPr>
          <w:ilvl w:val="1"/>
          <w:numId w:val="31"/>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9"/>
          <w:szCs w:val="19"/>
          <w:color w:val="auto"/>
        </w:rPr>
      </w:pPr>
    </w:p>
    <w:p>
      <w:pPr>
        <w:ind w:left="2520" w:hanging="487"/>
        <w:spacing w:after="0" w:line="261" w:lineRule="auto"/>
        <w:tabs>
          <w:tab w:leader="none" w:pos="2513" w:val="left"/>
        </w:tabs>
        <w:numPr>
          <w:ilvl w:val="1"/>
          <w:numId w:val="31"/>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820" w:val="left"/>
          <w:tab w:leader="none" w:pos="4920" w:val="left"/>
        </w:tabs>
        <w:rPr>
          <w:sz w:val="20"/>
          <w:szCs w:val="20"/>
          <w:color w:val="auto"/>
        </w:rPr>
      </w:pPr>
      <w:r>
        <w:rPr>
          <w:rFonts w:ascii="Arial" w:cs="Arial" w:eastAsia="Arial" w:hAnsi="Arial"/>
          <w:sz w:val="19"/>
          <w:szCs w:val="19"/>
          <w:color w:val="auto"/>
        </w:rPr>
        <w:t>Dated:</w:t>
        <w:tab/>
        <w:t>May 5, 2021</w:t>
      </w:r>
      <w:r>
        <w:rPr>
          <w:sz w:val="20"/>
          <w:szCs w:val="20"/>
          <w:color w:val="auto"/>
        </w:rPr>
        <w:tab/>
      </w:r>
      <w:r>
        <w:rPr>
          <w:rFonts w:ascii="Arial" w:cs="Arial" w:eastAsia="Arial" w:hAnsi="Arial"/>
          <w:sz w:val="17"/>
          <w:szCs w:val="17"/>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20955</wp:posOffset>
            </wp:positionV>
            <wp:extent cx="4003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Melvin C. Payne</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Chief Executive Officer and Chairman of the Board</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11240"/>
          </w:cols>
          <w:pgMar w:left="320" w:top="881" w:right="339" w:bottom="1440" w:gutter="0" w:footer="0" w:header="0"/>
        </w:sectPr>
      </w:pPr>
    </w:p>
    <w:bookmarkStart w:id="61" w:name="page62"/>
    <w:bookmarkEnd w:id="61"/>
    <w:p>
      <w:pPr>
        <w:ind w:left="10060"/>
        <w:spacing w:after="0"/>
        <w:rPr>
          <w:sz w:val="20"/>
          <w:szCs w:val="20"/>
          <w:color w:val="auto"/>
        </w:rPr>
      </w:pPr>
      <w:r>
        <w:rPr>
          <w:rFonts w:ascii="Arial" w:cs="Arial" w:eastAsia="Arial" w:hAnsi="Arial"/>
          <w:sz w:val="19"/>
          <w:szCs w:val="19"/>
          <w:b w:val="1"/>
          <w:bCs w:val="1"/>
          <w:color w:val="auto"/>
        </w:rPr>
        <w:t>EXHIBIT 31.2</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 C. Benjamin Brink, certify that:</w:t>
      </w:r>
    </w:p>
    <w:p>
      <w:pPr>
        <w:spacing w:after="0" w:line="76" w:lineRule="exact"/>
        <w:rPr>
          <w:sz w:val="20"/>
          <w:szCs w:val="20"/>
          <w:color w:val="auto"/>
        </w:rPr>
      </w:pPr>
    </w:p>
    <w:p>
      <w:pPr>
        <w:ind w:left="1220" w:hanging="645"/>
        <w:spacing w:after="0"/>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 have reviewed this report on Form 10-Q of Carriage Services, Inc. (the “registrant”);</w:t>
      </w:r>
    </w:p>
    <w:p>
      <w:pPr>
        <w:spacing w:after="0" w:line="78" w:lineRule="exact"/>
        <w:rPr>
          <w:rFonts w:ascii="Arial" w:cs="Arial" w:eastAsia="Arial" w:hAnsi="Arial"/>
          <w:sz w:val="19"/>
          <w:szCs w:val="19"/>
          <w:color w:val="auto"/>
        </w:rPr>
      </w:pPr>
    </w:p>
    <w:p>
      <w:pPr>
        <w:jc w:val="both"/>
        <w:ind w:left="1220" w:hanging="645"/>
        <w:spacing w:after="0" w:line="249" w:lineRule="auto"/>
        <w:tabs>
          <w:tab w:leader="none" w:pos="1213" w:val="left"/>
        </w:tabs>
        <w:numPr>
          <w:ilvl w:val="0"/>
          <w:numId w:val="32"/>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9"/>
          <w:szCs w:val="19"/>
          <w:color w:val="auto"/>
        </w:rPr>
      </w:pPr>
    </w:p>
    <w:p>
      <w:pPr>
        <w:jc w:val="both"/>
        <w:ind w:left="1220" w:hanging="645"/>
        <w:spacing w:after="0" w:line="249" w:lineRule="auto"/>
        <w:tabs>
          <w:tab w:leader="none" w:pos="1213" w:val="left"/>
        </w:tabs>
        <w:numPr>
          <w:ilvl w:val="0"/>
          <w:numId w:val="32"/>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9"/>
          <w:szCs w:val="19"/>
          <w:color w:val="auto"/>
        </w:rPr>
      </w:pPr>
    </w:p>
    <w:p>
      <w:pPr>
        <w:jc w:val="both"/>
        <w:ind w:left="1220" w:hanging="645"/>
        <w:spacing w:after="0" w:line="249" w:lineRule="auto"/>
        <w:tabs>
          <w:tab w:leader="none" w:pos="121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16" w:val="left"/>
        </w:tabs>
        <w:numPr>
          <w:ilvl w:val="1"/>
          <w:numId w:val="3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9"/>
          <w:szCs w:val="19"/>
          <w:color w:val="auto"/>
        </w:rPr>
      </w:pPr>
    </w:p>
    <w:p>
      <w:pPr>
        <w:jc w:val="both"/>
        <w:ind w:left="2520" w:hanging="487"/>
        <w:spacing w:after="0" w:line="245" w:lineRule="auto"/>
        <w:tabs>
          <w:tab w:leader="none" w:pos="2513" w:val="left"/>
        </w:tabs>
        <w:numPr>
          <w:ilvl w:val="1"/>
          <w:numId w:val="3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9"/>
          <w:szCs w:val="19"/>
          <w:color w:val="auto"/>
        </w:rPr>
      </w:pPr>
    </w:p>
    <w:p>
      <w:pPr>
        <w:jc w:val="both"/>
        <w:ind w:left="2520" w:hanging="487"/>
        <w:spacing w:after="0" w:line="249" w:lineRule="auto"/>
        <w:tabs>
          <w:tab w:leader="none" w:pos="2516" w:val="left"/>
        </w:tabs>
        <w:numPr>
          <w:ilvl w:val="1"/>
          <w:numId w:val="32"/>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13" w:val="left"/>
        </w:tabs>
        <w:numPr>
          <w:ilvl w:val="1"/>
          <w:numId w:val="3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9"/>
          <w:szCs w:val="19"/>
          <w:color w:val="auto"/>
        </w:rPr>
      </w:pPr>
    </w:p>
    <w:p>
      <w:pPr>
        <w:jc w:val="both"/>
        <w:ind w:left="1220" w:hanging="645"/>
        <w:spacing w:after="0" w:line="249" w:lineRule="auto"/>
        <w:tabs>
          <w:tab w:leader="none" w:pos="121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9"/>
          <w:szCs w:val="19"/>
          <w:color w:val="auto"/>
        </w:rPr>
      </w:pPr>
    </w:p>
    <w:p>
      <w:pPr>
        <w:jc w:val="both"/>
        <w:ind w:left="2520" w:hanging="487"/>
        <w:spacing w:after="0" w:line="249" w:lineRule="auto"/>
        <w:tabs>
          <w:tab w:leader="none" w:pos="2516" w:val="left"/>
        </w:tabs>
        <w:numPr>
          <w:ilvl w:val="1"/>
          <w:numId w:val="32"/>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9"/>
          <w:szCs w:val="19"/>
          <w:color w:val="auto"/>
        </w:rPr>
      </w:pPr>
    </w:p>
    <w:p>
      <w:pPr>
        <w:ind w:left="2520" w:hanging="487"/>
        <w:spacing w:after="0" w:line="261" w:lineRule="auto"/>
        <w:tabs>
          <w:tab w:leader="none" w:pos="2513" w:val="left"/>
        </w:tabs>
        <w:numPr>
          <w:ilvl w:val="1"/>
          <w:numId w:val="3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760" w:val="left"/>
          <w:tab w:leader="none" w:pos="4920" w:val="left"/>
        </w:tabs>
        <w:rPr>
          <w:sz w:val="20"/>
          <w:szCs w:val="20"/>
          <w:color w:val="auto"/>
        </w:rPr>
      </w:pPr>
      <w:r>
        <w:rPr>
          <w:rFonts w:ascii="Arial" w:cs="Arial" w:eastAsia="Arial" w:hAnsi="Arial"/>
          <w:sz w:val="19"/>
          <w:szCs w:val="19"/>
          <w:color w:val="auto"/>
        </w:rPr>
        <w:t>Dated:</w:t>
        <w:tab/>
        <w:t>May 5, 2021</w:t>
      </w:r>
      <w:r>
        <w:rPr>
          <w:sz w:val="20"/>
          <w:szCs w:val="20"/>
          <w:color w:val="auto"/>
        </w:rPr>
        <w:tab/>
      </w:r>
      <w:r>
        <w:rPr>
          <w:rFonts w:ascii="Arial" w:cs="Arial" w:eastAsia="Arial" w:hAnsi="Arial"/>
          <w:sz w:val="17"/>
          <w:szCs w:val="17"/>
          <w:color w:val="auto"/>
        </w:rPr>
        <w:t>/s/ 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20955</wp:posOffset>
            </wp:positionV>
            <wp:extent cx="40030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C. Benjamin Brink</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Senior Vice President, Chief Financial Officer and Treasurer</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(Principal Financial Officer)</w:t>
      </w:r>
    </w:p>
    <w:p>
      <w:pPr>
        <w:sectPr>
          <w:pgSz w:w="11900" w:h="16838" w:orient="portrait"/>
          <w:cols w:equalWidth="0" w:num="1">
            <w:col w:w="11240"/>
          </w:cols>
          <w:pgMar w:left="320" w:top="88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9"/>
          <w:szCs w:val="19"/>
          <w:b w:val="1"/>
          <w:bCs w:val="1"/>
          <w:color w:val="auto"/>
        </w:rPr>
        <w:t>EXHIBIT 32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Chief Executive Officer and Chief Financial Officer</w:t>
      </w:r>
    </w:p>
    <w:p>
      <w:pPr>
        <w:jc w:val="center"/>
        <w:spacing w:after="0" w:line="237" w:lineRule="auto"/>
        <w:rPr>
          <w:sz w:val="20"/>
          <w:szCs w:val="20"/>
          <w:color w:val="auto"/>
        </w:rPr>
      </w:pPr>
      <w:r>
        <w:rPr>
          <w:rFonts w:ascii="Arial" w:cs="Arial" w:eastAsia="Arial" w:hAnsi="Arial"/>
          <w:sz w:val="19"/>
          <w:szCs w:val="19"/>
          <w:b w:val="1"/>
          <w:bCs w:val="1"/>
          <w:color w:val="auto"/>
        </w:rPr>
        <w:t>under Section 906 of the</w:t>
      </w:r>
    </w:p>
    <w:p>
      <w:pPr>
        <w:jc w:val="center"/>
        <w:spacing w:after="0"/>
        <w:rPr>
          <w:sz w:val="20"/>
          <w:szCs w:val="20"/>
          <w:color w:val="auto"/>
        </w:rPr>
      </w:pPr>
      <w:r>
        <w:rPr>
          <w:rFonts w:ascii="Arial" w:cs="Arial" w:eastAsia="Arial" w:hAnsi="Arial"/>
          <w:sz w:val="19"/>
          <w:szCs w:val="19"/>
          <w:b w:val="1"/>
          <w:bCs w:val="1"/>
          <w:color w:val="auto"/>
        </w:rPr>
        <w:t>Sarbanes Oxley Act of 2002, 18 U.S.C. § 1350</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connection with the Quarterly Report on Form 10-Q of Carriage Services, Inc. (the “Company”), as filed with the Securities and Exchange Commission on the date hereof (the “Report”), Melvin C. Payne, Chief Executive Officer of the Company, and C. Benjamin Brink, Senior Vice President, Principal Financial Officer, Chief Financial Officer and Treasurer of the Company, each certify, pursuant to 18 U.S.C. Section 1350, as adopted pursuant to Section 906 of the Sarbanes-Oxley Act of 2002, that, to his knowledge:</w:t>
      </w:r>
    </w:p>
    <w:p>
      <w:pPr>
        <w:spacing w:after="0" w:line="188" w:lineRule="exact"/>
        <w:rPr>
          <w:sz w:val="20"/>
          <w:szCs w:val="20"/>
          <w:color w:val="auto"/>
        </w:rPr>
      </w:pPr>
    </w:p>
    <w:p>
      <w:pPr>
        <w:ind w:left="1040" w:hanging="465"/>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220" w:right="20" w:hanging="645"/>
        <w:spacing w:after="0" w:line="261" w:lineRule="auto"/>
        <w:tabs>
          <w:tab w:leader="none" w:pos="105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92" w:lineRule="exact"/>
        <w:rPr>
          <w:sz w:val="20"/>
          <w:szCs w:val="20"/>
          <w:color w:val="auto"/>
        </w:rPr>
      </w:pPr>
    </w:p>
    <w:p>
      <w:pPr>
        <w:ind w:left="40"/>
        <w:spacing w:after="0"/>
        <w:tabs>
          <w:tab w:leader="none" w:pos="880" w:val="left"/>
          <w:tab w:leader="none" w:pos="494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May 5, 2021</w:t>
      </w:r>
      <w:r>
        <w:rPr>
          <w:sz w:val="20"/>
          <w:szCs w:val="20"/>
          <w:color w:val="auto"/>
        </w:rPr>
        <w:tab/>
      </w:r>
      <w:r>
        <w:rPr>
          <w:rFonts w:ascii="Arial" w:cs="Arial" w:eastAsia="Arial" w:hAnsi="Arial"/>
          <w:sz w:val="17"/>
          <w:szCs w:val="17"/>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20955</wp:posOffset>
            </wp:positionV>
            <wp:extent cx="39947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Melvin C. Payne</w:t>
      </w:r>
    </w:p>
    <w:p>
      <w:pPr>
        <w:spacing w:after="0" w:line="2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Chief Executive Officer and Chairman of the Board</w:t>
      </w:r>
    </w:p>
    <w:p>
      <w:pPr>
        <w:spacing w:after="0" w:line="2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(Principal Executive Officer)</w:t>
      </w:r>
    </w:p>
    <w:p>
      <w:pPr>
        <w:spacing w:after="0" w:line="200" w:lineRule="exact"/>
        <w:rPr>
          <w:sz w:val="20"/>
          <w:szCs w:val="20"/>
          <w:color w:val="auto"/>
        </w:rPr>
      </w:pPr>
    </w:p>
    <w:p>
      <w:pPr>
        <w:spacing w:after="0" w:line="338"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/s/ 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20955</wp:posOffset>
            </wp:positionV>
            <wp:extent cx="39947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C. Benjamin Brink</w:t>
      </w:r>
    </w:p>
    <w:p>
      <w:pPr>
        <w:spacing w:after="0" w:line="2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Senior Vice President, Chief Financial Officer and Treasurer</w:t>
      </w:r>
    </w:p>
    <w:p>
      <w:pPr>
        <w:spacing w:after="0" w:line="2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(Principal Financial Officer)</w:t>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1"/>
    </w:lvl>
    <w:lvl w:ilvl="1">
      <w:lvlJc w:val="left"/>
      <w:lvlText w:val="-"/>
      <w:numFmt w:val="bullet"/>
      <w:start w:val="1"/>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10"/>
    </w:lvl>
  </w:abstractNum>
  <w:abstractNum w:abstractNumId="11">
    <w:nsid w:val="2443A858"/>
    <w:multiLevelType w:val="hybridMultilevel"/>
    <w:lvl w:ilvl="0">
      <w:lvlJc w:val="left"/>
      <w:lvlText w:val="%1."/>
      <w:numFmt w:val="decimal"/>
      <w:start w:val="11"/>
    </w:lvl>
  </w:abstractNum>
  <w:abstractNum w:abstractNumId="12">
    <w:nsid w:val="2D1D5AE9"/>
    <w:multiLevelType w:val="hybridMultilevel"/>
    <w:lvl w:ilvl="0">
      <w:lvlJc w:val="left"/>
      <w:lvlText w:val="%1."/>
      <w:numFmt w:val="decimal"/>
      <w:start w:val="12"/>
    </w:lvl>
  </w:abstractNum>
  <w:abstractNum w:abstractNumId="13">
    <w:nsid w:val="6763845E"/>
    <w:multiLevelType w:val="hybridMultilevel"/>
    <w:lvl w:ilvl="0">
      <w:lvlJc w:val="left"/>
      <w:lvlText w:val="%1."/>
      <w:numFmt w:val="decimal"/>
      <w:start w:val="13"/>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4"/>
    </w:lvl>
  </w:abstractNum>
  <w:abstractNum w:abstractNumId="16">
    <w:nsid w:val="79838CB2"/>
    <w:multiLevelType w:val="hybridMultilevel"/>
    <w:lvl w:ilvl="0">
      <w:lvlJc w:val="left"/>
      <w:lvlText w:val="%1."/>
      <w:numFmt w:val="decimal"/>
      <w:start w:val="15"/>
    </w:lvl>
  </w:abstractNum>
  <w:abstractNum w:abstractNumId="17">
    <w:nsid w:val="4353D0CD"/>
    <w:multiLevelType w:val="hybridMultilevel"/>
    <w:lvl w:ilvl="0">
      <w:lvlJc w:val="left"/>
      <w:lvlText w:val="%1."/>
      <w:numFmt w:val="decimal"/>
      <w:start w:val="16"/>
    </w:lvl>
  </w:abstractNum>
  <w:abstractNum w:abstractNumId="18">
    <w:nsid w:val="B03E0C6"/>
    <w:multiLevelType w:val="hybridMultilevel"/>
    <w:lvl w:ilvl="0">
      <w:lvlJc w:val="left"/>
      <w:lvlText w:val="%1."/>
      <w:numFmt w:val="decimal"/>
      <w:start w:val="18"/>
    </w:lvl>
  </w:abstractNum>
  <w:abstractNum w:abstractNumId="19">
    <w:nsid w:val="189A769B"/>
    <w:multiLevelType w:val="hybridMultilevel"/>
    <w:lvl w:ilvl="0">
      <w:lvlJc w:val="left"/>
      <w:lvlText w:val="•"/>
      <w:numFmt w:val="bullet"/>
      <w:start w:val="1"/>
    </w:lvl>
    <w:lvl w:ilvl="1">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lvl w:ilvl="1">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91" Type="http://schemas.openxmlformats.org/officeDocument/2006/relationships/hyperlink" Target="http://www.sec.gov/Archives/edgar/data/1016281/000101628121000042/a101melpaynefirstamendment.htm" TargetMode="External"/><Relationship Id="rId92" Type="http://schemas.openxmlformats.org/officeDocument/2006/relationships/hyperlink" Target="https://www.sec.gov/Archives/edgar/data/0001016281/000101628121000071/vikiblinderman-releasean.htm" TargetMode="External"/><Relationship Id="rId93" Type="http://schemas.openxmlformats.org/officeDocument/2006/relationships/hyperlink" Target="https://www.sec.gov/Archives/edgar/data/0001016281/000119312521106515/d55684ddef14a.htm#toc55684_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2021-05-05T15:47:19Z</dcterms:created>
  <dcterms:modified xsi:type="dcterms:W3CDTF">2021-05-05T15:47:19Z</dcterms:modified>
</cp:coreProperties>
</file>