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631" w:type="dxa"/>
        <w:jc w:val="left"/>
        <w:tblInd w:w="0" w:type="dxa"/>
        <w:tblLayout w:type="fixed"/>
        <w:tblCellMar>
          <w:top w:w="28" w:type="dxa"/>
          <w:left w:w="28" w:type="dxa"/>
          <w:bottom w:w="28" w:type="dxa"/>
          <w:right w:w="28" w:type="dxa"/>
        </w:tblCellMar>
      </w:tblPr>
      <w:tblGrid>
        <w:gridCol w:w="6631"/>
      </w:tblGrid>
      <w:tr>
        <w:trPr/>
        <w:tc>
          <w:tcPr>
            <w:tcW w:w="663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63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631" w:type="dxa"/>
            <w:tcBorders/>
            <w:vAlign w:val="center"/>
          </w:tcPr>
          <w:p>
            <w:pPr>
              <w:pStyle w:val="TableContents"/>
              <w:bidi w:val="0"/>
              <w:spacing w:before="0" w:after="0"/>
              <w:jc w:val="left"/>
              <w:rPr/>
            </w:pPr>
            <w:r>
              <w:rPr/>
              <w:t xml:space="preserve">UNDER THE SECURITIES EXCHANGE ACT OF 1934 </w:t>
            </w:r>
          </w:p>
        </w:tc>
      </w:tr>
      <w:tr>
        <w:trPr/>
        <w:tc>
          <w:tcPr>
            <w:tcW w:w="6631"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6631" w:type="dxa"/>
            <w:tcBorders/>
            <w:vAlign w:val="center"/>
          </w:tcPr>
          <w:p>
            <w:pPr>
              <w:pStyle w:val="TableContents"/>
              <w:bidi w:val="0"/>
              <w:spacing w:before="0" w:after="0"/>
              <w:jc w:val="center"/>
              <w:rPr>
                <w:b/>
                <w:color w:val="0000FF"/>
              </w:rPr>
            </w:pPr>
            <w:r>
              <w:rPr>
                <w:b/>
                <w:color w:val="0000FF"/>
              </w:rPr>
              <w:t>CARRIAGE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631" w:type="dxa"/>
            <w:tcBorders/>
            <w:vAlign w:val="center"/>
          </w:tcPr>
          <w:p>
            <w:pPr>
              <w:pStyle w:val="TableContents"/>
              <w:bidi w:val="0"/>
              <w:spacing w:before="0" w:after="0"/>
              <w:jc w:val="center"/>
              <w:rPr>
                <w:b/>
                <w:color w:val="0000FF"/>
              </w:rPr>
            </w:pPr>
            <w:r>
              <w:rPr>
                <w:b/>
                <w:color w:val="0000FF"/>
              </w:rPr>
              <w:t>Carriage Services Inc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63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631" w:type="dxa"/>
            <w:tcBorders/>
            <w:vAlign w:val="center"/>
          </w:tcPr>
          <w:p>
            <w:pPr>
              <w:pStyle w:val="TableContents"/>
              <w:bidi w:val="0"/>
              <w:spacing w:before="0" w:after="0"/>
              <w:jc w:val="center"/>
              <w:rPr>
                <w:b/>
                <w:color w:val="0000FF"/>
              </w:rPr>
            </w:pPr>
            <w:r>
              <w:rPr>
                <w:b/>
                <w:color w:val="0000FF"/>
              </w:rPr>
              <w:t>02/13/2026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4"/>
        <w:gridCol w:w="8181"/>
      </w:tblGrid>
      <w:tr>
        <w:trPr/>
        <w:tc>
          <w:tcPr>
            <w:tcW w:w="2024" w:type="dxa"/>
            <w:tcBorders/>
            <w:vAlign w:val="center"/>
          </w:tcPr>
          <w:p>
            <w:pPr>
              <w:pStyle w:val="TableContents"/>
              <w:bidi w:val="0"/>
              <w:spacing w:before="0" w:after="283"/>
              <w:jc w:val="left"/>
              <w:rPr/>
            </w:pPr>
            <w:r>
              <w:rPr/>
              <w:t>1</w:t>
            </w:r>
          </w:p>
        </w:tc>
        <w:tc>
          <w:tcPr>
            <w:tcW w:w="818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VINEYARD CAPITAL PARTNERS, L.L.C.</w:t>
            </w:r>
          </w:p>
        </w:tc>
      </w:tr>
      <w:tr>
        <w:trPr/>
        <w:tc>
          <w:tcPr>
            <w:tcW w:w="2024" w:type="dxa"/>
            <w:tcBorders/>
            <w:vAlign w:val="center"/>
          </w:tcPr>
          <w:p>
            <w:pPr>
              <w:pStyle w:val="TableContents"/>
              <w:bidi w:val="0"/>
              <w:spacing w:before="0" w:after="283"/>
              <w:jc w:val="left"/>
              <w:rPr/>
            </w:pPr>
            <w:r>
              <w:rPr/>
              <w:t>2</w:t>
            </w:r>
          </w:p>
        </w:tc>
        <w:tc>
          <w:tcPr>
            <w:tcW w:w="818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4" w:type="dxa"/>
            <w:tcBorders/>
            <w:vAlign w:val="center"/>
          </w:tcPr>
          <w:p>
            <w:pPr>
              <w:pStyle w:val="TableContents"/>
              <w:bidi w:val="0"/>
              <w:spacing w:before="0" w:after="283"/>
              <w:jc w:val="left"/>
              <w:rPr/>
            </w:pPr>
            <w:r>
              <w:rPr/>
              <w:t>3</w:t>
            </w:r>
          </w:p>
        </w:tc>
        <w:tc>
          <w:tcPr>
            <w:tcW w:w="8181" w:type="dxa"/>
            <w:tcBorders/>
            <w:vAlign w:val="center"/>
          </w:tcPr>
          <w:p>
            <w:pPr>
              <w:pStyle w:val="TableContents"/>
              <w:bidi w:val="0"/>
              <w:spacing w:before="0" w:after="283"/>
              <w:jc w:val="left"/>
              <w:rPr/>
            </w:pPr>
            <w:r>
              <w:rPr/>
              <w:t>Sec Use Only</w:t>
            </w:r>
          </w:p>
        </w:tc>
      </w:tr>
      <w:tr>
        <w:trPr/>
        <w:tc>
          <w:tcPr>
            <w:tcW w:w="2024" w:type="dxa"/>
            <w:tcBorders/>
            <w:vAlign w:val="center"/>
          </w:tcPr>
          <w:p>
            <w:pPr>
              <w:pStyle w:val="TableContents"/>
              <w:bidi w:val="0"/>
              <w:spacing w:before="0" w:after="283"/>
              <w:jc w:val="left"/>
              <w:rPr/>
            </w:pPr>
            <w:r>
              <w:rPr/>
              <w:t>4</w:t>
            </w:r>
          </w:p>
        </w:tc>
        <w:tc>
          <w:tcPr>
            <w:tcW w:w="818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02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41,800.00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41,800.00</w:t>
                  </w:r>
                </w:p>
              </w:tc>
            </w:tr>
          </w:tbl>
          <w:p>
            <w:pPr>
              <w:pStyle w:val="TableContents"/>
              <w:bidi w:val="0"/>
              <w:spacing w:before="0" w:after="283"/>
              <w:jc w:val="left"/>
              <w:rPr/>
            </w:pPr>
            <w:r>
              <w:rPr/>
            </w:r>
          </w:p>
        </w:tc>
        <w:tc>
          <w:tcPr>
            <w:tcW w:w="8181" w:type="dxa"/>
            <w:tcBorders/>
            <w:vAlign w:val="center"/>
          </w:tcPr>
          <w:p>
            <w:pPr>
              <w:pStyle w:val="TableContents"/>
              <w:bidi w:val="0"/>
              <w:spacing w:before="0" w:after="283"/>
              <w:jc w:val="left"/>
              <w:rPr>
                <w:sz w:val="4"/>
                <w:szCs w:val="4"/>
              </w:rPr>
            </w:pPr>
            <w:r>
              <w:rPr>
                <w:sz w:val="4"/>
                <w:szCs w:val="4"/>
              </w:rPr>
            </w:r>
          </w:p>
        </w:tc>
      </w:tr>
      <w:tr>
        <w:trPr/>
        <w:tc>
          <w:tcPr>
            <w:tcW w:w="2024" w:type="dxa"/>
            <w:tcBorders/>
            <w:vAlign w:val="center"/>
          </w:tcPr>
          <w:p>
            <w:pPr>
              <w:pStyle w:val="TableContents"/>
              <w:bidi w:val="0"/>
              <w:spacing w:before="0" w:after="283"/>
              <w:jc w:val="left"/>
              <w:rPr/>
            </w:pPr>
            <w:r>
              <w:rPr/>
              <w:t>9</w:t>
            </w:r>
          </w:p>
        </w:tc>
        <w:tc>
          <w:tcPr>
            <w:tcW w:w="818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41,800.00</w:t>
            </w:r>
          </w:p>
        </w:tc>
      </w:tr>
      <w:tr>
        <w:trPr/>
        <w:tc>
          <w:tcPr>
            <w:tcW w:w="2024" w:type="dxa"/>
            <w:tcBorders/>
            <w:vAlign w:val="center"/>
          </w:tcPr>
          <w:p>
            <w:pPr>
              <w:pStyle w:val="TableContents"/>
              <w:bidi w:val="0"/>
              <w:spacing w:before="0" w:after="283"/>
              <w:jc w:val="left"/>
              <w:rPr/>
            </w:pPr>
            <w:r>
              <w:rPr/>
              <w:t>10</w:t>
            </w:r>
          </w:p>
        </w:tc>
        <w:tc>
          <w:tcPr>
            <w:tcW w:w="818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4" w:type="dxa"/>
            <w:tcBorders/>
            <w:vAlign w:val="center"/>
          </w:tcPr>
          <w:p>
            <w:pPr>
              <w:pStyle w:val="TableContents"/>
              <w:bidi w:val="0"/>
              <w:spacing w:before="0" w:after="283"/>
              <w:jc w:val="left"/>
              <w:rPr/>
            </w:pPr>
            <w:r>
              <w:rPr/>
              <w:t>11</w:t>
            </w:r>
          </w:p>
        </w:tc>
        <w:tc>
          <w:tcPr>
            <w:tcW w:w="818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24" w:type="dxa"/>
            <w:tcBorders/>
            <w:vAlign w:val="center"/>
          </w:tcPr>
          <w:p>
            <w:pPr>
              <w:pStyle w:val="TableContents"/>
              <w:bidi w:val="0"/>
              <w:spacing w:before="0" w:after="283"/>
              <w:jc w:val="left"/>
              <w:rPr/>
            </w:pPr>
            <w:r>
              <w:rPr/>
              <w:t>12</w:t>
            </w:r>
          </w:p>
        </w:tc>
        <w:tc>
          <w:tcPr>
            <w:tcW w:w="818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49"/>
        <w:gridCol w:w="9001"/>
        <w:gridCol w:w="155"/>
      </w:tblGrid>
      <w:tr>
        <w:trPr/>
        <w:tc>
          <w:tcPr>
            <w:tcW w:w="1049" w:type="dxa"/>
            <w:tcBorders/>
            <w:vAlign w:val="center"/>
          </w:tcPr>
          <w:p>
            <w:pPr>
              <w:pStyle w:val="TableContents"/>
              <w:bidi w:val="0"/>
              <w:spacing w:before="0" w:after="283"/>
              <w:jc w:val="left"/>
              <w:rPr/>
            </w:pPr>
            <w:r>
              <w:rPr/>
              <w:t>Item 1.</w:t>
            </w:r>
          </w:p>
        </w:tc>
        <w:tc>
          <w:tcPr>
            <w:tcW w:w="90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(a)</w:t>
            </w:r>
          </w:p>
        </w:tc>
        <w:tc>
          <w:tcPr>
            <w:tcW w:w="9001" w:type="dxa"/>
            <w:tcBorders/>
            <w:vAlign w:val="center"/>
          </w:tcPr>
          <w:p>
            <w:pPr>
              <w:pStyle w:val="TableContents"/>
              <w:bidi w:val="0"/>
              <w:jc w:val="left"/>
              <w:rPr/>
            </w:pPr>
            <w:r>
              <w:rPr/>
              <w:t xml:space="preserve">Name of issuer: </w:t>
            </w:r>
          </w:p>
          <w:p>
            <w:pPr>
              <w:pStyle w:val="TableContents"/>
              <w:bidi w:val="0"/>
              <w:spacing w:before="0" w:after="0"/>
              <w:jc w:val="left"/>
              <w:rPr/>
            </w:pPr>
            <w:r>
              <w:rPr/>
              <w:t>CARRIAGE SERVICES INC</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(b)</w:t>
            </w:r>
          </w:p>
        </w:tc>
        <w:tc>
          <w:tcPr>
            <w:tcW w:w="90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3040 POST OAK BOULEVARD, SUITE 300, HOUSTON, TEXAS, 77056.</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Item 2.</w:t>
            </w:r>
          </w:p>
        </w:tc>
        <w:tc>
          <w:tcPr>
            <w:tcW w:w="90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(a)</w:t>
            </w:r>
          </w:p>
        </w:tc>
        <w:tc>
          <w:tcPr>
            <w:tcW w:w="90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Jeffrey K Boutwell Vineyard Capital Partners, LLC</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(b)</w:t>
            </w:r>
          </w:p>
        </w:tc>
        <w:tc>
          <w:tcPr>
            <w:tcW w:w="90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3320 Thomasville Road, Suite 200 Tallahassee, FL 32308</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(c)</w:t>
            </w:r>
          </w:p>
        </w:tc>
        <w:tc>
          <w:tcPr>
            <w:tcW w:w="9001"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(d)</w:t>
            </w:r>
          </w:p>
        </w:tc>
        <w:tc>
          <w:tcPr>
            <w:tcW w:w="90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Carriage Services Inc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(e)</w:t>
            </w:r>
          </w:p>
        </w:tc>
        <w:tc>
          <w:tcPr>
            <w:tcW w:w="90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Item 3.</w:t>
            </w:r>
          </w:p>
        </w:tc>
        <w:tc>
          <w:tcPr>
            <w:tcW w:w="90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(a)</w:t>
            </w:r>
          </w:p>
        </w:tc>
        <w:tc>
          <w:tcPr>
            <w:tcW w:w="900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(b)</w:t>
            </w:r>
          </w:p>
        </w:tc>
        <w:tc>
          <w:tcPr>
            <w:tcW w:w="900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(c)</w:t>
            </w:r>
          </w:p>
        </w:tc>
        <w:tc>
          <w:tcPr>
            <w:tcW w:w="900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(d)</w:t>
            </w:r>
          </w:p>
        </w:tc>
        <w:tc>
          <w:tcPr>
            <w:tcW w:w="900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(e)</w:t>
            </w:r>
          </w:p>
        </w:tc>
        <w:tc>
          <w:tcPr>
            <w:tcW w:w="900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(f)</w:t>
            </w:r>
          </w:p>
        </w:tc>
        <w:tc>
          <w:tcPr>
            <w:tcW w:w="900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(g)</w:t>
            </w:r>
          </w:p>
        </w:tc>
        <w:tc>
          <w:tcPr>
            <w:tcW w:w="900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(h)</w:t>
            </w:r>
          </w:p>
        </w:tc>
        <w:tc>
          <w:tcPr>
            <w:tcW w:w="900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(i)</w:t>
            </w:r>
          </w:p>
        </w:tc>
        <w:tc>
          <w:tcPr>
            <w:tcW w:w="900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(j)</w:t>
            </w:r>
          </w:p>
        </w:tc>
        <w:tc>
          <w:tcPr>
            <w:tcW w:w="90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(k)</w:t>
            </w:r>
          </w:p>
        </w:tc>
        <w:tc>
          <w:tcPr>
            <w:tcW w:w="90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 </w:t>
            </w:r>
          </w:p>
        </w:tc>
        <w:tc>
          <w:tcPr>
            <w:tcW w:w="9156" w:type="dxa"/>
            <w:gridSpan w:val="2"/>
            <w:tcBorders/>
            <w:vAlign w:val="center"/>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Item 4.</w:t>
            </w:r>
          </w:p>
        </w:tc>
        <w:tc>
          <w:tcPr>
            <w:tcW w:w="90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(a)</w:t>
            </w:r>
          </w:p>
        </w:tc>
        <w:tc>
          <w:tcPr>
            <w:tcW w:w="90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Vineyard Capital owns 41,800 shares of common stock. As managing member, Jeffrey K Boutwell may direct the vote and disposition of the shares of common stock held by Vineyard Capital. Jeffrey K Boutwell owns 0 shares of common stock personally.</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(b)</w:t>
            </w:r>
          </w:p>
        </w:tc>
        <w:tc>
          <w:tcPr>
            <w:tcW w:w="90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0.3%  % </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(c)</w:t>
            </w:r>
          </w:p>
        </w:tc>
        <w:tc>
          <w:tcPr>
            <w:tcW w:w="90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 </w:t>
            </w:r>
          </w:p>
        </w:tc>
        <w:tc>
          <w:tcPr>
            <w:tcW w:w="90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Jeffrey K Boutwell owns 0 shares of common stock personally.</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 </w:t>
            </w:r>
          </w:p>
        </w:tc>
        <w:tc>
          <w:tcPr>
            <w:tcW w:w="90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Vineyard Capital owns 41,800 shares of common stock. As managing member, Jeffrey K Boutwell may direct the vote and disposition of the shares of common stock held by Vineyard Capital.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 </w:t>
            </w:r>
          </w:p>
        </w:tc>
        <w:tc>
          <w:tcPr>
            <w:tcW w:w="90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Jeffrey K Boutwell owns 0 shares of common stock personally.</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 </w:t>
            </w:r>
          </w:p>
        </w:tc>
        <w:tc>
          <w:tcPr>
            <w:tcW w:w="90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Vineyard Capital owns 41,800 shares of common stock. As managing member, Jeffrey K Boutwell may direct the vote and disposition of the shares of common stock held by Vineyard Capital.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Item 5.</w:t>
            </w:r>
          </w:p>
        </w:tc>
        <w:tc>
          <w:tcPr>
            <w:tcW w:w="90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 </w:t>
            </w:r>
          </w:p>
        </w:tc>
        <w:tc>
          <w:tcPr>
            <w:tcW w:w="900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Item 6.</w:t>
            </w:r>
          </w:p>
        </w:tc>
        <w:tc>
          <w:tcPr>
            <w:tcW w:w="90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 </w:t>
            </w:r>
          </w:p>
        </w:tc>
        <w:tc>
          <w:tcPr>
            <w:tcW w:w="90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Item 7.</w:t>
            </w:r>
          </w:p>
        </w:tc>
        <w:tc>
          <w:tcPr>
            <w:tcW w:w="90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 </w:t>
            </w:r>
          </w:p>
        </w:tc>
        <w:tc>
          <w:tcPr>
            <w:tcW w:w="90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Item 8.</w:t>
            </w:r>
          </w:p>
        </w:tc>
        <w:tc>
          <w:tcPr>
            <w:tcW w:w="90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 </w:t>
            </w:r>
          </w:p>
        </w:tc>
        <w:tc>
          <w:tcPr>
            <w:tcW w:w="90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Item 9.</w:t>
            </w:r>
          </w:p>
        </w:tc>
        <w:tc>
          <w:tcPr>
            <w:tcW w:w="90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49" w:type="dxa"/>
            <w:tcBorders/>
            <w:vAlign w:val="center"/>
          </w:tcPr>
          <w:p>
            <w:pPr>
              <w:pStyle w:val="TableContents"/>
              <w:bidi w:val="0"/>
              <w:spacing w:before="0" w:after="283"/>
              <w:jc w:val="left"/>
              <w:rPr/>
            </w:pPr>
            <w:r>
              <w:rPr/>
              <w:t> </w:t>
            </w:r>
          </w:p>
        </w:tc>
        <w:tc>
          <w:tcPr>
            <w:tcW w:w="90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590" w:type="dxa"/>
        <w:jc w:val="left"/>
        <w:tblInd w:w="0" w:type="dxa"/>
        <w:tblLayout w:type="fixed"/>
        <w:tblCellMar>
          <w:top w:w="28" w:type="dxa"/>
          <w:left w:w="28" w:type="dxa"/>
          <w:bottom w:w="28" w:type="dxa"/>
          <w:right w:w="28" w:type="dxa"/>
        </w:tblCellMar>
      </w:tblPr>
      <w:tblGrid>
        <w:gridCol w:w="4795"/>
        <w:gridCol w:w="4795"/>
      </w:tblGrid>
      <w:tr>
        <w:trPr/>
        <w:tc>
          <w:tcPr>
            <w:tcW w:w="4795" w:type="dxa"/>
            <w:tcBorders/>
            <w:vAlign w:val="center"/>
          </w:tcPr>
          <w:p>
            <w:pPr>
              <w:pStyle w:val="TableContents"/>
              <w:bidi w:val="0"/>
              <w:spacing w:before="0" w:after="0"/>
              <w:jc w:val="left"/>
              <w:rPr/>
            </w:pPr>
            <w:r>
              <w:rPr/>
              <w:t> </w:t>
            </w:r>
          </w:p>
          <w:tbl>
            <w:tblPr>
              <w:tblW w:w="4636" w:type="dxa"/>
              <w:jc w:val="left"/>
              <w:tblInd w:w="0" w:type="dxa"/>
              <w:tblLayout w:type="fixed"/>
              <w:tblCellMar>
                <w:top w:w="28" w:type="dxa"/>
                <w:left w:w="28" w:type="dxa"/>
                <w:bottom w:w="28" w:type="dxa"/>
                <w:right w:w="28" w:type="dxa"/>
              </w:tblCellMar>
            </w:tblPr>
            <w:tblGrid>
              <w:gridCol w:w="4636"/>
            </w:tblGrid>
            <w:tr>
              <w:trPr/>
              <w:tc>
                <w:tcPr>
                  <w:tcW w:w="4636" w:type="dxa"/>
                  <w:tcBorders/>
                  <w:vAlign w:val="center"/>
                </w:tcPr>
                <w:p>
                  <w:pPr>
                    <w:pStyle w:val="TableContents"/>
                    <w:bidi w:val="0"/>
                    <w:spacing w:before="0" w:after="0"/>
                    <w:jc w:val="left"/>
                    <w:rPr/>
                  </w:pPr>
                  <w:r>
                    <w:rPr/>
                    <w:t>VINEYARD CAPITAL PARTNERS, L.L.C.</w:t>
                  </w:r>
                </w:p>
              </w:tc>
            </w:tr>
          </w:tbl>
          <w:p>
            <w:pPr>
              <w:pStyle w:val="TableContents"/>
              <w:bidi w:val="0"/>
              <w:spacing w:before="0" w:after="283"/>
              <w:jc w:val="left"/>
              <w:rPr/>
            </w:pPr>
            <w:r>
              <w:rPr/>
            </w:r>
          </w:p>
        </w:tc>
        <w:tc>
          <w:tcPr>
            <w:tcW w:w="47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Jeffrey K Boutwell</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Manager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853</Words>
  <Characters>4396</Characters>
  <CharactersWithSpaces>5247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