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163" w:type="dxa"/>
        <w:jc w:val="center"/>
        <w:tblInd w:w="0" w:type="dxa"/>
        <w:tblLayout w:type="fixed"/>
        <w:tblCellMar>
          <w:top w:w="28" w:type="dxa"/>
          <w:left w:w="28" w:type="dxa"/>
          <w:bottom w:w="28" w:type="dxa"/>
          <w:right w:w="28" w:type="dxa"/>
        </w:tblCellMar>
      </w:tblPr>
      <w:tblGrid>
        <w:gridCol w:w="870"/>
        <w:gridCol w:w="764"/>
        <w:gridCol w:w="765"/>
        <w:gridCol w:w="223"/>
        <w:gridCol w:w="223"/>
        <w:gridCol w:w="318"/>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8"/>
              </w:rPr>
              <w:t xml:space="preserve">FORM </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10-Q</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QUARTERLY REPORT PURSUANT TO SECTION 13 OR 15(d) OF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20"/>
        </w:rPr>
        <w:t>For the transition period from ___________  to   ____________        </w:t>
      </w:r>
    </w:p>
    <w:tbl>
      <w:tblPr>
        <w:tblW w:w="4243" w:type="dxa"/>
        <w:jc w:val="center"/>
        <w:tblInd w:w="0" w:type="dxa"/>
        <w:tblLayout w:type="fixed"/>
        <w:tblCellMar>
          <w:top w:w="28" w:type="dxa"/>
          <w:left w:w="28" w:type="dxa"/>
          <w:bottom w:w="28" w:type="dxa"/>
          <w:right w:w="28" w:type="dxa"/>
        </w:tblCellMar>
      </w:tblPr>
      <w:tblGrid>
        <w:gridCol w:w="1267"/>
        <w:gridCol w:w="1112"/>
        <w:gridCol w:w="1115"/>
        <w:gridCol w:w="219"/>
        <w:gridCol w:w="219"/>
        <w:gridCol w:w="31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Commission File Number:</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1-11961</w:t>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CARRIAGE SERVICES,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76-0423828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3040 Post Oak Boulevard, Suite 300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Houston, Texas, 77056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(713) 332-8400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38" w:type="dxa"/>
        <w:jc w:val="left"/>
        <w:tblInd w:w="0" w:type="dxa"/>
        <w:tblLayout w:type="fixed"/>
        <w:tblCellMar>
          <w:top w:w="28" w:type="dxa"/>
          <w:left w:w="28" w:type="dxa"/>
          <w:bottom w:w="28" w:type="dxa"/>
          <w:right w:w="28" w:type="dxa"/>
        </w:tblCellMar>
      </w:tblPr>
      <w:tblGrid>
        <w:gridCol w:w="1076"/>
        <w:gridCol w:w="940"/>
        <w:gridCol w:w="953"/>
        <w:gridCol w:w="414"/>
        <w:gridCol w:w="414"/>
        <w:gridCol w:w="416"/>
        <w:gridCol w:w="945"/>
        <w:gridCol w:w="945"/>
        <w:gridCol w:w="1335"/>
      </w:tblGrid>
      <w:tr>
        <w:trPr/>
        <w:tc>
          <w:tcPr>
            <w:tcW w:w="10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CSV</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w:t>
      </w:r>
      <w:r>
        <w:rPr>
          <w:rFonts w:ascii="Times New Roman;sans-serif" w:hAnsi="Times New Roman;sans-serif"/>
          <w:b w:val="false"/>
          <w:color w:val="211D1E"/>
          <w:sz w:val="20"/>
        </w:rPr>
        <w:t xml:space="preserve">§ </w:t>
      </w:r>
      <w:r>
        <w:rPr>
          <w:rFonts w:ascii="Times New Roman;sans-serif" w:hAnsi="Times New Roman;sans-serif"/>
          <w:b w:val="false"/>
          <w:color w:val="000000"/>
          <w:sz w:val="16"/>
        </w:rPr>
        <w:t>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00" w:after="283"/>
        <w:jc w:val="left"/>
        <w:rPr/>
      </w:pPr>
      <w:r>
        <w:rPr/>
      </w:r>
    </w:p>
    <w:p>
      <w:pPr>
        <w:pStyle w:val="TextBody"/>
        <w:bidi w:val="0"/>
        <w:spacing w:lineRule="auto" w:line="288" w:before="8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12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$.01 par value per share, outstanding as of August 1, 2023 was 14,965,754.</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1"/>
        <w:gridCol w:w="3084"/>
        <w:gridCol w:w="3097"/>
        <w:gridCol w:w="149"/>
        <w:gridCol w:w="149"/>
        <w:gridCol w:w="215"/>
      </w:tblGrid>
      <w:tr>
        <w:trPr/>
        <w:tc>
          <w:tcPr>
            <w:tcW w:w="3511"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0">
              <w:r>
                <w:rPr>
                  <w:rStyle w:val="InternetLink"/>
                  <w:rFonts w:ascii="Times New Roman;sans-serif" w:hAnsi="Times New Roman;sans-serif"/>
                  <w:b/>
                  <w:color w:val="0000FF"/>
                  <w:sz w:val="20"/>
                  <w:u w:val="single"/>
                </w:rPr>
                <w:t>PART I – FINANCIAL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pPr>
            <w:hyperlink w:anchor="i0d095b256bc14e6e865986578bbc71e3_13">
              <w:r>
                <w:rPr>
                  <w:rStyle w:val="InternetLink"/>
                  <w:rFonts w:ascii="Times New Roman;sans-serif" w:hAnsi="Times New Roman;sans-serif"/>
                  <w:b/>
                  <w:color w:val="0000FF"/>
                  <w:sz w:val="20"/>
                  <w:u w:val="single"/>
                </w:rPr>
                <w:t>Item 1.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3">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6">
              <w:r>
                <w:rPr>
                  <w:rStyle w:val="InternetLink"/>
                  <w:rFonts w:ascii="Times New Roman;sans-serif" w:hAnsi="Times New Roman;sans-serif"/>
                  <w:b w:val="false"/>
                  <w:color w:val="0000FF"/>
                  <w:sz w:val="20"/>
                  <w:u w:val="single"/>
                </w:rPr>
                <w:t>Unaudited Consolidated Balance Sheet as of December 31, 2022 and June 30,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6">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9">
              <w:r>
                <w:rPr>
                  <w:rStyle w:val="InternetLink"/>
                  <w:rFonts w:ascii="Times New Roman;sans-serif" w:hAnsi="Times New Roman;sans-serif"/>
                  <w:b w:val="false"/>
                  <w:color w:val="0000FF"/>
                  <w:sz w:val="20"/>
                  <w:u w:val="single"/>
                </w:rPr>
                <w:t>Unaudited Consolidated Statements of Operations for the Three and Six Months ended June 30, 2022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9">
              <w:r>
                <w:rPr>
                  <w:rStyle w:val="InternetLink"/>
                  <w:rFonts w:ascii="Times New Roman;sans-serif" w:hAnsi="Times New Roman;sans-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22">
              <w:r>
                <w:rPr>
                  <w:rStyle w:val="InternetLink"/>
                  <w:rFonts w:ascii="Times New Roman;sans-serif" w:hAnsi="Times New Roman;sans-serif"/>
                  <w:b w:val="false"/>
                  <w:color w:val="0000FF"/>
                  <w:sz w:val="20"/>
                  <w:u w:val="single"/>
                </w:rPr>
                <w:t>Unaudited Consolidated Statements of Cash Flows for the Six Months ended June 30, 2022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22">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25">
              <w:r>
                <w:rPr>
                  <w:rStyle w:val="InternetLink"/>
                  <w:rFonts w:ascii="Times New Roman;sans-serif" w:hAnsi="Times New Roman;sans-serif"/>
                  <w:b w:val="false"/>
                  <w:color w:val="0000FF"/>
                  <w:sz w:val="20"/>
                  <w:u w:val="single"/>
                </w:rPr>
                <w:t>Unaudited Consolidated Statements of Changes in Stockholders' Equity for the Three and Six Months ended June 30, 2022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25">
              <w:r>
                <w:rPr>
                  <w:rStyle w:val="InternetLink"/>
                  <w:rFonts w:ascii="Times New Roman;sans-serif" w:hAnsi="Times New Roman;sans-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28">
              <w:r>
                <w:rPr>
                  <w:rStyle w:val="InternetLink"/>
                  <w:rFonts w:ascii="Times New Roman;sans-serif" w:hAnsi="Times New Roman;sans-serif"/>
                  <w:b w:val="false"/>
                  <w:color w:val="0000FF"/>
                  <w:sz w:val="20"/>
                  <w:u w:val="single"/>
                </w:rPr>
                <w:t>Condensed 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28">
              <w:r>
                <w:rPr>
                  <w:rStyle w:val="InternetLink"/>
                  <w:rFonts w:ascii="Times New Roman;sans-serif" w:hAnsi="Times New Roman;sans-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85">
              <w:r>
                <w:rPr>
                  <w:rStyle w:val="InternetLink"/>
                  <w:rFonts w:ascii="Times New Roman;sans-serif" w:hAnsi="Times New Roman;sans-serif"/>
                  <w:b w:val="false"/>
                  <w:color w:val="0000FF"/>
                  <w:sz w:val="20"/>
                  <w:u w:val="single"/>
                </w:rPr>
                <w:t>Cautionary Statement on Forward–Looking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85">
              <w:r>
                <w:rPr>
                  <w:rStyle w:val="InternetLink"/>
                  <w:rFonts w:ascii="Times New Roman;sans-serif" w:hAnsi="Times New Roman;sans-serif"/>
                  <w:b w:val="false"/>
                  <w:color w:val="0000FF"/>
                  <w:sz w:val="20"/>
                  <w:u w:val="single"/>
                </w:rPr>
                <w:t>33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88">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88">
              <w:r>
                <w:rPr>
                  <w:rStyle w:val="InternetLink"/>
                  <w:rFonts w:ascii="Times New Roman;sans-serif" w:hAnsi="Times New Roman;sans-serif"/>
                  <w:b w:val="false"/>
                  <w:color w:val="0000FF"/>
                  <w:sz w:val="20"/>
                  <w:u w:val="single"/>
                </w:rPr>
                <w:t>35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12">
              <w:r>
                <w:rPr>
                  <w:rStyle w:val="InternetLink"/>
                  <w:rFonts w:ascii="Times New Roman;sans-serif" w:hAnsi="Times New Roman;sans-serif"/>
                  <w:b/>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12">
              <w:r>
                <w:rPr>
                  <w:rStyle w:val="InternetLink"/>
                  <w:rFonts w:ascii="Times New Roman;sans-serif" w:hAnsi="Times New Roman;sans-serif"/>
                  <w:b w:val="false"/>
                  <w:color w:val="0000FF"/>
                  <w:sz w:val="20"/>
                  <w:u w:val="single"/>
                </w:rPr>
                <w:t>49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15">
              <w:r>
                <w:rPr>
                  <w:rStyle w:val="InternetLink"/>
                  <w:rFonts w:ascii="Times New Roman;sans-serif" w:hAnsi="Times New Roman;sans-serif"/>
                  <w:b/>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15">
              <w:r>
                <w:rPr>
                  <w:rStyle w:val="InternetLink"/>
                  <w:rFonts w:ascii="Times New Roman;sans-serif" w:hAnsi="Times New Roman;sans-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18">
              <w:r>
                <w:rPr>
                  <w:rStyle w:val="InternetLink"/>
                  <w:rFonts w:ascii="Times New Roman;sans-serif" w:hAnsi="Times New Roman;sans-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21">
              <w:r>
                <w:rPr>
                  <w:rStyle w:val="InternetLink"/>
                  <w:rFonts w:ascii="Times New Roman;sans-serif" w:hAnsi="Times New Roman;sans-serif"/>
                  <w:b/>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21">
              <w:r>
                <w:rPr>
                  <w:rStyle w:val="InternetLink"/>
                  <w:rFonts w:ascii="Times New Roman;sans-serif" w:hAnsi="Times New Roman;sans-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24">
              <w:r>
                <w:rPr>
                  <w:rStyle w:val="InternetLink"/>
                  <w:rFonts w:ascii="Times New Roman;sans-serif" w:hAnsi="Times New Roman;sans-serif"/>
                  <w:b/>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24">
              <w:r>
                <w:rPr>
                  <w:rStyle w:val="InternetLink"/>
                  <w:rFonts w:ascii="Times New Roman;sans-serif" w:hAnsi="Times New Roman;sans-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2. Unregistered Sales of Equity Securities and Use of Proceeds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27">
              <w:r>
                <w:rPr>
                  <w:rStyle w:val="InternetLink"/>
                  <w:rFonts w:ascii="Times New Roman;sans-serif" w:hAnsi="Times New Roman;sans-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3. Defaults Upon Senior Securities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30">
              <w:r>
                <w:rPr>
                  <w:rStyle w:val="InternetLink"/>
                  <w:rFonts w:ascii="Times New Roman;sans-serif" w:hAnsi="Times New Roman;sans-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4. Mine Safety Disclosures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33">
              <w:r>
                <w:rPr>
                  <w:rStyle w:val="InternetLink"/>
                  <w:rFonts w:ascii="Times New Roman;sans-serif" w:hAnsi="Times New Roman;sans-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5. Other Information</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36">
              <w:r>
                <w:rPr>
                  <w:rStyle w:val="InternetLink"/>
                  <w:rFonts w:ascii="Times New Roman;sans-serif" w:hAnsi="Times New Roman;sans-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39">
              <w:r>
                <w:rPr>
                  <w:rStyle w:val="InternetLink"/>
                  <w:rFonts w:ascii="Times New Roman;sans-serif" w:hAnsi="Times New Roman;sans-serif"/>
                  <w:b/>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36">
              <w:r>
                <w:rPr>
                  <w:rStyle w:val="InternetLink"/>
                  <w:rFonts w:ascii="Times New Roman;sans-serif" w:hAnsi="Times New Roman;sans-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42">
              <w:r>
                <w:rPr>
                  <w:rStyle w:val="InternetLink"/>
                  <w:rFonts w:ascii="Times New Roman;sans-serif" w:hAnsi="Times New Roman;sans-serif"/>
                  <w:b/>
                  <w:color w:val="0000FF"/>
                  <w:sz w:val="20"/>
                  <w:u w:val="single"/>
                </w:rPr>
                <w:t>SIGNATURE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42">
              <w:r>
                <w:rPr>
                  <w:rStyle w:val="InternetLink"/>
                  <w:rFonts w:ascii="Times New Roman;sans-serif" w:hAnsi="Times New Roman;sans-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095b256bc14e6e865986578bbc71e3_142">
              <w:r>
                <w:rPr>
                  <w:rStyle w:val="InternetLink"/>
                  <w:rFonts w:ascii="Times New Roman;sans-serif" w:hAnsi="Times New Roman;sans-serif"/>
                  <w:b/>
                  <w:color w:val="0000FF"/>
                  <w:sz w:val="20"/>
                  <w:u w:val="single"/>
                </w:rPr>
                <w:t>INDEX OF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95b256bc14e6e865986578bbc71e3_145">
              <w:r>
                <w:rPr>
                  <w:rStyle w:val="InternetLink"/>
                  <w:rFonts w:ascii="Times New Roman;sans-serif" w:hAnsi="Times New Roman;sans-serif"/>
                  <w:b w:val="false"/>
                  <w:color w:val="0000FF"/>
                  <w:sz w:val="20"/>
                  <w:u w:val="singl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 and in thousands, except share data)</w:t>
      </w:r>
    </w:p>
    <w:tbl>
      <w:tblPr>
        <w:tblW w:w="10205" w:type="dxa"/>
        <w:jc w:val="center"/>
        <w:tblInd w:w="0" w:type="dxa"/>
        <w:tblLayout w:type="fixed"/>
        <w:tblCellMar>
          <w:top w:w="28" w:type="dxa"/>
          <w:left w:w="28" w:type="dxa"/>
          <w:bottom w:w="28" w:type="dxa"/>
          <w:right w:w="28" w:type="dxa"/>
        </w:tblCellMar>
      </w:tblPr>
      <w:tblGrid>
        <w:gridCol w:w="2840"/>
        <w:gridCol w:w="2045"/>
        <w:gridCol w:w="2013"/>
        <w:gridCol w:w="226"/>
        <w:gridCol w:w="1047"/>
        <w:gridCol w:w="116"/>
        <w:gridCol w:w="109"/>
        <w:gridCol w:w="109"/>
        <w:gridCol w:w="109"/>
        <w:gridCol w:w="211"/>
        <w:gridCol w:w="976"/>
        <w:gridCol w:w="404"/>
      </w:tblGrid>
      <w:tr>
        <w:trPr/>
        <w:tc>
          <w:tcPr>
            <w:tcW w:w="284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6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103,317 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287,582 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net </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112,830 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net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1,242,086 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29,564 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42,534 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net of current portion</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202,418 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395,571 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finance leases, net of current portion</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 net of current portion</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revenue</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59,941 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revenue</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receipts held in trust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receipts held in trust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103,317 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77,589 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1,085,919 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80,000,000 shares authorized and 26,359,876 and 26,585,341 shares issued, respectively and 14,732,058 and 14,957,523 shares outstanding, respectively</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11,627,818 shares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156,167 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1,242,086 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 except per share data)</w:t>
      </w:r>
    </w:p>
    <w:tbl>
      <w:tblPr>
        <w:tblW w:w="10205" w:type="dxa"/>
        <w:jc w:val="left"/>
        <w:tblInd w:w="0" w:type="dxa"/>
        <w:tblLayout w:type="fixed"/>
        <w:tblCellMar>
          <w:top w:w="28" w:type="dxa"/>
          <w:left w:w="28" w:type="dxa"/>
          <w:bottom w:w="28" w:type="dxa"/>
          <w:right w:w="28" w:type="dxa"/>
        </w:tblCellMar>
      </w:tblPr>
      <w:tblGrid>
        <w:gridCol w:w="1846"/>
        <w:gridCol w:w="1596"/>
        <w:gridCol w:w="157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4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merchandise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 disposals and impairments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property damage, net of insurance claims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adjustment related to discrete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and common equivalent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043" w:type="dxa"/>
        <w:jc w:val="center"/>
        <w:tblInd w:w="0" w:type="dxa"/>
        <w:tblLayout w:type="fixed"/>
        <w:tblCellMar>
          <w:top w:w="28" w:type="dxa"/>
          <w:left w:w="28" w:type="dxa"/>
          <w:bottom w:w="28" w:type="dxa"/>
          <w:right w:w="28" w:type="dxa"/>
        </w:tblCellMar>
      </w:tblPr>
      <w:tblGrid>
        <w:gridCol w:w="2746"/>
        <w:gridCol w:w="2418"/>
        <w:gridCol w:w="2425"/>
        <w:gridCol w:w="211"/>
        <w:gridCol w:w="721"/>
        <w:gridCol w:w="109"/>
        <w:gridCol w:w="109"/>
        <w:gridCol w:w="109"/>
        <w:gridCol w:w="109"/>
        <w:gridCol w:w="211"/>
        <w:gridCol w:w="721"/>
        <w:gridCol w:w="154"/>
      </w:tblGrid>
      <w:tr>
        <w:trPr/>
        <w:tc>
          <w:tcPr>
            <w:tcW w:w="2746"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expense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and accretion of debt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 disposals and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property damage, net of insurance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that provided (used)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preneed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prepaid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and cemetery trust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payment from vendor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receipts held in trust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and real property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the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against the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for the credit facility and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acquisition debt and obligations under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 and employee stock purchase plan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on restricted stock vestings and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966"/>
        <w:gridCol w:w="560"/>
        <w:gridCol w:w="562"/>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7"/>
      </w:tblGrid>
      <w:tr>
        <w:trPr/>
        <w:tc>
          <w:tcPr>
            <w:tcW w:w="9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acquired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2022</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6"/>
        <w:gridCol w:w="560"/>
        <w:gridCol w:w="562"/>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7"/>
      </w:tblGrid>
      <w:tr>
        <w:trPr/>
        <w:tc>
          <w:tcPr>
            <w:tcW w:w="9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common and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2022</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2021</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acquired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2022</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former executive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common and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1.BASIS OF PRESENTATION AND SUMMARY OF SIGNIFICANT ACCOUNTING POLICIES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is a leading provider of funeral and cemetery services and merchandise in the United States. Our operations are reported in two business segments: Funeral Home operations, which currently accounts for approximately 70% of our total revenue and Cemetery operations, which currently accounts for approximately 30% of our total revenue. At June 30, 2023, we operated 172 funeral homes in 26 states and 32 cemeteries in 11 states.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 and Interim Condensed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accounting policies previously disclosed in Part II, Item 8 “Financial Statements and Supplementary Data” in Note 1 in our Annual Report on Form 10-K for the year ended December 31, 2022. In addition, our unaudited consolidated financial statements have been prepared in a manner consistent with the accounting principles described in our Annual Report on Form 10-K for the year ended December 31, 2022 unless otherwise disclosed herein, and should be read in conjunction therewith.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and Cash Equivalents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Held for Sale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At June 30, 2023, we had $0.3 million of assets classified as held for sale in </w:t>
      </w:r>
      <w:r>
        <w:rPr>
          <w:rFonts w:ascii="Times New Roman;sans-serif" w:hAnsi="Times New Roman;sans-serif"/>
          <w:b w:val="false"/>
          <w:i/>
          <w:color w:val="000000"/>
          <w:sz w:val="20"/>
        </w:rPr>
        <w:t>Property, plant and equipment, net</w:t>
      </w:r>
      <w:r>
        <w:rPr>
          <w:color w:val="000000"/>
        </w:rPr>
        <w:t xml:space="preserve"> </w:t>
      </w:r>
      <w:r>
        <w:rPr>
          <w:rFonts w:ascii="Times New Roman;sans-serif" w:hAnsi="Times New Roman;sans-serif"/>
          <w:b w:val="false"/>
          <w:color w:val="000000"/>
          <w:sz w:val="20"/>
        </w:rPr>
        <w:t xml:space="preserve">on our Consolidated Balance Sheet related to one funeral home that we divested on July 12, 2023. The carrying value of these assets held for sale exceeded their fair value and in accordance with U.S. Generally Accepted Accounting Principles (“GAAP”), we recognized an impairment of $0.2 million for assets related to property, plant and equipment, which was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on our Consolidated Statements of Operations.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2023, we withdrew $8.6 million of realized capital gains and earnings from our preneed funeral and cemetery trust investments. In certain states, we are allowed to make these withdrawals prior to the delivery of preneed merchandise and service contracts. The realized capital gains and earnings withdrawn increase our cash flow from operations, but are not recognized as revenue in our Consolidated Statements of Operations, however, they reduce our </w:t>
      </w:r>
      <w:r>
        <w:rPr>
          <w:rFonts w:ascii="Times New Roman;sans-serif" w:hAnsi="Times New Roman;sans-serif"/>
          <w:b w:val="false"/>
          <w:i/>
          <w:color w:val="000000"/>
          <w:sz w:val="20"/>
        </w:rPr>
        <w:t xml:space="preserve">Preneed funeral trust investments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 xml:space="preserve">Preneed cemetery trust investments </w:t>
      </w:r>
      <w:r>
        <w:rPr>
          <w:rFonts w:ascii="Times New Roman;sans-serif" w:hAnsi="Times New Roman;sans-serif"/>
          <w:b w:val="false"/>
          <w:color w:val="000000"/>
          <w:sz w:val="20"/>
        </w:rPr>
        <w:t xml:space="preserve">and increase our </w:t>
      </w:r>
      <w:r>
        <w:rPr>
          <w:rFonts w:ascii="Times New Roman;sans-serif" w:hAnsi="Times New Roman;sans-serif"/>
          <w:b w:val="false"/>
          <w:i/>
          <w:color w:val="000000"/>
          <w:sz w:val="20"/>
        </w:rPr>
        <w:t xml:space="preserve">Deferred preneed funeral revenue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Deferred preneed cemetery revenue.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Additionally, during the three and six months ended June 30, 2023, we received a $6.0 million incentive payment from a vendor for entering into a strategic partnership agreement to market and sell prearranged funeral services in the future, which increased our cash flow from operations and </w:t>
      </w:r>
      <w:r>
        <w:rPr>
          <w:rFonts w:ascii="Times New Roman;sans-serif" w:hAnsi="Times New Roman;sans-serif"/>
          <w:b w:val="false"/>
          <w:i/>
          <w:color w:val="000000"/>
          <w:sz w:val="20"/>
        </w:rPr>
        <w:t xml:space="preserve">Deferred preneed funeral revenue. </w:t>
      </w:r>
      <w:r>
        <w:rPr>
          <w:rFonts w:ascii="Times New Roman;sans-serif" w:hAnsi="Times New Roman;sans-serif"/>
          <w:b w:val="false"/>
          <w:color w:val="000000"/>
          <w:sz w:val="20"/>
        </w:rPr>
        <w:t xml:space="preserve">The incentive payment will be deferred until we complete our implementation of the program and begin selling prearranged funeral services.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is comprised of the following (in thousands): </w:t>
      </w:r>
    </w:p>
    <w:tbl>
      <w:tblPr>
        <w:tblW w:w="6296" w:type="dxa"/>
        <w:jc w:val="left"/>
        <w:tblInd w:w="0" w:type="dxa"/>
        <w:tblLayout w:type="fixed"/>
        <w:tblCellMar>
          <w:top w:w="28" w:type="dxa"/>
          <w:left w:w="28" w:type="dxa"/>
          <w:bottom w:w="28" w:type="dxa"/>
          <w:right w:w="28" w:type="dxa"/>
        </w:tblCellMar>
      </w:tblPr>
      <w:tblGrid>
        <w:gridCol w:w="1168"/>
        <w:gridCol w:w="1023"/>
        <w:gridCol w:w="1034"/>
        <w:gridCol w:w="284"/>
        <w:gridCol w:w="1114"/>
        <w:gridCol w:w="147"/>
        <w:gridCol w:w="109"/>
        <w:gridCol w:w="109"/>
        <w:gridCol w:w="109"/>
        <w:gridCol w:w="212"/>
        <w:gridCol w:w="832"/>
        <w:gridCol w:w="155"/>
      </w:tblGrid>
      <w:tr>
        <w:trPr/>
        <w:tc>
          <w:tcPr>
            <w:tcW w:w="11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251,778 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261,514 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automobiles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3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406,705 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422,256 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278,106 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287,582 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2023, we acquired $12.8 million of property, plant and equipment related to our 2023 business combination, described in Note 3 to the Consolidated Financial Statements. Additionally, we sold real property for $1.2 million, with a carrying value of $0.6 million, resulting in a gain on the sale of $0.6 million, which was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on our Consolidated Statements of Operations.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2022, we acquired real property for $2.6 million. Additionally, we sold real property for $2.7 million, with a carrying value of $1.4 million, resulting in a gain on the sale of $1.3 million.We also divested two funeral homes that had a carrying value of property, plant and equipment of $0.7 million, which was included in the loss on the sale of divestitures and recorded in </w:t>
      </w:r>
      <w:r>
        <w:rPr>
          <w:rFonts w:ascii="Times New Roman;sans-serif" w:hAnsi="Times New Roman;sans-serif"/>
          <w:b w:val="false"/>
          <w:i/>
          <w:color w:val="000000"/>
          <w:sz w:val="20"/>
        </w:rPr>
        <w:t xml:space="preserve">Net (gain) loss on divestitures, disposals and impairment charges.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and maintenance capital expenditures totaled $5.2 million and $2.6 million for the three months ended June 30, 2022 and 2023, respectively and $9.8 million and $5.5 million for the six months ended June 30, 2022 and 2023, respectively, for property, plant and equipment. In addition, we recorded depreciation expense of $3.4 million and $3.7 million for the three months ended June 30, 2022 and 2023, respectively and $6.7 million and $7.2 million for the six months ended June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Property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was $104.2 million and $112.8 million, net of accumulated amortization of $59.0 million and $61.7 million at December 31, 2022 and June 30, 2023,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for cemetery property development totaled $1.4 million for both the three months ended June 30, 2022 and 2023 and $3.7 million and $3.5 million for the six months ended June 30, 2022 and 2023, respectively. We recorded amortization expense for cemetery interment rights of $1.7 million and $1.9 million for the three months ended June 30, 2022 and 2023, respectively and $3.0 million and $3.1 million for the six months ended June 30, 2022 and 2023,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we acquired cemetery property for $9.0 million related to our 2023 business combination, described in Note 3 to the Consolidated Financial Statements. We also divested two cemeteries that had a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rPr>
        <w:t xml:space="preserve">value of cemetery property of $0.8 million, which was included in the loss on the sale of divestitures and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$4.2 million and $3.4 million for the three months ended June 30, 2022 and 2023, respectively and $9.3 million and $6.9 million for the six months ended June 30, 2022 and 2023, respectively. Our operating tax rate before discrete items was 28.0% for both the three months ended June 30, 2022 and 2023 and 27.2% and 28.5% for the six months ended June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events and transactions during the period subsequent to June 30, 2023 through the date the financial statements were issued for potential recognition or disclosure in the accompanying financial statements covered by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2.RECENTLY ISSUED ACCOUNTING STANDARDS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Losses - Vintage Disclosures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March 2022, the FASB issued ASU, </w:t>
      </w:r>
      <w:r>
        <w:rPr>
          <w:rFonts w:ascii="Times New Roman;sans-serif" w:hAnsi="Times New Roman;sans-serif"/>
          <w:b w:val="false"/>
          <w:i/>
          <w:color w:val="000000"/>
          <w:sz w:val="20"/>
        </w:rPr>
        <w:t>Financial Instruments - Credit Losses</w:t>
      </w:r>
      <w:r>
        <w:rPr>
          <w:color w:val="000000"/>
        </w:rPr>
        <w:t xml:space="preserve"> </w:t>
      </w:r>
      <w:r>
        <w:rPr>
          <w:rFonts w:ascii="Times New Roman;sans-serif" w:hAnsi="Times New Roman;sans-serif"/>
          <w:b w:val="false"/>
          <w:color w:val="000000"/>
          <w:sz w:val="20"/>
        </w:rPr>
        <w:t>(“Topic 326”) to make the requirement to disclose gross write-offs by class of financing receivable and major security type consistent for all public business entities. The amendment in this update provides specific guidance on the disclosure for current period write-offs by year of origination for financing receivables. This amendment is effective for fiscal years beginning after December 15, 2022, and therefore was effective for us beginning January 1, 2023. Our adoption of these amendments had no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measurement period, we may adjust goodwill, intangible assets, assets or liabilities associated with the acquisition.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2023, we acquired a business consisting of three funeral homes, two cemeteries and one cremation focused business in the Bakersfield, California area for $44.0 million in cash. We acquired substantially all of the assets and assumed certain operating liabilities of this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 forma impact of this acquisition on prior periods is not presented, as the impact is not significant to our reported results. The results of the acquired business are reflected in our Consolidated Statements of Operations from the date of acquisition.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period to determine the fair values of acquired identifiable assets and assumed liabilities will end at the earlier of 12 months from the date of the acquisition or as soon as we receive the information we are seeking about facts and circumstances that existed as of the acquisition date. Subsequent to our initial purchase price allocation for this acquisition made during the first quarter of 2023, we have adjusted our purchase price allocation based on additional information which became available prior to June 30, 2023. Provisional estimates for cemetery property have been recorded for the acquisition as our valuation has not been finalized at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breakdown of the purchase price allocation for our 2023 acquisition (in thousands):</w:t>
      </w:r>
    </w:p>
    <w:tbl>
      <w:tblPr>
        <w:tblW w:w="10205" w:type="dxa"/>
        <w:jc w:val="center"/>
        <w:tblInd w:w="0" w:type="dxa"/>
        <w:tblLayout w:type="fixed"/>
        <w:tblCellMar>
          <w:top w:w="28" w:type="dxa"/>
          <w:left w:w="28" w:type="dxa"/>
          <w:bottom w:w="28" w:type="dxa"/>
          <w:right w:w="28" w:type="dxa"/>
        </w:tblCellMar>
      </w:tblPr>
      <w:tblGrid>
        <w:gridCol w:w="1154"/>
        <w:gridCol w:w="1008"/>
        <w:gridCol w:w="1007"/>
        <w:gridCol w:w="505"/>
        <w:gridCol w:w="1725"/>
        <w:gridCol w:w="260"/>
        <w:gridCol w:w="109"/>
        <w:gridCol w:w="109"/>
        <w:gridCol w:w="109"/>
        <w:gridCol w:w="298"/>
        <w:gridCol w:w="658"/>
        <w:gridCol w:w="155"/>
        <w:gridCol w:w="109"/>
        <w:gridCol w:w="109"/>
        <w:gridCol w:w="109"/>
        <w:gridCol w:w="539"/>
        <w:gridCol w:w="1844"/>
        <w:gridCol w:w="398"/>
      </w:tblGrid>
      <w:tr>
        <w:trPr/>
        <w:tc>
          <w:tcPr>
            <w:tcW w:w="115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 Purchase Price Allocation</w:t>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assets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&amp; equipment</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liabilities</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1" w:type="dxa"/>
            <w:gridSpan w:val="3"/>
            <w:tcBorders/>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liabilities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assets relate to accounts receivable and inventory. The intangible and other non-current assets relate to the fair value of tradenames and right-of-use operating lease assets. The assumed liabilities relate to operating lease obligations and commissions payable.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of the assets acquired and liabilities assumed for this business (in thousands): </w:t>
      </w:r>
    </w:p>
    <w:tbl>
      <w:tblPr>
        <w:tblW w:w="10205" w:type="dxa"/>
        <w:jc w:val="center"/>
        <w:tblInd w:w="0" w:type="dxa"/>
        <w:tblLayout w:type="fixed"/>
        <w:tblCellMar>
          <w:top w:w="28" w:type="dxa"/>
          <w:left w:w="28" w:type="dxa"/>
          <w:bottom w:w="28" w:type="dxa"/>
          <w:right w:w="28" w:type="dxa"/>
        </w:tblCellMar>
      </w:tblPr>
      <w:tblGrid>
        <w:gridCol w:w="396"/>
        <w:gridCol w:w="349"/>
        <w:gridCol w:w="351"/>
        <w:gridCol w:w="109"/>
        <w:gridCol w:w="109"/>
        <w:gridCol w:w="109"/>
        <w:gridCol w:w="991"/>
        <w:gridCol w:w="991"/>
        <w:gridCol w:w="993"/>
        <w:gridCol w:w="109"/>
        <w:gridCol w:w="109"/>
        <w:gridCol w:w="109"/>
        <w:gridCol w:w="392"/>
        <w:gridCol w:w="392"/>
        <w:gridCol w:w="397"/>
        <w:gridCol w:w="109"/>
        <w:gridCol w:w="109"/>
        <w:gridCol w:w="109"/>
        <w:gridCol w:w="274"/>
        <w:gridCol w:w="904"/>
        <w:gridCol w:w="152"/>
        <w:gridCol w:w="109"/>
        <w:gridCol w:w="109"/>
        <w:gridCol w:w="109"/>
        <w:gridCol w:w="196"/>
        <w:gridCol w:w="646"/>
        <w:gridCol w:w="109"/>
        <w:gridCol w:w="109"/>
        <w:gridCol w:w="109"/>
        <w:gridCol w:w="109"/>
        <w:gridCol w:w="196"/>
        <w:gridCol w:w="680"/>
        <w:gridCol w:w="161"/>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Type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 Acquired (Excluding</w:t>
              <w:b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Goodwill</w:t>
              <w:br/>
              <w:t>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w:t>
              <w:br/>
              <w:t>and Debt</w:t>
              <w:br/>
              <w:t>Assumed</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Funeral Homes, Two Cemeteries and One Cremation Focused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acquire any businesses during the six months ended June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changes in goodwill in the accompanying Consolidated Balance Sheet (in thousands): </w:t>
      </w:r>
    </w:p>
    <w:tbl>
      <w:tblPr>
        <w:tblW w:w="7256" w:type="dxa"/>
        <w:jc w:val="left"/>
        <w:tblInd w:w="0" w:type="dxa"/>
        <w:tblLayout w:type="fixed"/>
        <w:tblCellMar>
          <w:top w:w="28" w:type="dxa"/>
          <w:left w:w="28" w:type="dxa"/>
          <w:bottom w:w="28" w:type="dxa"/>
          <w:right w:w="28" w:type="dxa"/>
        </w:tblCellMar>
      </w:tblPr>
      <w:tblGrid>
        <w:gridCol w:w="1516"/>
        <w:gridCol w:w="1333"/>
        <w:gridCol w:w="1336"/>
        <w:gridCol w:w="284"/>
        <w:gridCol w:w="1114"/>
        <w:gridCol w:w="147"/>
        <w:gridCol w:w="109"/>
        <w:gridCol w:w="109"/>
        <w:gridCol w:w="109"/>
        <w:gridCol w:w="212"/>
        <w:gridCol w:w="832"/>
        <w:gridCol w:w="155"/>
      </w:tblGrid>
      <w:tr>
        <w:trPr/>
        <w:tc>
          <w:tcPr>
            <w:tcW w:w="151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beginning of the period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goodwill related to acquisitions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divestitures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assets held for sale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end of the period</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recognized $13.5 million in goodwill related to our 2023 business combination; $4.5 million was allocated to our cemetery segment and $9.0 million was allocated to our funeral home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5.DIVESTED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2023, we merged one funeral home with another business we own in an existing market. During the six months ended June 30, 2023, we sold one funeral home and two cemeteries for an aggregate of $0.8 million and merged one funeral home with another business we own in an existing market.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2022, we merged one funeral home with another business we own in an existing market. During the six months ended June 30, 2022, we sold two funeral homes for an aggregate of $0.9 million and merged one funeral home with another business we own in an existing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these divested funeral homes and cemeteries are reflected on our Consolidated Statements of Operations as shown in the table below (in thousands):</w:t>
      </w:r>
    </w:p>
    <w:tbl>
      <w:tblPr>
        <w:tblW w:w="8490" w:type="dxa"/>
        <w:jc w:val="left"/>
        <w:tblInd w:w="0" w:type="dxa"/>
        <w:tblLayout w:type="fixed"/>
        <w:tblCellMar>
          <w:top w:w="28" w:type="dxa"/>
          <w:left w:w="28" w:type="dxa"/>
          <w:bottom w:w="28" w:type="dxa"/>
          <w:right w:w="28" w:type="dxa"/>
        </w:tblCellMar>
      </w:tblPr>
      <w:tblGrid>
        <w:gridCol w:w="1289"/>
        <w:gridCol w:w="1134"/>
        <w:gridCol w:w="1146"/>
        <w:gridCol w:w="290"/>
        <w:gridCol w:w="496"/>
        <w:gridCol w:w="149"/>
        <w:gridCol w:w="149"/>
        <w:gridCol w:w="149"/>
        <w:gridCol w:w="149"/>
        <w:gridCol w:w="290"/>
        <w:gridCol w:w="558"/>
        <w:gridCol w:w="149"/>
        <w:gridCol w:w="109"/>
        <w:gridCol w:w="109"/>
        <w:gridCol w:w="109"/>
        <w:gridCol w:w="235"/>
        <w:gridCol w:w="604"/>
        <w:gridCol w:w="121"/>
        <w:gridCol w:w="121"/>
        <w:gridCol w:w="121"/>
        <w:gridCol w:w="121"/>
        <w:gridCol w:w="235"/>
        <w:gridCol w:w="486"/>
        <w:gridCol w:w="171"/>
      </w:tblGrid>
      <w:tr>
        <w:trPr/>
        <w:tc>
          <w:tcPr>
            <w:tcW w:w="1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divestitures</w:t>
            </w:r>
            <w:r>
              <w:rPr>
                <w:rFonts w:ascii="Times New Roman;sans-serif" w:hAnsi="Times New Roman;sans-serif"/>
                <w:b w:val="false"/>
                <w:color w:val="000000"/>
                <w:sz w:val="13"/>
              </w:rPr>
              <w:t>(1)</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divested operations, after tax</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Loss on divestitures is recorded in </w:t>
            </w:r>
            <w:r>
              <w:rPr>
                <w:rFonts w:ascii="Times New Roman;sans-serif" w:hAnsi="Times New Roman;sans-serif"/>
                <w:b w:val="false"/>
                <w:i/>
                <w:color w:val="000000"/>
                <w:sz w:val="16"/>
              </w:rPr>
              <w:t xml:space="preserve">Net (gain) loss on divestitures, disposals and impairments charges </w:t>
            </w:r>
            <w:r>
              <w:rPr>
                <w:rFonts w:ascii="Times New Roman;sans-serif" w:hAnsi="Times New Roman;sans-serif"/>
                <w:b w:val="false"/>
                <w:color w:val="000000"/>
                <w:sz w:val="16"/>
              </w:rPr>
              <w:t>on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6.RECEIVABLES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funeral receivables are recorded in </w:t>
      </w:r>
      <w:r>
        <w:rPr>
          <w:rFonts w:ascii="Times New Roman;sans-serif" w:hAnsi="Times New Roman;sans-serif"/>
          <w:b w:val="false"/>
          <w:i/>
          <w:color w:val="000000"/>
          <w:sz w:val="20"/>
        </w:rPr>
        <w:t>Accounts receivable, net</w:t>
      </w:r>
      <w:r>
        <w:rPr>
          <w:color w:val="000000"/>
        </w:rPr>
        <w:t xml:space="preserve"> </w:t>
      </w:r>
      <w:r>
        <w:rPr>
          <w:rFonts w:ascii="Times New Roman;sans-serif" w:hAnsi="Times New Roman;sans-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 xml:space="preserve">Preneed cemetery receivables with payments expected to be received beyond one year from the balance sheet date are recorded in </w:t>
      </w:r>
      <w:r>
        <w:rPr>
          <w:rFonts w:ascii="Times New Roman;sans-serif" w:hAnsi="Times New Roman;sans-serif"/>
          <w:b w:val="false"/>
          <w:i/>
          <w:color w:val="000000"/>
          <w:sz w:val="20"/>
        </w:rPr>
        <w:t>Preneed cemetery receivables, 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comprised of the following (in thousands): </w:t>
      </w:r>
    </w:p>
    <w:tbl>
      <w:tblPr>
        <w:tblW w:w="7584" w:type="dxa"/>
        <w:jc w:val="left"/>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41"/>
        <w:gridCol w:w="534"/>
        <w:gridCol w:w="126"/>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84" w:type="dxa"/>
        <w:jc w:val="center"/>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61"/>
        <w:gridCol w:w="503"/>
        <w:gridCol w:w="137"/>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allowance for credit losses by segment (in thousands):</w:t>
      </w:r>
    </w:p>
    <w:tbl>
      <w:tblPr>
        <w:tblW w:w="10205" w:type="dxa"/>
        <w:jc w:val="left"/>
        <w:tblInd w:w="0" w:type="dxa"/>
        <w:tblLayout w:type="fixed"/>
        <w:tblCellMar>
          <w:top w:w="28" w:type="dxa"/>
          <w:left w:w="28" w:type="dxa"/>
          <w:bottom w:w="28" w:type="dxa"/>
          <w:right w:w="28" w:type="dxa"/>
        </w:tblCellMar>
      </w:tblPr>
      <w:tblGrid>
        <w:gridCol w:w="1134"/>
        <w:gridCol w:w="998"/>
        <w:gridCol w:w="1001"/>
        <w:gridCol w:w="242"/>
        <w:gridCol w:w="763"/>
        <w:gridCol w:w="125"/>
        <w:gridCol w:w="109"/>
        <w:gridCol w:w="109"/>
        <w:gridCol w:w="109"/>
        <w:gridCol w:w="364"/>
        <w:gridCol w:w="916"/>
        <w:gridCol w:w="188"/>
        <w:gridCol w:w="109"/>
        <w:gridCol w:w="109"/>
        <w:gridCol w:w="109"/>
        <w:gridCol w:w="109"/>
        <w:gridCol w:w="109"/>
        <w:gridCol w:w="211"/>
        <w:gridCol w:w="616"/>
        <w:gridCol w:w="109"/>
        <w:gridCol w:w="109"/>
        <w:gridCol w:w="109"/>
        <w:gridCol w:w="109"/>
        <w:gridCol w:w="241"/>
        <w:gridCol w:w="550"/>
        <w:gridCol w:w="125"/>
        <w:gridCol w:w="109"/>
        <w:gridCol w:w="109"/>
        <w:gridCol w:w="109"/>
        <w:gridCol w:w="224"/>
        <w:gridCol w:w="703"/>
        <w:gridCol w:w="169"/>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trade and financed receivables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Balances due on undelivered preneed funeral trust contracts have been reclassified to reduce </w:t>
      </w:r>
      <w:r>
        <w:rPr>
          <w:rFonts w:ascii="Times New Roman;sans-serif" w:hAnsi="Times New Roman;sans-serif"/>
          <w:b w:val="false"/>
          <w:i/>
          <w:color w:val="000000"/>
          <w:sz w:val="20"/>
        </w:rPr>
        <w:t>Deferred preneed funeral revenue</w:t>
      </w:r>
      <w:r>
        <w:rPr>
          <w:color w:val="000000"/>
        </w:rPr>
        <w:t xml:space="preserve"> </w:t>
      </w:r>
      <w:r>
        <w:rPr>
          <w:rFonts w:ascii="Times New Roman;sans-serif" w:hAnsi="Times New Roman;sans-serif"/>
          <w:b w:val="false"/>
          <w:color w:val="000000"/>
          <w:sz w:val="20"/>
        </w:rPr>
        <w:t xml:space="preserve">on our Consolidated Balance Sheet of $8.9 million and $10.3 million at December 31, 2022 and June 30, 2023, respectively. As these performance obligations are to be completed after the date of death, we cannot quantify the recognition of revenue in future periods. However, we estimate an average maturity period of ten years for preneed funeral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Preneed Cemetery Receivables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preneed cemetery receivables are comprised of the following (in thousands):</w:t>
      </w:r>
    </w:p>
    <w:tbl>
      <w:tblPr>
        <w:tblW w:w="5576" w:type="dxa"/>
        <w:jc w:val="left"/>
        <w:tblInd w:w="0" w:type="dxa"/>
        <w:tblLayout w:type="fixed"/>
        <w:tblCellMar>
          <w:top w:w="28" w:type="dxa"/>
          <w:left w:w="28" w:type="dxa"/>
          <w:bottom w:w="28" w:type="dxa"/>
          <w:right w:w="28" w:type="dxa"/>
        </w:tblCellMar>
      </w:tblPr>
      <w:tblGrid>
        <w:gridCol w:w="906"/>
        <w:gridCol w:w="798"/>
        <w:gridCol w:w="801"/>
        <w:gridCol w:w="313"/>
        <w:gridCol w:w="1070"/>
        <w:gridCol w:w="161"/>
        <w:gridCol w:w="109"/>
        <w:gridCol w:w="109"/>
        <w:gridCol w:w="109"/>
        <w:gridCol w:w="233"/>
        <w:gridCol w:w="797"/>
        <w:gridCol w:w="170"/>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Interment rights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and services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finance charges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preneed cemetery receivables are as follows (in thousands):</w:t>
      </w:r>
    </w:p>
    <w:tbl>
      <w:tblPr>
        <w:tblW w:w="8231" w:type="dxa"/>
        <w:jc w:val="center"/>
        <w:tblInd w:w="0" w:type="dxa"/>
        <w:tblLayout w:type="fixed"/>
        <w:tblCellMar>
          <w:top w:w="28" w:type="dxa"/>
          <w:left w:w="28" w:type="dxa"/>
          <w:bottom w:w="28" w:type="dxa"/>
          <w:right w:w="28" w:type="dxa"/>
        </w:tblCellMar>
      </w:tblPr>
      <w:tblGrid>
        <w:gridCol w:w="1868"/>
        <w:gridCol w:w="1644"/>
        <w:gridCol w:w="1648"/>
        <w:gridCol w:w="313"/>
        <w:gridCol w:w="1070"/>
        <w:gridCol w:w="161"/>
        <w:gridCol w:w="109"/>
        <w:gridCol w:w="109"/>
        <w:gridCol w:w="109"/>
        <w:gridCol w:w="233"/>
        <w:gridCol w:w="797"/>
        <w:gridCol w:w="170"/>
      </w:tblGrid>
      <w:tr>
        <w:trPr/>
        <w:tc>
          <w:tcPr>
            <w:tcW w:w="186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finance charges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at amortized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balances due on undelivered cemetery preneed contracts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in accounts receivable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following table summarizes the activity in our allowance for credit losses for </w:t>
      </w:r>
      <w:r>
        <w:rPr>
          <w:rFonts w:ascii="Times New Roman;sans-serif" w:hAnsi="Times New Roman;sans-serif"/>
          <w:b w:val="false"/>
          <w:i/>
          <w:color w:val="000000"/>
          <w:sz w:val="20"/>
        </w:rPr>
        <w:t>Preneed cemetery receivables, net</w:t>
      </w:r>
      <w:r>
        <w:rPr>
          <w:color w:val="000000"/>
        </w:rPr>
        <w:t xml:space="preserve"> </w:t>
      </w: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542"/>
        <w:gridCol w:w="1356"/>
        <w:gridCol w:w="1360"/>
        <w:gridCol w:w="256"/>
        <w:gridCol w:w="821"/>
        <w:gridCol w:w="132"/>
        <w:gridCol w:w="109"/>
        <w:gridCol w:w="109"/>
        <w:gridCol w:w="109"/>
        <w:gridCol w:w="430"/>
        <w:gridCol w:w="1092"/>
        <w:gridCol w:w="222"/>
        <w:gridCol w:w="109"/>
        <w:gridCol w:w="109"/>
        <w:gridCol w:w="109"/>
        <w:gridCol w:w="219"/>
        <w:gridCol w:w="544"/>
        <w:gridCol w:w="113"/>
        <w:gridCol w:w="109"/>
        <w:gridCol w:w="109"/>
        <w:gridCol w:w="109"/>
        <w:gridCol w:w="229"/>
        <w:gridCol w:w="734"/>
        <w:gridCol w:w="174"/>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allowance for credit losses on </w:t>
            </w:r>
            <w:r>
              <w:rPr>
                <w:rFonts w:ascii="Times New Roman;sans-serif" w:hAnsi="Times New Roman;sans-serif"/>
                <w:b w:val="false"/>
                <w:i/>
                <w:color w:val="000000"/>
                <w:sz w:val="20"/>
              </w:rPr>
              <w:t>Preneed cemetery receivables, net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our preneed cemetery receivables by year of origination at June 30, 2023 is as follows (in thousands):</w:t>
      </w:r>
    </w:p>
    <w:tbl>
      <w:tblPr>
        <w:tblW w:w="10205" w:type="dxa"/>
        <w:jc w:val="center"/>
        <w:tblInd w:w="0" w:type="dxa"/>
        <w:tblLayout w:type="fixed"/>
        <w:tblCellMar>
          <w:top w:w="28" w:type="dxa"/>
          <w:left w:w="28" w:type="dxa"/>
          <w:bottom w:w="28" w:type="dxa"/>
          <w:right w:w="28" w:type="dxa"/>
        </w:tblCellMar>
      </w:tblPr>
      <w:tblGrid>
        <w:gridCol w:w="443"/>
        <w:gridCol w:w="390"/>
        <w:gridCol w:w="3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preneed cemetery receivables, at amortized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aging of past due preneed cemetery receivables at June 30, 2023 is as follows (in thousands):</w:t>
      </w:r>
    </w:p>
    <w:tbl>
      <w:tblPr>
        <w:tblW w:w="10205" w:type="dxa"/>
        <w:jc w:val="left"/>
        <w:tblInd w:w="0" w:type="dxa"/>
        <w:tblLayout w:type="fixed"/>
        <w:tblCellMar>
          <w:top w:w="28" w:type="dxa"/>
          <w:left w:w="28" w:type="dxa"/>
          <w:bottom w:w="28" w:type="dxa"/>
          <w:right w:w="28" w:type="dxa"/>
        </w:tblCellMar>
      </w:tblPr>
      <w:tblGrid>
        <w:gridCol w:w="621"/>
        <w:gridCol w:w="546"/>
        <w:gridCol w:w="548"/>
        <w:gridCol w:w="211"/>
        <w:gridCol w:w="616"/>
        <w:gridCol w:w="109"/>
        <w:gridCol w:w="109"/>
        <w:gridCol w:w="109"/>
        <w:gridCol w:w="109"/>
        <w:gridCol w:w="213"/>
        <w:gridCol w:w="471"/>
        <w:gridCol w:w="112"/>
        <w:gridCol w:w="109"/>
        <w:gridCol w:w="109"/>
        <w:gridCol w:w="109"/>
        <w:gridCol w:w="213"/>
        <w:gridCol w:w="471"/>
        <w:gridCol w:w="11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31-60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61-90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91-120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&gt;120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Balances due on undelivered preneed cemetery contracts have been reclassified to reduce </w:t>
      </w:r>
      <w:r>
        <w:rPr>
          <w:rFonts w:ascii="Times New Roman;sans-serif" w:hAnsi="Times New Roman;sans-serif"/>
          <w:b w:val="false"/>
          <w:i/>
          <w:color w:val="000000"/>
          <w:sz w:val="20"/>
        </w:rPr>
        <w:t>Deferred preneed cemetery revenue</w:t>
      </w:r>
      <w:r>
        <w:rPr>
          <w:color w:val="000000"/>
        </w:rPr>
        <w:t xml:space="preserve"> </w:t>
      </w:r>
      <w:r>
        <w:rPr>
          <w:rFonts w:ascii="Times New Roman;sans-serif" w:hAnsi="Times New Roman;sans-serif"/>
          <w:b w:val="false"/>
          <w:color w:val="000000"/>
          <w:sz w:val="20"/>
        </w:rPr>
        <w:t>on our Consolidated Balance Sheet. The transaction price allocated to preneed merchandise and service performance obligations that were unfulfilled were $11.6 million and $14.2 million at December 31, 2022 and June 30, 2023, respectively. As these performance obligations are to be completed after the date of death, we cannot quantify the recognition of revenue in future periods. However, we estimate an average maturity period of eight years for preneed cemetery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7.FAIR VALUE MEASUREMENTS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11) and Senior Notes (as defined in Note 12) are classified within Level 2 of the Fair Value Measurements hierarchy.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the carrying value and fair value of our Credit Facility was $204.0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reporting date. At June 30, 2023, the carrying value of our acquisition debt was $3.9 million, which approximated its fair value. The fair value of our Senior Notes was $343.1 million at June 30, 2023 based on the last traded or broker quoted price.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investments in fixed income securities, common stock and mutual funds presented within the preneed and perpetual care trust investments categories on our Consolidated Balance Sheet as having met the criteria for fair value measurement. 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addition, we have an investment in a limited partnership fund, whose fair value has been estimated using the net asset value per share practical expedient described in ASC 820-10-35-59, </w:t>
      </w:r>
      <w:r>
        <w:rPr>
          <w:rFonts w:ascii="Times New Roman;sans-serif" w:hAnsi="Times New Roman;sans-serif"/>
          <w:b w:val="false"/>
          <w:i/>
          <w:color w:val="000000"/>
          <w:sz w:val="20"/>
        </w:rPr>
        <w:t xml:space="preserve">Fair Value Measurement of Investments in Certain Entities That Calculate Net Asset Value per Share (or Its Equivalent) </w:t>
      </w:r>
      <w:r>
        <w:rPr>
          <w:rFonts w:ascii="Times New Roman;sans-serif" w:hAnsi="Times New Roman;sans-serif"/>
          <w:b w:val="false"/>
          <w:color w:val="000000"/>
          <w:sz w:val="20"/>
        </w:rPr>
        <w:t>and therefore, has not been classified in the fair value hierarchy. The value of the investments in this fund cannot be redeemed because the investments include restrictions that do not allow for redemption within the first 12 months after acquisition. Our unfunded commitment for this investment at June 30, 2023 is $10.0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See Notes 8 and 9 to our Consolidated Financial Statements for the fair value hierarchy levels of our trust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on our Consolidated Statements of Operations, when a service is performed or merchandise is delivered. Trust management fees charged by our wholly-owned registered investment advisory firm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ans-serif" w:hAnsi="Times New Roman;sans-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Changes in the fair value of our trust fund assets (</w:t>
      </w:r>
      <w:r>
        <w:rPr>
          <w:rFonts w:ascii="Times New Roman;sans-serif" w:hAnsi="Times New Roman;sans-serif"/>
          <w:b w:val="false"/>
          <w:i/>
          <w:color w:val="000000"/>
          <w:sz w:val="20"/>
        </w:rPr>
        <w:t>Preneed funeral, cemetery and perpetual care trust investments</w:t>
      </w:r>
      <w:r>
        <w:rPr>
          <w:rFonts w:ascii="Times New Roman;sans-serif" w:hAnsi="Times New Roman;sans-serif"/>
          <w:b w:val="false"/>
          <w:color w:val="000000"/>
          <w:sz w:val="20"/>
        </w:rPr>
        <w:t>) are offset by changes in the fair value of our trust fund liabilities (</w:t>
      </w:r>
      <w:r>
        <w:rPr>
          <w:rFonts w:ascii="Times New Roman;sans-serif" w:hAnsi="Times New Roman;sans-serif"/>
          <w:b w:val="false"/>
          <w:i/>
          <w:color w:val="000000"/>
          <w:sz w:val="20"/>
        </w:rPr>
        <w:t>Deferred preneed funeral and cemetery receipts held in trust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Care trusts’ corpus</w:t>
      </w:r>
      <w:r>
        <w:rPr>
          <w:rFonts w:ascii="Times New Roman;sans-serif" w:hAnsi="Times New Roman;sans-serif"/>
          <w:b w:val="false"/>
          <w:color w:val="000000"/>
          <w:sz w:val="20"/>
        </w:rPr>
        <w:t xml:space="preserve">) and reflected in </w:t>
      </w:r>
      <w:r>
        <w:rPr>
          <w:rFonts w:ascii="Times New Roman;sans-serif" w:hAnsi="Times New Roman;sans-serif"/>
          <w:b w:val="false"/>
          <w:i/>
          <w:color w:val="000000"/>
          <w:sz w:val="20"/>
        </w:rPr>
        <w:t>Other, net</w:t>
      </w:r>
      <w:r>
        <w:rPr>
          <w:rFonts w:ascii="Times New Roman;sans-serif" w:hAnsi="Times New Roman;sans-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Preneed Cemetery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cemetery trust investments</w:t>
      </w:r>
      <w:r>
        <w:rPr>
          <w:color w:val="000000"/>
        </w:rPr>
        <w:t xml:space="preserve"> </w:t>
      </w:r>
      <w:r>
        <w:rPr>
          <w:rFonts w:ascii="Times New Roman;sans-serif" w:hAnsi="Times New Roman;sans-serif"/>
          <w:b w:val="false"/>
          <w:color w:val="000000"/>
          <w:sz w:val="20"/>
        </w:rPr>
        <w:t xml:space="preserve">on our Consolidated Balance Sheet are as follows (in thousands): </w:t>
      </w:r>
    </w:p>
    <w:tbl>
      <w:tblPr>
        <w:tblW w:w="7375" w:type="dxa"/>
        <w:jc w:val="left"/>
        <w:tblInd w:w="0" w:type="dxa"/>
        <w:tblLayout w:type="fixed"/>
        <w:tblCellMar>
          <w:top w:w="28" w:type="dxa"/>
          <w:left w:w="28" w:type="dxa"/>
          <w:bottom w:w="28" w:type="dxa"/>
          <w:right w:w="28" w:type="dxa"/>
        </w:tblCellMar>
      </w:tblPr>
      <w:tblGrid>
        <w:gridCol w:w="1558"/>
        <w:gridCol w:w="1369"/>
        <w:gridCol w:w="1377"/>
        <w:gridCol w:w="313"/>
        <w:gridCol w:w="1070"/>
        <w:gridCol w:w="161"/>
        <w:gridCol w:w="109"/>
        <w:gridCol w:w="109"/>
        <w:gridCol w:w="109"/>
        <w:gridCol w:w="233"/>
        <w:gridCol w:w="797"/>
        <w:gridCol w:w="170"/>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and market values associated with preneed cemetery trust investments at June 30, 2023 are detailed below (in thousands): </w:t>
      </w:r>
    </w:p>
    <w:tbl>
      <w:tblPr>
        <w:tblW w:w="10205" w:type="dxa"/>
        <w:jc w:val="left"/>
        <w:tblInd w:w="0" w:type="dxa"/>
        <w:tblLayout w:type="fixed"/>
        <w:tblCellMar>
          <w:top w:w="28" w:type="dxa"/>
          <w:left w:w="28" w:type="dxa"/>
          <w:bottom w:w="28" w:type="dxa"/>
          <w:right w:w="28" w:type="dxa"/>
        </w:tblCellMar>
      </w:tblPr>
      <w:tblGrid>
        <w:gridCol w:w="1011"/>
        <w:gridCol w:w="852"/>
        <w:gridCol w:w="856"/>
        <w:gridCol w:w="633"/>
        <w:gridCol w:w="633"/>
        <w:gridCol w:w="635"/>
        <w:gridCol w:w="109"/>
        <w:gridCol w:w="109"/>
        <w:gridCol w:w="109"/>
        <w:gridCol w:w="211"/>
        <w:gridCol w:w="826"/>
        <w:gridCol w:w="109"/>
        <w:gridCol w:w="109"/>
        <w:gridCol w:w="109"/>
        <w:gridCol w:w="109"/>
        <w:gridCol w:w="211"/>
        <w:gridCol w:w="616"/>
        <w:gridCol w:w="109"/>
        <w:gridCol w:w="109"/>
        <w:gridCol w:w="109"/>
        <w:gridCol w:w="109"/>
        <w:gridCol w:w="211"/>
        <w:gridCol w:w="785"/>
        <w:gridCol w:w="109"/>
        <w:gridCol w:w="109"/>
        <w:gridCol w:w="109"/>
        <w:gridCol w:w="109"/>
        <w:gridCol w:w="211"/>
        <w:gridCol w:w="721"/>
        <w:gridCol w:w="158"/>
      </w:tblGrid>
      <w:tr>
        <w:trPr/>
        <w:tc>
          <w:tcPr>
            <w:tcW w:w="10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cemetery trust investments at December 31, 2022 are detailed below (in thousands):</w:t>
      </w:r>
    </w:p>
    <w:tbl>
      <w:tblPr>
        <w:tblW w:w="10205" w:type="dxa"/>
        <w:jc w:val="left"/>
        <w:tblInd w:w="0" w:type="dxa"/>
        <w:tblLayout w:type="fixed"/>
        <w:tblCellMar>
          <w:top w:w="28" w:type="dxa"/>
          <w:left w:w="28" w:type="dxa"/>
          <w:bottom w:w="28" w:type="dxa"/>
          <w:right w:w="28" w:type="dxa"/>
        </w:tblCellMar>
      </w:tblPr>
      <w:tblGrid>
        <w:gridCol w:w="1011"/>
        <w:gridCol w:w="852"/>
        <w:gridCol w:w="856"/>
        <w:gridCol w:w="633"/>
        <w:gridCol w:w="633"/>
        <w:gridCol w:w="635"/>
        <w:gridCol w:w="109"/>
        <w:gridCol w:w="109"/>
        <w:gridCol w:w="109"/>
        <w:gridCol w:w="211"/>
        <w:gridCol w:w="826"/>
        <w:gridCol w:w="109"/>
        <w:gridCol w:w="109"/>
        <w:gridCol w:w="109"/>
        <w:gridCol w:w="109"/>
        <w:gridCol w:w="211"/>
        <w:gridCol w:w="616"/>
        <w:gridCol w:w="109"/>
        <w:gridCol w:w="109"/>
        <w:gridCol w:w="109"/>
        <w:gridCol w:w="109"/>
        <w:gridCol w:w="211"/>
        <w:gridCol w:w="785"/>
        <w:gridCol w:w="109"/>
        <w:gridCol w:w="109"/>
        <w:gridCol w:w="109"/>
        <w:gridCol w:w="109"/>
        <w:gridCol w:w="211"/>
        <w:gridCol w:w="721"/>
        <w:gridCol w:w="158"/>
      </w:tblGrid>
      <w:tr>
        <w:trPr/>
        <w:tc>
          <w:tcPr>
            <w:tcW w:w="10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June 30,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84"/>
        <w:gridCol w:w="583"/>
        <w:gridCol w:w="585"/>
        <w:gridCol w:w="228"/>
        <w:gridCol w:w="782"/>
        <w:gridCol w:w="117"/>
        <w:gridCol w:w="116"/>
        <w:gridCol w:w="116"/>
        <w:gridCol w:w="116"/>
        <w:gridCol w:w="230"/>
        <w:gridCol w:w="710"/>
        <w:gridCol w:w="118"/>
        <w:gridCol w:w="109"/>
        <w:gridCol w:w="109"/>
        <w:gridCol w:w="109"/>
        <w:gridCol w:w="237"/>
        <w:gridCol w:w="692"/>
        <w:gridCol w:w="122"/>
        <w:gridCol w:w="121"/>
        <w:gridCol w:w="121"/>
        <w:gridCol w:w="121"/>
        <w:gridCol w:w="235"/>
        <w:gridCol w:w="726"/>
        <w:gridCol w:w="121"/>
        <w:gridCol w:w="109"/>
        <w:gridCol w:w="109"/>
        <w:gridCol w:w="109"/>
        <w:gridCol w:w="228"/>
        <w:gridCol w:w="782"/>
        <w:gridCol w:w="118"/>
        <w:gridCol w:w="109"/>
        <w:gridCol w:w="109"/>
        <w:gridCol w:w="109"/>
        <w:gridCol w:w="229"/>
        <w:gridCol w:w="707"/>
        <w:gridCol w:w="179"/>
      </w:tblGrid>
      <w:tr>
        <w:trPr/>
        <w:tc>
          <w:tcPr>
            <w:tcW w:w="78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December 31, 2022,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84"/>
        <w:gridCol w:w="583"/>
        <w:gridCol w:w="585"/>
        <w:gridCol w:w="228"/>
        <w:gridCol w:w="782"/>
        <w:gridCol w:w="117"/>
        <w:gridCol w:w="116"/>
        <w:gridCol w:w="116"/>
        <w:gridCol w:w="116"/>
        <w:gridCol w:w="230"/>
        <w:gridCol w:w="710"/>
        <w:gridCol w:w="118"/>
        <w:gridCol w:w="109"/>
        <w:gridCol w:w="109"/>
        <w:gridCol w:w="109"/>
        <w:gridCol w:w="237"/>
        <w:gridCol w:w="692"/>
        <w:gridCol w:w="122"/>
        <w:gridCol w:w="121"/>
        <w:gridCol w:w="121"/>
        <w:gridCol w:w="121"/>
        <w:gridCol w:w="235"/>
        <w:gridCol w:w="726"/>
        <w:gridCol w:w="121"/>
        <w:gridCol w:w="109"/>
        <w:gridCol w:w="109"/>
        <w:gridCol w:w="109"/>
        <w:gridCol w:w="228"/>
        <w:gridCol w:w="782"/>
        <w:gridCol w:w="118"/>
        <w:gridCol w:w="109"/>
        <w:gridCol w:w="109"/>
        <w:gridCol w:w="109"/>
        <w:gridCol w:w="229"/>
        <w:gridCol w:w="707"/>
        <w:gridCol w:w="179"/>
      </w:tblGrid>
      <w:tr>
        <w:trPr/>
        <w:tc>
          <w:tcPr>
            <w:tcW w:w="78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cemetery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10065" w:type="dxa"/>
        <w:jc w:val="left"/>
        <w:tblInd w:w="0" w:type="dxa"/>
        <w:tblLayout w:type="fixed"/>
        <w:tblCellMar>
          <w:top w:w="28" w:type="dxa"/>
          <w:left w:w="28" w:type="dxa"/>
          <w:bottom w:w="28" w:type="dxa"/>
          <w:right w:w="28" w:type="dxa"/>
        </w:tblCellMar>
      </w:tblPr>
      <w:tblGrid>
        <w:gridCol w:w="1854"/>
        <w:gridCol w:w="1628"/>
        <w:gridCol w:w="1632"/>
        <w:gridCol w:w="265"/>
        <w:gridCol w:w="585"/>
        <w:gridCol w:w="136"/>
        <w:gridCol w:w="136"/>
        <w:gridCol w:w="136"/>
        <w:gridCol w:w="136"/>
        <w:gridCol w:w="265"/>
        <w:gridCol w:w="585"/>
        <w:gridCol w:w="136"/>
        <w:gridCol w:w="109"/>
        <w:gridCol w:w="109"/>
        <w:gridCol w:w="109"/>
        <w:gridCol w:w="211"/>
        <w:gridCol w:w="616"/>
        <w:gridCol w:w="109"/>
        <w:gridCol w:w="109"/>
        <w:gridCol w:w="109"/>
        <w:gridCol w:w="109"/>
        <w:gridCol w:w="211"/>
        <w:gridCol w:w="616"/>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cemetery receipts held in trust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and sales of investments in the preneed cemetery trusts are as follows (in thousands): </w:t>
      </w:r>
    </w:p>
    <w:tbl>
      <w:tblPr>
        <w:tblW w:w="6019" w:type="dxa"/>
        <w:jc w:val="left"/>
        <w:tblInd w:w="0" w:type="dxa"/>
        <w:tblLayout w:type="fixed"/>
        <w:tblCellMar>
          <w:top w:w="28" w:type="dxa"/>
          <w:left w:w="28" w:type="dxa"/>
          <w:bottom w:w="28" w:type="dxa"/>
          <w:right w:w="28" w:type="dxa"/>
        </w:tblCellMar>
      </w:tblPr>
      <w:tblGrid>
        <w:gridCol w:w="332"/>
        <w:gridCol w:w="291"/>
        <w:gridCol w:w="293"/>
        <w:gridCol w:w="228"/>
        <w:gridCol w:w="587"/>
        <w:gridCol w:w="118"/>
        <w:gridCol w:w="118"/>
        <w:gridCol w:w="118"/>
        <w:gridCol w:w="118"/>
        <w:gridCol w:w="228"/>
        <w:gridCol w:w="749"/>
        <w:gridCol w:w="118"/>
        <w:gridCol w:w="109"/>
        <w:gridCol w:w="109"/>
        <w:gridCol w:w="109"/>
        <w:gridCol w:w="211"/>
        <w:gridCol w:w="691"/>
        <w:gridCol w:w="109"/>
        <w:gridCol w:w="109"/>
        <w:gridCol w:w="109"/>
        <w:gridCol w:w="109"/>
        <w:gridCol w:w="211"/>
        <w:gridCol w:w="691"/>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Preneed Funeral Trust Investments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funeral trust investments</w:t>
      </w:r>
      <w:r>
        <w:rPr>
          <w:color w:val="000000"/>
        </w:rPr>
        <w:t xml:space="preserve"> </w:t>
      </w:r>
      <w:r>
        <w:rPr>
          <w:rFonts w:ascii="Times New Roman;sans-serif" w:hAnsi="Times New Roman;sans-serif"/>
          <w:b w:val="false"/>
          <w:color w:val="000000"/>
          <w:sz w:val="20"/>
        </w:rPr>
        <w:t>on our Consolidated Balance Sheet are as follows (in thousands):</w:t>
      </w:r>
    </w:p>
    <w:tbl>
      <w:tblPr>
        <w:tblW w:w="7210" w:type="dxa"/>
        <w:jc w:val="left"/>
        <w:tblInd w:w="0" w:type="dxa"/>
        <w:tblLayout w:type="fixed"/>
        <w:tblCellMar>
          <w:top w:w="28" w:type="dxa"/>
          <w:left w:w="28" w:type="dxa"/>
          <w:bottom w:w="28" w:type="dxa"/>
          <w:right w:w="28" w:type="dxa"/>
        </w:tblCellMar>
      </w:tblPr>
      <w:tblGrid>
        <w:gridCol w:w="1498"/>
        <w:gridCol w:w="1317"/>
        <w:gridCol w:w="1324"/>
        <w:gridCol w:w="284"/>
        <w:gridCol w:w="1114"/>
        <w:gridCol w:w="147"/>
        <w:gridCol w:w="109"/>
        <w:gridCol w:w="109"/>
        <w:gridCol w:w="109"/>
        <w:gridCol w:w="212"/>
        <w:gridCol w:w="832"/>
        <w:gridCol w:w="155"/>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at market value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June 30, 2023 are detailed below (in thousands):</w:t>
      </w:r>
    </w:p>
    <w:tbl>
      <w:tblPr>
        <w:tblW w:w="10205" w:type="dxa"/>
        <w:jc w:val="left"/>
        <w:tblInd w:w="0" w:type="dxa"/>
        <w:tblLayout w:type="fixed"/>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616"/>
        <w:gridCol w:w="109"/>
        <w:gridCol w:w="109"/>
        <w:gridCol w:w="109"/>
        <w:gridCol w:w="109"/>
        <w:gridCol w:w="211"/>
        <w:gridCol w:w="783"/>
        <w:gridCol w:w="109"/>
        <w:gridCol w:w="109"/>
        <w:gridCol w:w="109"/>
        <w:gridCol w:w="109"/>
        <w:gridCol w:w="211"/>
        <w:gridCol w:w="826"/>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December 31, 2022 are detailed below (in thousands):</w:t>
      </w:r>
    </w:p>
    <w:tbl>
      <w:tblPr>
        <w:tblW w:w="10205" w:type="dxa"/>
        <w:jc w:val="left"/>
        <w:tblInd w:w="0" w:type="dxa"/>
        <w:tblLayout w:type="fixed"/>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616"/>
        <w:gridCol w:w="109"/>
        <w:gridCol w:w="109"/>
        <w:gridCol w:w="109"/>
        <w:gridCol w:w="109"/>
        <w:gridCol w:w="211"/>
        <w:gridCol w:w="783"/>
        <w:gridCol w:w="109"/>
        <w:gridCol w:w="109"/>
        <w:gridCol w:w="109"/>
        <w:gridCol w:w="109"/>
        <w:gridCol w:w="211"/>
        <w:gridCol w:w="826"/>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June 30,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40"/>
        <w:gridCol w:w="593"/>
        <w:gridCol w:w="595"/>
        <w:gridCol w:w="229"/>
        <w:gridCol w:w="784"/>
        <w:gridCol w:w="118"/>
        <w:gridCol w:w="116"/>
        <w:gridCol w:w="116"/>
        <w:gridCol w:w="116"/>
        <w:gridCol w:w="230"/>
        <w:gridCol w:w="712"/>
        <w:gridCol w:w="119"/>
        <w:gridCol w:w="109"/>
        <w:gridCol w:w="109"/>
        <w:gridCol w:w="109"/>
        <w:gridCol w:w="237"/>
        <w:gridCol w:w="695"/>
        <w:gridCol w:w="122"/>
        <w:gridCol w:w="121"/>
        <w:gridCol w:w="121"/>
        <w:gridCol w:w="121"/>
        <w:gridCol w:w="235"/>
        <w:gridCol w:w="729"/>
        <w:gridCol w:w="121"/>
        <w:gridCol w:w="109"/>
        <w:gridCol w:w="109"/>
        <w:gridCol w:w="109"/>
        <w:gridCol w:w="229"/>
        <w:gridCol w:w="784"/>
        <w:gridCol w:w="118"/>
        <w:gridCol w:w="109"/>
        <w:gridCol w:w="109"/>
        <w:gridCol w:w="109"/>
        <w:gridCol w:w="229"/>
        <w:gridCol w:w="710"/>
        <w:gridCol w:w="184"/>
      </w:tblGrid>
      <w:tr>
        <w:trPr/>
        <w:tc>
          <w:tcPr>
            <w:tcW w:w="7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December 31, 2022,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3"/>
        <w:gridCol w:w="605"/>
        <w:gridCol w:w="608"/>
        <w:gridCol w:w="229"/>
        <w:gridCol w:w="786"/>
        <w:gridCol w:w="118"/>
        <w:gridCol w:w="117"/>
        <w:gridCol w:w="117"/>
        <w:gridCol w:w="117"/>
        <w:gridCol w:w="231"/>
        <w:gridCol w:w="716"/>
        <w:gridCol w:w="119"/>
        <w:gridCol w:w="109"/>
        <w:gridCol w:w="109"/>
        <w:gridCol w:w="109"/>
        <w:gridCol w:w="243"/>
        <w:gridCol w:w="710"/>
        <w:gridCol w:w="125"/>
        <w:gridCol w:w="125"/>
        <w:gridCol w:w="125"/>
        <w:gridCol w:w="125"/>
        <w:gridCol w:w="284"/>
        <w:gridCol w:w="588"/>
        <w:gridCol w:w="126"/>
        <w:gridCol w:w="109"/>
        <w:gridCol w:w="109"/>
        <w:gridCol w:w="109"/>
        <w:gridCol w:w="229"/>
        <w:gridCol w:w="786"/>
        <w:gridCol w:w="118"/>
        <w:gridCol w:w="109"/>
        <w:gridCol w:w="109"/>
        <w:gridCol w:w="109"/>
        <w:gridCol w:w="230"/>
        <w:gridCol w:w="713"/>
        <w:gridCol w:w="181"/>
      </w:tblGrid>
      <w:tr>
        <w:trPr/>
        <w:tc>
          <w:tcPr>
            <w:tcW w:w="75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funeral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the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760"/>
        <w:gridCol w:w="1546"/>
        <w:gridCol w:w="1550"/>
        <w:gridCol w:w="265"/>
        <w:gridCol w:w="582"/>
        <w:gridCol w:w="135"/>
        <w:gridCol w:w="135"/>
        <w:gridCol w:w="135"/>
        <w:gridCol w:w="135"/>
        <w:gridCol w:w="263"/>
        <w:gridCol w:w="582"/>
        <w:gridCol w:w="135"/>
        <w:gridCol w:w="109"/>
        <w:gridCol w:w="109"/>
        <w:gridCol w:w="109"/>
        <w:gridCol w:w="223"/>
        <w:gridCol w:w="493"/>
        <w:gridCol w:w="114"/>
        <w:gridCol w:w="114"/>
        <w:gridCol w:w="114"/>
        <w:gridCol w:w="114"/>
        <w:gridCol w:w="223"/>
        <w:gridCol w:w="653"/>
        <w:gridCol w:w="114"/>
        <w:gridCol w:w="109"/>
        <w:gridCol w:w="109"/>
        <w:gridCol w:w="109"/>
        <w:gridCol w:w="166"/>
      </w:tblGrid>
      <w:tr>
        <w:trPr/>
        <w:tc>
          <w:tcPr>
            <w:tcW w:w="17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funeral receipts held in trust</w:t>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preneed funeral trusts are as follows (in thousands):</w:t>
      </w:r>
    </w:p>
    <w:tbl>
      <w:tblPr>
        <w:tblW w:w="6306" w:type="dxa"/>
        <w:jc w:val="left"/>
        <w:tblInd w:w="0" w:type="dxa"/>
        <w:tblLayout w:type="fixed"/>
        <w:tblCellMar>
          <w:top w:w="28" w:type="dxa"/>
          <w:left w:w="28" w:type="dxa"/>
          <w:bottom w:w="28" w:type="dxa"/>
          <w:right w:w="28" w:type="dxa"/>
        </w:tblCellMar>
      </w:tblPr>
      <w:tblGrid>
        <w:gridCol w:w="332"/>
        <w:gridCol w:w="291"/>
        <w:gridCol w:w="293"/>
        <w:gridCol w:w="243"/>
        <w:gridCol w:w="469"/>
        <w:gridCol w:w="126"/>
        <w:gridCol w:w="126"/>
        <w:gridCol w:w="126"/>
        <w:gridCol w:w="126"/>
        <w:gridCol w:w="243"/>
        <w:gridCol w:w="798"/>
        <w:gridCol w:w="126"/>
        <w:gridCol w:w="109"/>
        <w:gridCol w:w="109"/>
        <w:gridCol w:w="109"/>
        <w:gridCol w:w="211"/>
        <w:gridCol w:w="541"/>
        <w:gridCol w:w="109"/>
        <w:gridCol w:w="109"/>
        <w:gridCol w:w="109"/>
        <w:gridCol w:w="109"/>
        <w:gridCol w:w="211"/>
        <w:gridCol w:w="691"/>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Cemetery Perpetual Care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Care trusts’ corpus on our Consolidated Balance Sheet represents the corpus of those trusts plus undistributed income. The components of </w:t>
      </w: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are as follows (in thousands):</w:t>
      </w:r>
    </w:p>
    <w:tbl>
      <w:tblPr>
        <w:tblW w:w="7916" w:type="dxa"/>
        <w:jc w:val="left"/>
        <w:tblInd w:w="0" w:type="dxa"/>
        <w:tblLayout w:type="fixed"/>
        <w:tblCellMar>
          <w:top w:w="28" w:type="dxa"/>
          <w:left w:w="28" w:type="dxa"/>
          <w:bottom w:w="28" w:type="dxa"/>
          <w:right w:w="28" w:type="dxa"/>
        </w:tblCellMar>
      </w:tblPr>
      <w:tblGrid>
        <w:gridCol w:w="1754"/>
        <w:gridCol w:w="1541"/>
        <w:gridCol w:w="1550"/>
        <w:gridCol w:w="313"/>
        <w:gridCol w:w="1070"/>
        <w:gridCol w:w="161"/>
        <w:gridCol w:w="109"/>
        <w:gridCol w:w="109"/>
        <w:gridCol w:w="109"/>
        <w:gridCol w:w="233"/>
        <w:gridCol w:w="797"/>
        <w:gridCol w:w="170"/>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due from trust</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June 30, 2023 (in thousands):</w:t>
      </w:r>
    </w:p>
    <w:tbl>
      <w:tblPr>
        <w:tblW w:w="10205" w:type="dxa"/>
        <w:jc w:val="left"/>
        <w:tblInd w:w="0" w:type="dxa"/>
        <w:tblLayout w:type="fixed"/>
        <w:tblCellMar>
          <w:top w:w="28" w:type="dxa"/>
          <w:left w:w="28" w:type="dxa"/>
          <w:bottom w:w="28" w:type="dxa"/>
          <w:right w:w="28" w:type="dxa"/>
        </w:tblCellMar>
      </w:tblPr>
      <w:tblGrid>
        <w:gridCol w:w="1036"/>
        <w:gridCol w:w="879"/>
        <w:gridCol w:w="883"/>
        <w:gridCol w:w="641"/>
        <w:gridCol w:w="641"/>
        <w:gridCol w:w="643"/>
        <w:gridCol w:w="109"/>
        <w:gridCol w:w="109"/>
        <w:gridCol w:w="109"/>
        <w:gridCol w:w="211"/>
        <w:gridCol w:w="721"/>
        <w:gridCol w:w="109"/>
        <w:gridCol w:w="109"/>
        <w:gridCol w:w="109"/>
        <w:gridCol w:w="109"/>
        <w:gridCol w:w="211"/>
        <w:gridCol w:w="616"/>
        <w:gridCol w:w="109"/>
        <w:gridCol w:w="109"/>
        <w:gridCol w:w="109"/>
        <w:gridCol w:w="109"/>
        <w:gridCol w:w="211"/>
        <w:gridCol w:w="786"/>
        <w:gridCol w:w="109"/>
        <w:gridCol w:w="109"/>
        <w:gridCol w:w="109"/>
        <w:gridCol w:w="109"/>
        <w:gridCol w:w="211"/>
        <w:gridCol w:w="721"/>
        <w:gridCol w:w="159"/>
      </w:tblGrid>
      <w:tr>
        <w:trPr/>
        <w:tc>
          <w:tcPr>
            <w:tcW w:w="10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December 31, 2022 (in thousands):</w:t>
      </w:r>
    </w:p>
    <w:tbl>
      <w:tblPr>
        <w:tblW w:w="10205" w:type="dxa"/>
        <w:jc w:val="left"/>
        <w:tblInd w:w="0" w:type="dxa"/>
        <w:tblLayout w:type="fixed"/>
        <w:tblCellMar>
          <w:top w:w="28" w:type="dxa"/>
          <w:left w:w="28" w:type="dxa"/>
          <w:bottom w:w="28" w:type="dxa"/>
          <w:right w:w="28" w:type="dxa"/>
        </w:tblCellMar>
      </w:tblPr>
      <w:tblGrid>
        <w:gridCol w:w="1036"/>
        <w:gridCol w:w="879"/>
        <w:gridCol w:w="883"/>
        <w:gridCol w:w="641"/>
        <w:gridCol w:w="641"/>
        <w:gridCol w:w="643"/>
        <w:gridCol w:w="109"/>
        <w:gridCol w:w="109"/>
        <w:gridCol w:w="109"/>
        <w:gridCol w:w="211"/>
        <w:gridCol w:w="721"/>
        <w:gridCol w:w="109"/>
        <w:gridCol w:w="109"/>
        <w:gridCol w:w="109"/>
        <w:gridCol w:w="109"/>
        <w:gridCol w:w="211"/>
        <w:gridCol w:w="616"/>
        <w:gridCol w:w="109"/>
        <w:gridCol w:w="109"/>
        <w:gridCol w:w="109"/>
        <w:gridCol w:w="109"/>
        <w:gridCol w:w="211"/>
        <w:gridCol w:w="786"/>
        <w:gridCol w:w="109"/>
        <w:gridCol w:w="109"/>
        <w:gridCol w:w="109"/>
        <w:gridCol w:w="109"/>
        <w:gridCol w:w="211"/>
        <w:gridCol w:w="721"/>
        <w:gridCol w:w="159"/>
      </w:tblGrid>
      <w:tr>
        <w:trPr/>
        <w:tc>
          <w:tcPr>
            <w:tcW w:w="10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cemetery perpetual care trust investment in an unrealized loss position at June 30,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4"/>
        <w:gridCol w:w="606"/>
        <w:gridCol w:w="608"/>
        <w:gridCol w:w="239"/>
        <w:gridCol w:w="698"/>
        <w:gridCol w:w="123"/>
        <w:gridCol w:w="118"/>
        <w:gridCol w:w="118"/>
        <w:gridCol w:w="118"/>
        <w:gridCol w:w="231"/>
        <w:gridCol w:w="716"/>
        <w:gridCol w:w="119"/>
        <w:gridCol w:w="109"/>
        <w:gridCol w:w="109"/>
        <w:gridCol w:w="109"/>
        <w:gridCol w:w="239"/>
        <w:gridCol w:w="698"/>
        <w:gridCol w:w="123"/>
        <w:gridCol w:w="122"/>
        <w:gridCol w:w="122"/>
        <w:gridCol w:w="122"/>
        <w:gridCol w:w="236"/>
        <w:gridCol w:w="734"/>
        <w:gridCol w:w="122"/>
        <w:gridCol w:w="109"/>
        <w:gridCol w:w="109"/>
        <w:gridCol w:w="109"/>
        <w:gridCol w:w="229"/>
        <w:gridCol w:w="786"/>
        <w:gridCol w:w="118"/>
        <w:gridCol w:w="109"/>
        <w:gridCol w:w="109"/>
        <w:gridCol w:w="109"/>
        <w:gridCol w:w="230"/>
        <w:gridCol w:w="713"/>
        <w:gridCol w:w="182"/>
      </w:tblGrid>
      <w:tr>
        <w:trPr/>
        <w:tc>
          <w:tcPr>
            <w:tcW w:w="7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perpetual care trust investment in an unrealized loss position at December 31, 2022,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3"/>
        <w:gridCol w:w="605"/>
        <w:gridCol w:w="608"/>
        <w:gridCol w:w="229"/>
        <w:gridCol w:w="786"/>
        <w:gridCol w:w="118"/>
        <w:gridCol w:w="117"/>
        <w:gridCol w:w="117"/>
        <w:gridCol w:w="117"/>
        <w:gridCol w:w="231"/>
        <w:gridCol w:w="716"/>
        <w:gridCol w:w="119"/>
        <w:gridCol w:w="109"/>
        <w:gridCol w:w="109"/>
        <w:gridCol w:w="109"/>
        <w:gridCol w:w="243"/>
        <w:gridCol w:w="710"/>
        <w:gridCol w:w="125"/>
        <w:gridCol w:w="125"/>
        <w:gridCol w:w="125"/>
        <w:gridCol w:w="125"/>
        <w:gridCol w:w="284"/>
        <w:gridCol w:w="588"/>
        <w:gridCol w:w="126"/>
        <w:gridCol w:w="109"/>
        <w:gridCol w:w="109"/>
        <w:gridCol w:w="109"/>
        <w:gridCol w:w="229"/>
        <w:gridCol w:w="786"/>
        <w:gridCol w:w="118"/>
        <w:gridCol w:w="109"/>
        <w:gridCol w:w="109"/>
        <w:gridCol w:w="109"/>
        <w:gridCol w:w="230"/>
        <w:gridCol w:w="713"/>
        <w:gridCol w:w="181"/>
      </w:tblGrid>
      <w:tr>
        <w:trPr/>
        <w:tc>
          <w:tcPr>
            <w:tcW w:w="75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7668" w:type="dxa"/>
        <w:jc w:val="left"/>
        <w:tblInd w:w="0" w:type="dxa"/>
        <w:tblLayout w:type="fixed"/>
        <w:tblCellMar>
          <w:top w:w="28" w:type="dxa"/>
          <w:left w:w="28" w:type="dxa"/>
          <w:bottom w:w="28" w:type="dxa"/>
          <w:right w:w="28" w:type="dxa"/>
        </w:tblCellMar>
      </w:tblPr>
      <w:tblGrid>
        <w:gridCol w:w="992"/>
        <w:gridCol w:w="873"/>
        <w:gridCol w:w="880"/>
        <w:gridCol w:w="265"/>
        <w:gridCol w:w="585"/>
        <w:gridCol w:w="136"/>
        <w:gridCol w:w="136"/>
        <w:gridCol w:w="136"/>
        <w:gridCol w:w="136"/>
        <w:gridCol w:w="265"/>
        <w:gridCol w:w="585"/>
        <w:gridCol w:w="136"/>
        <w:gridCol w:w="109"/>
        <w:gridCol w:w="109"/>
        <w:gridCol w:w="109"/>
        <w:gridCol w:w="223"/>
        <w:gridCol w:w="653"/>
        <w:gridCol w:w="115"/>
        <w:gridCol w:w="115"/>
        <w:gridCol w:w="115"/>
        <w:gridCol w:w="115"/>
        <w:gridCol w:w="223"/>
        <w:gridCol w:w="494"/>
        <w:gridCol w:w="163"/>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care trusts’ corpus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are as follows (in thousands):</w:t>
      </w:r>
    </w:p>
    <w:tbl>
      <w:tblPr>
        <w:tblW w:w="6662" w:type="dxa"/>
        <w:jc w:val="left"/>
        <w:tblInd w:w="0" w:type="dxa"/>
        <w:tblLayout w:type="fixed"/>
        <w:tblCellMar>
          <w:top w:w="28" w:type="dxa"/>
          <w:left w:w="28" w:type="dxa"/>
          <w:bottom w:w="28" w:type="dxa"/>
          <w:right w:w="28" w:type="dxa"/>
        </w:tblCellMar>
      </w:tblPr>
      <w:tblGrid>
        <w:gridCol w:w="620"/>
        <w:gridCol w:w="544"/>
        <w:gridCol w:w="545"/>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cemetery perpetual care trusts are as follows (in thousands):</w:t>
      </w:r>
    </w:p>
    <w:tbl>
      <w:tblPr>
        <w:tblW w:w="5869" w:type="dxa"/>
        <w:jc w:val="left"/>
        <w:tblInd w:w="0" w:type="dxa"/>
        <w:tblLayout w:type="fixed"/>
        <w:tblCellMar>
          <w:top w:w="28" w:type="dxa"/>
          <w:left w:w="28" w:type="dxa"/>
          <w:bottom w:w="28" w:type="dxa"/>
          <w:right w:w="28" w:type="dxa"/>
        </w:tblCellMar>
      </w:tblPr>
      <w:tblGrid>
        <w:gridCol w:w="332"/>
        <w:gridCol w:w="291"/>
        <w:gridCol w:w="293"/>
        <w:gridCol w:w="228"/>
        <w:gridCol w:w="587"/>
        <w:gridCol w:w="118"/>
        <w:gridCol w:w="118"/>
        <w:gridCol w:w="118"/>
        <w:gridCol w:w="118"/>
        <w:gridCol w:w="228"/>
        <w:gridCol w:w="749"/>
        <w:gridCol w:w="118"/>
        <w:gridCol w:w="109"/>
        <w:gridCol w:w="109"/>
        <w:gridCol w:w="109"/>
        <w:gridCol w:w="211"/>
        <w:gridCol w:w="541"/>
        <w:gridCol w:w="109"/>
        <w:gridCol w:w="109"/>
        <w:gridCol w:w="109"/>
        <w:gridCol w:w="109"/>
        <w:gridCol w:w="211"/>
        <w:gridCol w:w="691"/>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9.RECEIVABLES FROM PRENEED FUNERAL TRUSTS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6730" w:type="dxa"/>
        <w:jc w:val="left"/>
        <w:tblInd w:w="0" w:type="dxa"/>
        <w:tblLayout w:type="fixed"/>
        <w:tblCellMar>
          <w:top w:w="28" w:type="dxa"/>
          <w:left w:w="28" w:type="dxa"/>
          <w:bottom w:w="28" w:type="dxa"/>
          <w:right w:w="28" w:type="dxa"/>
        </w:tblCellMar>
      </w:tblPr>
      <w:tblGrid>
        <w:gridCol w:w="1323"/>
        <w:gridCol w:w="1165"/>
        <w:gridCol w:w="1171"/>
        <w:gridCol w:w="313"/>
        <w:gridCol w:w="1070"/>
        <w:gridCol w:w="161"/>
        <w:gridCol w:w="109"/>
        <w:gridCol w:w="109"/>
        <w:gridCol w:w="109"/>
        <w:gridCol w:w="233"/>
        <w:gridCol w:w="797"/>
        <w:gridCol w:w="170"/>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funds, at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reflects the composition of the assets held in trust and controlled by third parties to satisfy our future obligations related to the underlying preneed funeral contracts at December 31, 2022 and June 30, 2023. The cost basis includes reinvested interest and dividends that have been earned on the trust assets. Fair value includes unrealized gains and losses on trust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June 30, 2023 is as follows (in thousands):</w:t>
      </w:r>
      <w:r>
        <w:rPr>
          <w:color w:val="000000"/>
        </w:rPr>
        <w:t xml:space="preserve"> </w:t>
      </w:r>
    </w:p>
    <w:tbl>
      <w:tblPr>
        <w:tblW w:w="5319" w:type="dxa"/>
        <w:jc w:val="center"/>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December 31, 2022 is as follows (in thousands):</w:t>
      </w:r>
      <w:r>
        <w:rPr>
          <w:color w:val="000000"/>
        </w:rPr>
        <w:t xml:space="preserve"> </w:t>
      </w:r>
    </w:p>
    <w:tbl>
      <w:tblPr>
        <w:tblW w:w="5319" w:type="dxa"/>
        <w:jc w:val="left"/>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10.INTANGIBLE AND OTHER NON-CURRENT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are as follows (in thousands):</w:t>
      </w:r>
    </w:p>
    <w:tbl>
      <w:tblPr>
        <w:tblW w:w="10205" w:type="dxa"/>
        <w:jc w:val="left"/>
        <w:tblInd w:w="0" w:type="dxa"/>
        <w:tblLayout w:type="fixed"/>
        <w:tblCellMar>
          <w:top w:w="28" w:type="dxa"/>
          <w:left w:w="28" w:type="dxa"/>
          <w:bottom w:w="28" w:type="dxa"/>
          <w:right w:w="28" w:type="dxa"/>
        </w:tblCellMar>
      </w:tblPr>
      <w:tblGrid>
        <w:gridCol w:w="2684"/>
        <w:gridCol w:w="2298"/>
        <w:gridCol w:w="2316"/>
        <w:gridCol w:w="285"/>
        <w:gridCol w:w="976"/>
        <w:gridCol w:w="147"/>
        <w:gridCol w:w="109"/>
        <w:gridCol w:w="109"/>
        <w:gridCol w:w="109"/>
        <w:gridCol w:w="227"/>
        <w:gridCol w:w="776"/>
        <w:gridCol w:w="169"/>
      </w:tblGrid>
      <w:tr>
        <w:trPr/>
        <w:tc>
          <w:tcPr>
            <w:tcW w:w="268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 on preneed contracts, net of accumulated amortization of $2,990 and $3,375, respectively</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agreements not-to-compete, net of accumulated amortization of $3,515 and $3,576, respectively</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net of accumulated amortization of $200 and $300, respectively</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and other non-current assets, net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Tradenames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increased the value of our tradenames by $3.5 million, with $1.3 million allocated to our funeral home segment and $2.2 million allocated to our cemetery segment, related to our 2023 business combination, described in Note 3 to the Consolidated Financial Statements.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Capitalized Commissions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$174,000 and $196,000 for the three months ended June 30, 2022 and 2023, respectively and $344,000 and $385,000 for the six months ended June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Prepaid Agreements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agreements not-to-compete are amortized over the term of the respective agreements, generally ranging from one to ten years. Amortization expense was $142,000 and $131,000 for the three months ended June 30, 2022 and 2023, respectively and $290,000 and $262,000 for the six months ended June 30, 2022 and 2023, respectively.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Internal-use Software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is amortized on a straight-line basis typically over three to five years. Amortization expense was $55,000 and $72,000 for the three months ended June 30, 2022 and 2023, respectively and $111,000 and $134,000 for the six months ended June 30, 2022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our capitalized commissions, prepaid agreements and internal-use software as of June 30, 2023 is as follows (in thousands):</w:t>
      </w:r>
    </w:p>
    <w:tbl>
      <w:tblPr>
        <w:tblW w:w="9038" w:type="dxa"/>
        <w:jc w:val="left"/>
        <w:tblInd w:w="0" w:type="dxa"/>
        <w:tblLayout w:type="fixed"/>
        <w:tblCellMar>
          <w:top w:w="28" w:type="dxa"/>
          <w:left w:w="28" w:type="dxa"/>
          <w:bottom w:w="28" w:type="dxa"/>
          <w:right w:w="28" w:type="dxa"/>
        </w:tblCellMar>
      </w:tblPr>
      <w:tblGrid>
        <w:gridCol w:w="847"/>
        <w:gridCol w:w="744"/>
        <w:gridCol w:w="749"/>
        <w:gridCol w:w="506"/>
        <w:gridCol w:w="1481"/>
        <w:gridCol w:w="263"/>
        <w:gridCol w:w="109"/>
        <w:gridCol w:w="109"/>
        <w:gridCol w:w="109"/>
        <w:gridCol w:w="412"/>
        <w:gridCol w:w="1204"/>
        <w:gridCol w:w="214"/>
        <w:gridCol w:w="109"/>
        <w:gridCol w:w="109"/>
        <w:gridCol w:w="109"/>
        <w:gridCol w:w="421"/>
        <w:gridCol w:w="1233"/>
        <w:gridCol w:w="310"/>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Capitalized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Prepaid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Internal-use Software</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11.CREDIT FACILITY AND ACQUISITION DEBT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June 30, 2023, we were subject to the following financial covenants under our Credit Facility: (A) a Total Leverage Ratio not to exceed 6.00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as of June 30,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Facility and acquisition debt consisted of the following (in thousands):</w:t>
      </w:r>
    </w:p>
    <w:tbl>
      <w:tblPr>
        <w:tblW w:w="10205" w:type="dxa"/>
        <w:jc w:val="left"/>
        <w:tblInd w:w="0" w:type="dxa"/>
        <w:tblLayout w:type="fixed"/>
        <w:tblCellMar>
          <w:top w:w="28" w:type="dxa"/>
          <w:left w:w="28" w:type="dxa"/>
          <w:bottom w:w="28" w:type="dxa"/>
          <w:right w:w="28" w:type="dxa"/>
        </w:tblCellMar>
      </w:tblPr>
      <w:tblGrid>
        <w:gridCol w:w="2590"/>
        <w:gridCol w:w="2272"/>
        <w:gridCol w:w="2279"/>
        <w:gridCol w:w="282"/>
        <w:gridCol w:w="1107"/>
        <w:gridCol w:w="146"/>
        <w:gridCol w:w="109"/>
        <w:gridCol w:w="109"/>
        <w:gridCol w:w="109"/>
        <w:gridCol w:w="211"/>
        <w:gridCol w:w="831"/>
        <w:gridCol w:w="160"/>
      </w:tblGrid>
      <w:tr>
        <w:trPr/>
        <w:tc>
          <w:tcPr>
            <w:tcW w:w="259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7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$1,926 and $2,202, respectively</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Credit Facility</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debt, net of current portion</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we had outstanding borrowings under the Credit Facility of $204.0 million. We also had one letter of credit for $2.3 million under the Credit Facility. The letter of credit will expire on November 27, 2023 and is expected to automatically renew annually and secures our obligations under our various self-insured policies. At June 30, 2023, we had $43.7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the Bloomberg Short-Term Bank Yield Index (“BSBY”) rate, plus an applicable margin based on our leverage ratio. At June 30, 2023, the prime rate margin was equivalent to 2.625% and the BSBY rate margin was 3.625%. The weighted average interest rate on our Credit Facility was 2.9% and 8.6% for the three months ended June 30, 2022 and 2023, respectively and 2.5% and 8.3% for the six months ended June 30, 2022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9138" w:type="dxa"/>
        <w:jc w:val="left"/>
        <w:tblInd w:w="0" w:type="dxa"/>
        <w:tblLayout w:type="fixed"/>
        <w:tblCellMar>
          <w:top w:w="28" w:type="dxa"/>
          <w:left w:w="28" w:type="dxa"/>
          <w:bottom w:w="28" w:type="dxa"/>
          <w:right w:w="28" w:type="dxa"/>
        </w:tblCellMar>
      </w:tblPr>
      <w:tblGrid>
        <w:gridCol w:w="1516"/>
        <w:gridCol w:w="1329"/>
        <w:gridCol w:w="1340"/>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8478" w:type="dxa"/>
        <w:jc w:val="left"/>
        <w:tblInd w:w="0" w:type="dxa"/>
        <w:tblLayout w:type="fixed"/>
        <w:tblCellMar>
          <w:top w:w="28" w:type="dxa"/>
          <w:left w:w="28" w:type="dxa"/>
          <w:bottom w:w="28" w:type="dxa"/>
          <w:right w:w="28" w:type="dxa"/>
        </w:tblCellMar>
      </w:tblPr>
      <w:tblGrid>
        <w:gridCol w:w="1286"/>
        <w:gridCol w:w="1131"/>
        <w:gridCol w:w="1138"/>
        <w:gridCol w:w="298"/>
        <w:gridCol w:w="509"/>
        <w:gridCol w:w="153"/>
        <w:gridCol w:w="153"/>
        <w:gridCol w:w="153"/>
        <w:gridCol w:w="153"/>
        <w:gridCol w:w="298"/>
        <w:gridCol w:w="509"/>
        <w:gridCol w:w="153"/>
        <w:gridCol w:w="109"/>
        <w:gridCol w:w="109"/>
        <w:gridCol w:w="109"/>
        <w:gridCol w:w="241"/>
        <w:gridCol w:w="532"/>
        <w:gridCol w:w="124"/>
        <w:gridCol w:w="124"/>
        <w:gridCol w:w="124"/>
        <w:gridCol w:w="124"/>
        <w:gridCol w:w="241"/>
        <w:gridCol w:w="532"/>
        <w:gridCol w:w="175"/>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pPr>
      <w:r>
        <w:rPr>
          <w:rFonts w:ascii="Times New Roman;sans-serif" w:hAnsi="Times New Roman;sans-serif"/>
          <w:b/>
          <w:color w:val="000000"/>
          <w:sz w:val="20"/>
        </w:rPr>
        <w:t>12.</w:t>
      </w:r>
      <w:r>
        <w:rPr>
          <w:color w:val="000000"/>
        </w:rPr>
        <w:t xml:space="preserve"> </w:t>
      </w:r>
      <w:r>
        <w:rPr>
          <w:rFonts w:ascii="Times New Roman;sans-serif" w:hAnsi="Times New Roman;sans-serif"/>
          <w:b/>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our 4.25% senior notes due 2029 (the “Senior Notes”) is reflected on our Consolidated Balance Sheet as follows (in thousands): </w:t>
      </w:r>
    </w:p>
    <w:tbl>
      <w:tblPr>
        <w:tblW w:w="10045" w:type="dxa"/>
        <w:jc w:val="left"/>
        <w:tblInd w:w="0" w:type="dxa"/>
        <w:tblLayout w:type="fixed"/>
        <w:tblCellMar>
          <w:top w:w="28" w:type="dxa"/>
          <w:left w:w="28" w:type="dxa"/>
          <w:bottom w:w="28" w:type="dxa"/>
          <w:right w:w="28" w:type="dxa"/>
        </w:tblCellMar>
      </w:tblPr>
      <w:tblGrid>
        <w:gridCol w:w="2523"/>
        <w:gridCol w:w="2224"/>
        <w:gridCol w:w="2227"/>
        <w:gridCol w:w="284"/>
        <w:gridCol w:w="1114"/>
        <w:gridCol w:w="147"/>
        <w:gridCol w:w="109"/>
        <w:gridCol w:w="109"/>
        <w:gridCol w:w="109"/>
        <w:gridCol w:w="212"/>
        <w:gridCol w:w="832"/>
        <w:gridCol w:w="155"/>
      </w:tblGrid>
      <w:tr>
        <w:trPr/>
        <w:tc>
          <w:tcPr>
            <w:tcW w:w="252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net of accumulated amortization of $794 and $1,049, respectively</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$226 and $299, respectively</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the Senior Notes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395,243 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395,571 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the fair value of the Senior Notes, which are Level 2 measurements, was $343.1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8987" w:type="dxa"/>
        <w:jc w:val="left"/>
        <w:tblInd w:w="0" w:type="dxa"/>
        <w:tblLayout w:type="fixed"/>
        <w:tblCellMar>
          <w:top w:w="28" w:type="dxa"/>
          <w:left w:w="28" w:type="dxa"/>
          <w:bottom w:w="28" w:type="dxa"/>
          <w:right w:w="28" w:type="dxa"/>
        </w:tblCellMar>
      </w:tblPr>
      <w:tblGrid>
        <w:gridCol w:w="1463"/>
        <w:gridCol w:w="1280"/>
        <w:gridCol w:w="1291"/>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71 months of the Senior Notes. The effective interest rate on the unamortized debt discount and the unamortized debt issuance costs for the Senior Notes for both the three and six months ended June 30, 2022 and 2023 was 4.42% and 4.30%,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13.LEASES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related to real estate, equipment and vehicles. The components of lease cost are as follows (in thousands):</w:t>
      </w:r>
    </w:p>
    <w:tbl>
      <w:tblPr>
        <w:tblW w:w="10205" w:type="dxa"/>
        <w:jc w:val="left"/>
        <w:tblInd w:w="0" w:type="dxa"/>
        <w:tblLayout w:type="fixed"/>
        <w:tblCellMar>
          <w:top w:w="28" w:type="dxa"/>
          <w:left w:w="28" w:type="dxa"/>
          <w:bottom w:w="28" w:type="dxa"/>
          <w:right w:w="28" w:type="dxa"/>
        </w:tblCellMar>
      </w:tblPr>
      <w:tblGrid>
        <w:gridCol w:w="855"/>
        <w:gridCol w:w="730"/>
        <w:gridCol w:w="736"/>
        <w:gridCol w:w="875"/>
        <w:gridCol w:w="871"/>
        <w:gridCol w:w="873"/>
        <w:gridCol w:w="109"/>
        <w:gridCol w:w="109"/>
        <w:gridCol w:w="109"/>
        <w:gridCol w:w="226"/>
        <w:gridCol w:w="662"/>
        <w:gridCol w:w="117"/>
        <w:gridCol w:w="117"/>
        <w:gridCol w:w="117"/>
        <w:gridCol w:w="117"/>
        <w:gridCol w:w="226"/>
        <w:gridCol w:w="662"/>
        <w:gridCol w:w="117"/>
        <w:gridCol w:w="109"/>
        <w:gridCol w:w="109"/>
        <w:gridCol w:w="109"/>
        <w:gridCol w:w="211"/>
        <w:gridCol w:w="616"/>
        <w:gridCol w:w="109"/>
        <w:gridCol w:w="109"/>
        <w:gridCol w:w="109"/>
        <w:gridCol w:w="109"/>
        <w:gridCol w:w="211"/>
        <w:gridCol w:w="616"/>
        <w:gridCol w:w="160"/>
      </w:tblGrid>
      <w:tr>
        <w:trPr/>
        <w:tc>
          <w:tcPr>
            <w:tcW w:w="85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2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Facilities and grounds expense is included within </w:t>
            </w:r>
            <w:r>
              <w:rPr>
                <w:rFonts w:ascii="Times New Roman;sans-serif" w:hAnsi="Times New Roman;sans-serif"/>
                <w:b w:val="false"/>
                <w:i/>
                <w:color w:val="000000"/>
                <w:sz w:val="16"/>
              </w:rPr>
              <w:t>Cost of service</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Depreciation and amortization expense is included within </w:t>
            </w:r>
            <w:r>
              <w:rPr>
                <w:rFonts w:ascii="Times New Roman;sans-serif" w:hAnsi="Times New Roman;sans-serif"/>
                <w:b w:val="false"/>
                <w:i/>
                <w:color w:val="000000"/>
                <w:sz w:val="16"/>
              </w:rPr>
              <w:t>Field depreciation</w:t>
            </w:r>
            <w:r>
              <w:rPr>
                <w:color w:val="000000"/>
              </w:rPr>
              <w:t xml:space="preserve"> </w:t>
            </w:r>
            <w:r>
              <w:rPr>
                <w:rFonts w:ascii="Times New Roman;sans-serif" w:hAnsi="Times New Roman;sans-serif"/>
                <w:b w:val="false"/>
                <w:color w:val="000000"/>
                <w:sz w:val="16"/>
              </w:rPr>
              <w:t xml:space="preserve">expense 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our leases is as follows (in thousands):</w:t>
      </w:r>
    </w:p>
    <w:tbl>
      <w:tblPr>
        <w:tblW w:w="7388" w:type="dxa"/>
        <w:jc w:val="center"/>
        <w:tblInd w:w="0" w:type="dxa"/>
        <w:tblLayout w:type="fixed"/>
        <w:tblCellMar>
          <w:top w:w="28" w:type="dxa"/>
          <w:left w:w="28" w:type="dxa"/>
          <w:bottom w:w="28" w:type="dxa"/>
          <w:right w:w="28" w:type="dxa"/>
        </w:tblCellMar>
      </w:tblPr>
      <w:tblGrid>
        <w:gridCol w:w="1861"/>
        <w:gridCol w:w="1639"/>
        <w:gridCol w:w="1644"/>
        <w:gridCol w:w="211"/>
        <w:gridCol w:w="616"/>
        <w:gridCol w:w="109"/>
        <w:gridCol w:w="109"/>
        <w:gridCol w:w="109"/>
        <w:gridCol w:w="109"/>
        <w:gridCol w:w="211"/>
        <w:gridCol w:w="616"/>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 included in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leases is as follows (in thousands):</w:t>
      </w:r>
    </w:p>
    <w:tbl>
      <w:tblPr>
        <w:tblW w:w="8411" w:type="dxa"/>
        <w:jc w:val="left"/>
        <w:tblInd w:w="0" w:type="dxa"/>
        <w:tblLayout w:type="fixed"/>
        <w:tblCellMar>
          <w:top w:w="28" w:type="dxa"/>
          <w:left w:w="28" w:type="dxa"/>
          <w:bottom w:w="28" w:type="dxa"/>
          <w:right w:w="28" w:type="dxa"/>
        </w:tblCellMar>
      </w:tblPr>
      <w:tblGrid>
        <w:gridCol w:w="2242"/>
        <w:gridCol w:w="1971"/>
        <w:gridCol w:w="1982"/>
        <w:gridCol w:w="223"/>
        <w:gridCol w:w="494"/>
        <w:gridCol w:w="115"/>
        <w:gridCol w:w="115"/>
        <w:gridCol w:w="115"/>
        <w:gridCol w:w="115"/>
        <w:gridCol w:w="223"/>
        <w:gridCol w:w="653"/>
        <w:gridCol w:w="163"/>
      </w:tblGrid>
      <w:tr>
        <w:trPr/>
        <w:tc>
          <w:tcPr>
            <w:tcW w:w="224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10205" w:type="dxa"/>
        <w:jc w:val="center"/>
        <w:tblInd w:w="0" w:type="dxa"/>
        <w:tblLayout w:type="fixed"/>
        <w:tblCellMar>
          <w:top w:w="28" w:type="dxa"/>
          <w:left w:w="28" w:type="dxa"/>
          <w:bottom w:w="28" w:type="dxa"/>
          <w:right w:w="28" w:type="dxa"/>
        </w:tblCellMar>
      </w:tblPr>
      <w:tblGrid>
        <w:gridCol w:w="996"/>
        <w:gridCol w:w="847"/>
        <w:gridCol w:w="855"/>
        <w:gridCol w:w="109"/>
        <w:gridCol w:w="109"/>
        <w:gridCol w:w="109"/>
        <w:gridCol w:w="1310"/>
        <w:gridCol w:w="1310"/>
        <w:gridCol w:w="1313"/>
        <w:gridCol w:w="109"/>
        <w:gridCol w:w="109"/>
        <w:gridCol w:w="109"/>
        <w:gridCol w:w="287"/>
        <w:gridCol w:w="983"/>
        <w:gridCol w:w="148"/>
        <w:gridCol w:w="109"/>
        <w:gridCol w:w="109"/>
        <w:gridCol w:w="109"/>
        <w:gridCol w:w="227"/>
        <w:gridCol w:w="778"/>
        <w:gridCol w:w="170"/>
      </w:tblGrid>
      <w:tr>
        <w:trPr/>
        <w:tc>
          <w:tcPr>
            <w:tcW w:w="9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operating leases,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finance leases,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lease terms and discount rates at June 30, 2023 are as follows:</w:t>
      </w:r>
    </w:p>
    <w:tbl>
      <w:tblPr>
        <w:tblW w:w="8050" w:type="dxa"/>
        <w:jc w:val="left"/>
        <w:tblInd w:w="0" w:type="dxa"/>
        <w:tblLayout w:type="fixed"/>
        <w:tblCellMar>
          <w:top w:w="28" w:type="dxa"/>
          <w:left w:w="28" w:type="dxa"/>
          <w:bottom w:w="28" w:type="dxa"/>
          <w:right w:w="28" w:type="dxa"/>
        </w:tblCellMar>
      </w:tblPr>
      <w:tblGrid>
        <w:gridCol w:w="527"/>
        <w:gridCol w:w="462"/>
        <w:gridCol w:w="466"/>
        <w:gridCol w:w="1229"/>
        <w:gridCol w:w="1229"/>
        <w:gridCol w:w="1231"/>
        <w:gridCol w:w="109"/>
        <w:gridCol w:w="109"/>
        <w:gridCol w:w="109"/>
        <w:gridCol w:w="525"/>
        <w:gridCol w:w="525"/>
        <w:gridCol w:w="152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lease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discount rate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non-cancelable operating and finance leases at June 30, 2023 are as follows (in thousands):</w:t>
      </w:r>
    </w:p>
    <w:tbl>
      <w:tblPr>
        <w:tblW w:w="5033" w:type="dxa"/>
        <w:jc w:val="left"/>
        <w:tblInd w:w="0" w:type="dxa"/>
        <w:tblLayout w:type="fixed"/>
        <w:tblCellMar>
          <w:top w:w="28" w:type="dxa"/>
          <w:left w:w="28" w:type="dxa"/>
          <w:bottom w:w="28" w:type="dxa"/>
          <w:right w:w="28" w:type="dxa"/>
        </w:tblCellMar>
      </w:tblPr>
      <w:tblGrid>
        <w:gridCol w:w="971"/>
        <w:gridCol w:w="855"/>
        <w:gridCol w:w="858"/>
        <w:gridCol w:w="211"/>
        <w:gridCol w:w="721"/>
        <w:gridCol w:w="109"/>
        <w:gridCol w:w="109"/>
        <w:gridCol w:w="109"/>
        <w:gridCol w:w="10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due: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we had no significant operating or finance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pPr>
      <w:r>
        <w:rPr>
          <w:rFonts w:ascii="Times New Roman;sans-serif" w:hAnsi="Times New Roman;sans-serif"/>
          <w:b/>
          <w:color w:val="000000"/>
          <w:sz w:val="20"/>
        </w:rPr>
        <w:t>14.STOCKHOLDERS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activity is as follows (in thousands, except shares): </w:t>
      </w:r>
    </w:p>
    <w:tbl>
      <w:tblPr>
        <w:tblW w:w="10160" w:type="dxa"/>
        <w:jc w:val="left"/>
        <w:tblInd w:w="0" w:type="dxa"/>
        <w:tblLayout w:type="fixed"/>
        <w:tblCellMar>
          <w:top w:w="28" w:type="dxa"/>
          <w:left w:w="28" w:type="dxa"/>
          <w:bottom w:w="28" w:type="dxa"/>
          <w:right w:w="28" w:type="dxa"/>
        </w:tblCellMar>
      </w:tblPr>
      <w:tblGrid>
        <w:gridCol w:w="810"/>
        <w:gridCol w:w="711"/>
        <w:gridCol w:w="714"/>
        <w:gridCol w:w="233"/>
        <w:gridCol w:w="233"/>
        <w:gridCol w:w="211"/>
        <w:gridCol w:w="266"/>
        <w:gridCol w:w="512"/>
        <w:gridCol w:w="137"/>
        <w:gridCol w:w="109"/>
        <w:gridCol w:w="109"/>
        <w:gridCol w:w="109"/>
        <w:gridCol w:w="233"/>
        <w:gridCol w:w="233"/>
        <w:gridCol w:w="211"/>
        <w:gridCol w:w="266"/>
        <w:gridCol w:w="512"/>
        <w:gridCol w:w="137"/>
        <w:gridCol w:w="109"/>
        <w:gridCol w:w="109"/>
        <w:gridCol w:w="109"/>
        <w:gridCol w:w="308"/>
        <w:gridCol w:w="308"/>
        <w:gridCol w:w="211"/>
        <w:gridCol w:w="245"/>
        <w:gridCol w:w="543"/>
        <w:gridCol w:w="127"/>
        <w:gridCol w:w="109"/>
        <w:gridCol w:w="109"/>
        <w:gridCol w:w="109"/>
        <w:gridCol w:w="413"/>
        <w:gridCol w:w="413"/>
        <w:gridCol w:w="211"/>
        <w:gridCol w:w="211"/>
        <w:gridCol w:w="61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Restricted stock granted during the six months ended June 30 2023 vests over a three-year period, if the employee has remained continuously employed by us during the vesting period, at a weighted average stock price of $32.63.</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restricted stock awards of $40,000 and $394,000, for the three months ended June 30, 2022 and 2023, respectively and $97,000 and $572,000 for the six months ended June 30, 2022 and 2023, respectively.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grants and cancellations are as follows (in thousands, except shares): </w:t>
      </w:r>
    </w:p>
    <w:tbl>
      <w:tblPr>
        <w:tblW w:w="9612" w:type="dxa"/>
        <w:jc w:val="left"/>
        <w:tblInd w:w="0" w:type="dxa"/>
        <w:tblLayout w:type="fixed"/>
        <w:tblCellMar>
          <w:top w:w="28" w:type="dxa"/>
          <w:left w:w="28" w:type="dxa"/>
          <w:bottom w:w="28" w:type="dxa"/>
          <w:right w:w="28" w:type="dxa"/>
        </w:tblCellMar>
      </w:tblPr>
      <w:tblGrid>
        <w:gridCol w:w="342"/>
        <w:gridCol w:w="300"/>
        <w:gridCol w:w="304"/>
        <w:gridCol w:w="360"/>
        <w:gridCol w:w="361"/>
        <w:gridCol w:w="211"/>
        <w:gridCol w:w="245"/>
        <w:gridCol w:w="543"/>
        <w:gridCol w:w="127"/>
        <w:gridCol w:w="109"/>
        <w:gridCol w:w="109"/>
        <w:gridCol w:w="109"/>
        <w:gridCol w:w="360"/>
        <w:gridCol w:w="361"/>
        <w:gridCol w:w="211"/>
        <w:gridCol w:w="245"/>
        <w:gridCol w:w="543"/>
        <w:gridCol w:w="127"/>
        <w:gridCol w:w="109"/>
        <w:gridCol w:w="109"/>
        <w:gridCol w:w="109"/>
        <w:gridCol w:w="412"/>
        <w:gridCol w:w="414"/>
        <w:gridCol w:w="211"/>
        <w:gridCol w:w="211"/>
        <w:gridCol w:w="616"/>
        <w:gridCol w:w="109"/>
        <w:gridCol w:w="109"/>
        <w:gridCol w:w="109"/>
        <w:gridCol w:w="109"/>
        <w:gridCol w:w="413"/>
        <w:gridCol w:w="413"/>
        <w:gridCol w:w="211"/>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six months ended June 30, 2022 and 2023 had a weighted average price of $49.48 and $32.69, respectively. The fair value of these options was calculated using the Black-Scholes option pricing model. The options granted in 2022 vest over a five-year period and have a ten-year term. The options granted in 2023 vest over a three-year period and have a ten-year term. These options will vest if the employee has remained continuously employed by us through the vesting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six months ended June 30, 2022 had a weighted average price of $49.48. The fair value of these options was calculated using the Black-Scholes option pricing model and vest over a seven-year period and have a ten-year term. These options will vest if the employee has remained continuously employed by us through the vesting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options granted during the six months ended June 30, 2023 was estimated using the Black-Scholes option pricing model with the following assumptions:</w:t>
      </w:r>
    </w:p>
    <w:tbl>
      <w:tblPr>
        <w:tblW w:w="4819" w:type="dxa"/>
        <w:jc w:val="left"/>
        <w:tblInd w:w="0" w:type="dxa"/>
        <w:tblLayout w:type="fixed"/>
        <w:tblCellMar>
          <w:top w:w="28" w:type="dxa"/>
          <w:left w:w="28" w:type="dxa"/>
          <w:bottom w:w="28" w:type="dxa"/>
          <w:right w:w="28" w:type="dxa"/>
        </w:tblCellMar>
      </w:tblPr>
      <w:tblGrid>
        <w:gridCol w:w="986"/>
        <w:gridCol w:w="869"/>
        <w:gridCol w:w="875"/>
        <w:gridCol w:w="109"/>
        <w:gridCol w:w="109"/>
        <w:gridCol w:w="109"/>
        <w:gridCol w:w="109"/>
        <w:gridCol w:w="109"/>
        <w:gridCol w:w="452"/>
        <w:gridCol w:w="452"/>
        <w:gridCol w:w="640"/>
      </w:tblGrid>
      <w:tr>
        <w:trPr/>
        <w:tc>
          <w:tcPr>
            <w:tcW w:w="98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22, 2023</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holding period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Black-Scholes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option activity is as follows (in thousands, except shares): </w:t>
      </w:r>
    </w:p>
    <w:tbl>
      <w:tblPr>
        <w:tblW w:w="9711" w:type="dxa"/>
        <w:jc w:val="left"/>
        <w:tblInd w:w="0" w:type="dxa"/>
        <w:tblLayout w:type="fixed"/>
        <w:tblCellMar>
          <w:top w:w="28" w:type="dxa"/>
          <w:left w:w="28" w:type="dxa"/>
          <w:bottom w:w="28" w:type="dxa"/>
          <w:right w:w="28" w:type="dxa"/>
        </w:tblCellMar>
      </w:tblPr>
      <w:tblGrid>
        <w:gridCol w:w="869"/>
        <w:gridCol w:w="764"/>
        <w:gridCol w:w="766"/>
        <w:gridCol w:w="210"/>
        <w:gridCol w:w="210"/>
        <w:gridCol w:w="211"/>
        <w:gridCol w:w="211"/>
        <w:gridCol w:w="406"/>
        <w:gridCol w:w="109"/>
        <w:gridCol w:w="109"/>
        <w:gridCol w:w="109"/>
        <w:gridCol w:w="109"/>
        <w:gridCol w:w="360"/>
        <w:gridCol w:w="361"/>
        <w:gridCol w:w="211"/>
        <w:gridCol w:w="211"/>
        <w:gridCol w:w="406"/>
        <w:gridCol w:w="109"/>
        <w:gridCol w:w="109"/>
        <w:gridCol w:w="109"/>
        <w:gridCol w:w="109"/>
        <w:gridCol w:w="360"/>
        <w:gridCol w:w="361"/>
        <w:gridCol w:w="211"/>
        <w:gridCol w:w="211"/>
        <w:gridCol w:w="361"/>
        <w:gridCol w:w="109"/>
        <w:gridCol w:w="109"/>
        <w:gridCol w:w="109"/>
        <w:gridCol w:w="109"/>
        <w:gridCol w:w="360"/>
        <w:gridCol w:w="361"/>
        <w:gridCol w:w="211"/>
        <w:gridCol w:w="211"/>
        <w:gridCol w:w="40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option price</w:t>
            </w:r>
            <w:r>
              <w:rPr>
                <w:rFonts w:ascii="Times New Roman;sans-serif" w:hAnsi="Times New Roman;sans-serif"/>
                <w:b w:val="false"/>
                <w:color w:val="000000"/>
                <w:sz w:val="13"/>
              </w:rPr>
              <w:t>(2)</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payroll taxes</w:t>
            </w:r>
            <w:r>
              <w:rPr>
                <w:rFonts w:ascii="Times New Roman;sans-serif" w:hAnsi="Times New Roman;sans-serif"/>
                <w:b w:val="false"/>
                <w:color w:val="000000"/>
                <w:sz w:val="13"/>
              </w:rPr>
              <w:t>(3)</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Stock options exercised during the three months ended June 30, 2023 had a weighted average exercise price of $20.06 with an aggregate intrinsic value of $0.2 million. Stock options exercised during the six months ended June 30, 2022 and 2023 had a weighted average exercise price of $25.88 and $22.26, respectively, with an aggregate intrinsic value of $0.5 million and $0.3 million, respectively.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received for the payment of the option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paid for the payment of payroll taxes.</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stock options of $550,000 and $735,000, for the three months ended June 30, 2022 and 2023, respectively and $1,188,000 and $1,445,000 for the six months ended June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Awards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award activity is as follows (in thousands, except shares): </w:t>
      </w:r>
    </w:p>
    <w:tbl>
      <w:tblPr>
        <w:tblW w:w="9318" w:type="dxa"/>
        <w:jc w:val="left"/>
        <w:tblInd w:w="0" w:type="dxa"/>
        <w:tblLayout w:type="fixed"/>
        <w:tblCellMar>
          <w:top w:w="28" w:type="dxa"/>
          <w:left w:w="28" w:type="dxa"/>
          <w:bottom w:w="28" w:type="dxa"/>
          <w:right w:w="28" w:type="dxa"/>
        </w:tblCellMar>
      </w:tblPr>
      <w:tblGrid>
        <w:gridCol w:w="342"/>
        <w:gridCol w:w="301"/>
        <w:gridCol w:w="303"/>
        <w:gridCol w:w="360"/>
        <w:gridCol w:w="361"/>
        <w:gridCol w:w="211"/>
        <w:gridCol w:w="211"/>
        <w:gridCol w:w="616"/>
        <w:gridCol w:w="109"/>
        <w:gridCol w:w="109"/>
        <w:gridCol w:w="109"/>
        <w:gridCol w:w="109"/>
        <w:gridCol w:w="308"/>
        <w:gridCol w:w="308"/>
        <w:gridCol w:w="211"/>
        <w:gridCol w:w="266"/>
        <w:gridCol w:w="512"/>
        <w:gridCol w:w="137"/>
        <w:gridCol w:w="109"/>
        <w:gridCol w:w="109"/>
        <w:gridCol w:w="109"/>
        <w:gridCol w:w="360"/>
        <w:gridCol w:w="361"/>
        <w:gridCol w:w="211"/>
        <w:gridCol w:w="211"/>
        <w:gridCol w:w="616"/>
        <w:gridCol w:w="109"/>
        <w:gridCol w:w="109"/>
        <w:gridCol w:w="109"/>
        <w:gridCol w:w="109"/>
        <w:gridCol w:w="360"/>
        <w:gridCol w:w="361"/>
        <w:gridCol w:w="211"/>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performance awards of $637,000 and $665,000 for the three months ended June 30, 2022 and 2023, respectively and $1,203,000 and $728,000 for the six months ended June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is as follows (in thousands, except shares):</w:t>
      </w:r>
    </w:p>
    <w:tbl>
      <w:tblPr>
        <w:tblW w:w="9054" w:type="dxa"/>
        <w:jc w:val="left"/>
        <w:tblInd w:w="0" w:type="dxa"/>
        <w:tblLayout w:type="fixed"/>
        <w:tblCellMar>
          <w:top w:w="28" w:type="dxa"/>
          <w:left w:w="28" w:type="dxa"/>
          <w:bottom w:w="28" w:type="dxa"/>
          <w:right w:w="28" w:type="dxa"/>
        </w:tblCellMar>
      </w:tblPr>
      <w:tblGrid>
        <w:gridCol w:w="201"/>
        <w:gridCol w:w="177"/>
        <w:gridCol w:w="178"/>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61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right (option) to purchase shares under the ESPP is estimated at the date of purchase with the four quarterly purchase dates using the following assumptions: </w:t>
      </w:r>
    </w:p>
    <w:tbl>
      <w:tblPr>
        <w:tblW w:w="4364" w:type="dxa"/>
        <w:jc w:val="left"/>
        <w:tblInd w:w="0" w:type="dxa"/>
        <w:tblLayout w:type="fixed"/>
        <w:tblCellMar>
          <w:top w:w="28" w:type="dxa"/>
          <w:left w:w="28" w:type="dxa"/>
          <w:bottom w:w="28" w:type="dxa"/>
          <w:right w:w="28" w:type="dxa"/>
        </w:tblCellMar>
      </w:tblPr>
      <w:tblGrid>
        <w:gridCol w:w="668"/>
        <w:gridCol w:w="588"/>
        <w:gridCol w:w="589"/>
        <w:gridCol w:w="736"/>
        <w:gridCol w:w="736"/>
        <w:gridCol w:w="1047"/>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53.51%</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4.53%, 4.77%, 4.75%, 4.72%</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0.25, 0.50, 0.75, 1.00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 and Regional and unallocated funeral and cemetery costs</w:t>
      </w:r>
      <w:r>
        <w:rPr>
          <w:rFonts w:ascii="Times New Roman;sans-serif" w:hAnsi="Times New Roman;sans-serif"/>
          <w:b w:val="false"/>
          <w:color w:val="000000"/>
          <w:sz w:val="20"/>
        </w:rPr>
        <w:t>, for the ESPP totaling $152,000 and $163,000 for the three months ended June 30, 2022 and 2023, respectively and $351,000 and $415,000 for the six months ended June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Common Stock </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Former Employee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activity is as follows (in thousands, except shares): </w:t>
      </w:r>
    </w:p>
    <w:tbl>
      <w:tblPr>
        <w:tblW w:w="9746" w:type="dxa"/>
        <w:jc w:val="left"/>
        <w:tblInd w:w="0" w:type="dxa"/>
        <w:tblLayout w:type="fixed"/>
        <w:tblCellMar>
          <w:top w:w="28" w:type="dxa"/>
          <w:left w:w="28" w:type="dxa"/>
          <w:bottom w:w="28" w:type="dxa"/>
          <w:right w:w="28" w:type="dxa"/>
        </w:tblCellMar>
      </w:tblPr>
      <w:tblGrid>
        <w:gridCol w:w="810"/>
        <w:gridCol w:w="711"/>
        <w:gridCol w:w="714"/>
        <w:gridCol w:w="210"/>
        <w:gridCol w:w="210"/>
        <w:gridCol w:w="211"/>
        <w:gridCol w:w="266"/>
        <w:gridCol w:w="512"/>
        <w:gridCol w:w="137"/>
        <w:gridCol w:w="109"/>
        <w:gridCol w:w="109"/>
        <w:gridCol w:w="109"/>
        <w:gridCol w:w="210"/>
        <w:gridCol w:w="210"/>
        <w:gridCol w:w="211"/>
        <w:gridCol w:w="266"/>
        <w:gridCol w:w="512"/>
        <w:gridCol w:w="137"/>
        <w:gridCol w:w="109"/>
        <w:gridCol w:w="109"/>
        <w:gridCol w:w="109"/>
        <w:gridCol w:w="210"/>
        <w:gridCol w:w="210"/>
        <w:gridCol w:w="211"/>
        <w:gridCol w:w="266"/>
        <w:gridCol w:w="512"/>
        <w:gridCol w:w="137"/>
        <w:gridCol w:w="109"/>
        <w:gridCol w:w="109"/>
        <w:gridCol w:w="109"/>
        <w:gridCol w:w="360"/>
        <w:gridCol w:w="361"/>
        <w:gridCol w:w="211"/>
        <w:gridCol w:w="244"/>
        <w:gridCol w:w="538"/>
        <w:gridCol w:w="178"/>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six months ended June 30, 2023, we issued 30,000 shares of common stock to a former executive at a stock price of $27.54, in accordance with his Separation and Release agreement pertaining to his resignation from his position as the Company's Executive Vice President, Chief Financial Officer &amp; Treasurer effective January 2, 2023.</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common stock awards of $826,000, for the six months ended June 30, 2023.</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Good To Great Incentive Program</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issued 8,444 shares of our common stock to certain employees, which were valued at $0.3 million at a grant date stock price of $32.69. During the six months ended June 30, 2022, we issued 27,448 shares of our common stock to certain employees, which were valued at $1.4 million at a grant date stock price of $49.48.</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Non-Employee Director and Board Advisor Compensation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Non-Employee Director and Board Advisor common stock activity is as follows (in thousands, except shares): </w:t>
      </w:r>
    </w:p>
    <w:tbl>
      <w:tblPr>
        <w:tblW w:w="9978" w:type="dxa"/>
        <w:jc w:val="left"/>
        <w:tblInd w:w="0" w:type="dxa"/>
        <w:tblLayout w:type="fixed"/>
        <w:tblCellMar>
          <w:top w:w="28" w:type="dxa"/>
          <w:left w:w="28" w:type="dxa"/>
          <w:bottom w:w="28" w:type="dxa"/>
          <w:right w:w="28" w:type="dxa"/>
        </w:tblCellMar>
      </w:tblPr>
      <w:tblGrid>
        <w:gridCol w:w="716"/>
        <w:gridCol w:w="631"/>
        <w:gridCol w:w="633"/>
        <w:gridCol w:w="308"/>
        <w:gridCol w:w="308"/>
        <w:gridCol w:w="211"/>
        <w:gridCol w:w="283"/>
        <w:gridCol w:w="485"/>
        <w:gridCol w:w="146"/>
        <w:gridCol w:w="111"/>
        <w:gridCol w:w="111"/>
        <w:gridCol w:w="111"/>
        <w:gridCol w:w="308"/>
        <w:gridCol w:w="308"/>
        <w:gridCol w:w="211"/>
        <w:gridCol w:w="283"/>
        <w:gridCol w:w="485"/>
        <w:gridCol w:w="146"/>
        <w:gridCol w:w="109"/>
        <w:gridCol w:w="109"/>
        <w:gridCol w:w="109"/>
        <w:gridCol w:w="308"/>
        <w:gridCol w:w="308"/>
        <w:gridCol w:w="211"/>
        <w:gridCol w:w="245"/>
        <w:gridCol w:w="543"/>
        <w:gridCol w:w="127"/>
        <w:gridCol w:w="109"/>
        <w:gridCol w:w="109"/>
        <w:gridCol w:w="109"/>
        <w:gridCol w:w="308"/>
        <w:gridCol w:w="308"/>
        <w:gridCol w:w="211"/>
        <w:gridCol w:w="244"/>
        <w:gridCol w:w="538"/>
        <w:gridCol w:w="178"/>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Board of Directors</w:t>
            </w:r>
            <w:r>
              <w:rPr>
                <w:rFonts w:ascii="Times New Roman;sans-serif" w:hAnsi="Times New Roman;sans-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Advisor to the Board</w:t>
            </w:r>
            <w:r>
              <w:rPr>
                <w:rFonts w:ascii="Times New Roman;sans-serif" w:hAnsi="Times New Roman;sans-serif"/>
                <w:b w:val="false"/>
                <w:color w:val="000000"/>
                <w:sz w:val="13"/>
              </w:rPr>
              <w:t>(1)</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granted during the three months ended June 30, 2022 and 2023 had a weighted average price of $39.65 and $32.47, respectively and $46.83 and $31.01 for six months ended June 30, 2022 and 2023, respectively. </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2023, the Board elected Chad Fargason to serve as a Class II Director until the 2025 annual meeting of shareholders. Mr. Fargason was appointed to serve as the chairperson of the Corporate Governance Committee and a member of the Audit Committee. Concurrently with his appointment, the Board granted Mr. Fargason 910 shares of our common stock under our Director Compensation Policy, which were valued at approximately $25,000 based on the closing price on the grant date.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related to annual retainers, including the value of stock granted to non-employee Directors and an advisor to our Board, of $184,000 and $189,000 for the three months ended June 30, 2022 and 2023, respectively and $385,000 and $355,000 for the six months ended June 30, 2022 and 2023, respectively.</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is as follows (dollar value in thousands):</w:t>
      </w:r>
    </w:p>
    <w:tbl>
      <w:tblPr>
        <w:tblW w:w="7640" w:type="dxa"/>
        <w:jc w:val="left"/>
        <w:tblInd w:w="0" w:type="dxa"/>
        <w:tblLayout w:type="fixed"/>
        <w:tblCellMar>
          <w:top w:w="28" w:type="dxa"/>
          <w:left w:w="28" w:type="dxa"/>
          <w:bottom w:w="28" w:type="dxa"/>
          <w:right w:w="28" w:type="dxa"/>
        </w:tblCellMar>
      </w:tblPr>
      <w:tblGrid>
        <w:gridCol w:w="982"/>
        <w:gridCol w:w="865"/>
        <w:gridCol w:w="867"/>
        <w:gridCol w:w="253"/>
        <w:gridCol w:w="738"/>
        <w:gridCol w:w="130"/>
        <w:gridCol w:w="130"/>
        <w:gridCol w:w="130"/>
        <w:gridCol w:w="130"/>
        <w:gridCol w:w="253"/>
        <w:gridCol w:w="487"/>
        <w:gridCol w:w="130"/>
        <w:gridCol w:w="109"/>
        <w:gridCol w:w="109"/>
        <w:gridCol w:w="109"/>
        <w:gridCol w:w="219"/>
        <w:gridCol w:w="748"/>
        <w:gridCol w:w="113"/>
        <w:gridCol w:w="113"/>
        <w:gridCol w:w="113"/>
        <w:gridCol w:w="113"/>
        <w:gridCol w:w="219"/>
        <w:gridCol w:w="421"/>
        <w:gridCol w:w="159"/>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Repurchased</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 Value of Shares Repurchased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June 30, 2023, our share repurchase program had $48.9 million authorized for repurchases.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347" w:type="dxa"/>
        <w:jc w:val="left"/>
        <w:tblInd w:w="0" w:type="dxa"/>
        <w:tblLayout w:type="fixed"/>
        <w:tblCellMar>
          <w:top w:w="28" w:type="dxa"/>
          <w:left w:w="28" w:type="dxa"/>
          <w:bottom w:w="28" w:type="dxa"/>
          <w:right w:w="28" w:type="dxa"/>
        </w:tblCellMar>
      </w:tblPr>
      <w:tblGrid>
        <w:gridCol w:w="324"/>
        <w:gridCol w:w="285"/>
        <w:gridCol w:w="290"/>
        <w:gridCol w:w="211"/>
        <w:gridCol w:w="721"/>
        <w:gridCol w:w="109"/>
        <w:gridCol w:w="109"/>
        <w:gridCol w:w="109"/>
        <w:gridCol w:w="109"/>
        <w:gridCol w:w="232"/>
        <w:gridCol w:w="679"/>
        <w:gridCol w:w="169"/>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15.EARNINGS PER SHARE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basic and diluted earnings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881"/>
        <w:gridCol w:w="1591"/>
        <w:gridCol w:w="1600"/>
        <w:gridCol w:w="215"/>
        <w:gridCol w:w="736"/>
        <w:gridCol w:w="110"/>
        <w:gridCol w:w="110"/>
        <w:gridCol w:w="110"/>
        <w:gridCol w:w="110"/>
        <w:gridCol w:w="215"/>
        <w:gridCol w:w="628"/>
        <w:gridCol w:w="110"/>
        <w:gridCol w:w="109"/>
        <w:gridCol w:w="109"/>
        <w:gridCol w:w="109"/>
        <w:gridCol w:w="211"/>
        <w:gridCol w:w="721"/>
        <w:gridCol w:w="109"/>
        <w:gridCol w:w="109"/>
        <w:gridCol w:w="109"/>
        <w:gridCol w:w="109"/>
        <w:gridCol w:w="211"/>
        <w:gridCol w:w="721"/>
        <w:gridCol w:w="162"/>
      </w:tblGrid>
      <w:tr>
        <w:trPr/>
        <w:tc>
          <w:tcPr>
            <w:tcW w:w="188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earnings per share:</w:t>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restricted stock</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stockholders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common share - weighted average shares outstanding</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common share - weighted average shares outstanding</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excluded from the computation of diluted earnings per share because the inclusion of such stock options would result in an antidilutive effect are as follows: </w:t>
      </w:r>
    </w:p>
    <w:tbl>
      <w:tblPr>
        <w:tblW w:w="8806" w:type="dxa"/>
        <w:jc w:val="left"/>
        <w:tblInd w:w="0" w:type="dxa"/>
        <w:tblLayout w:type="fixed"/>
        <w:tblCellMar>
          <w:top w:w="28" w:type="dxa"/>
          <w:left w:w="28" w:type="dxa"/>
          <w:bottom w:w="28" w:type="dxa"/>
          <w:right w:w="28" w:type="dxa"/>
        </w:tblCellMar>
      </w:tblPr>
      <w:tblGrid>
        <w:gridCol w:w="821"/>
        <w:gridCol w:w="720"/>
        <w:gridCol w:w="724"/>
        <w:gridCol w:w="573"/>
        <w:gridCol w:w="265"/>
        <w:gridCol w:w="265"/>
        <w:gridCol w:w="265"/>
        <w:gridCol w:w="265"/>
        <w:gridCol w:w="265"/>
        <w:gridCol w:w="678"/>
        <w:gridCol w:w="298"/>
        <w:gridCol w:w="265"/>
        <w:gridCol w:w="109"/>
        <w:gridCol w:w="109"/>
        <w:gridCol w:w="109"/>
        <w:gridCol w:w="543"/>
        <w:gridCol w:w="283"/>
        <w:gridCol w:w="235"/>
        <w:gridCol w:w="235"/>
        <w:gridCol w:w="235"/>
        <w:gridCol w:w="235"/>
        <w:gridCol w:w="642"/>
        <w:gridCol w:w="334"/>
        <w:gridCol w:w="333"/>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2020</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366,038 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1,236,490 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259,359 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1,183,146 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awards are considered to be contingently issuable shares because their issuance is contingent upon the satisfaction of certain performance and service conditions. At June 30, 2023,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16.SEGMENT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major source for each of our reportable segments was as follows (in thousands):</w:t>
      </w:r>
    </w:p>
    <w:tbl>
      <w:tblPr>
        <w:tblW w:w="6954" w:type="dxa"/>
        <w:jc w:val="center"/>
        <w:tblInd w:w="0" w:type="dxa"/>
        <w:tblLayout w:type="fixed"/>
        <w:tblCellMar>
          <w:top w:w="28" w:type="dxa"/>
          <w:left w:w="28" w:type="dxa"/>
          <w:bottom w:w="28" w:type="dxa"/>
          <w:right w:w="28" w:type="dxa"/>
        </w:tblCellMar>
      </w:tblPr>
      <w:tblGrid>
        <w:gridCol w:w="1013"/>
        <w:gridCol w:w="894"/>
        <w:gridCol w:w="89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tbl>
      <w:tblPr>
        <w:tblW w:w="6954" w:type="dxa"/>
        <w:jc w:val="center"/>
        <w:tblInd w:w="0" w:type="dxa"/>
        <w:tblLayout w:type="fixed"/>
        <w:tblCellMar>
          <w:top w:w="28" w:type="dxa"/>
          <w:left w:w="28" w:type="dxa"/>
          <w:bottom w:w="28" w:type="dxa"/>
          <w:right w:w="28" w:type="dxa"/>
        </w:tblCellMar>
      </w:tblPr>
      <w:tblGrid>
        <w:gridCol w:w="1013"/>
        <w:gridCol w:w="894"/>
        <w:gridCol w:w="89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54" w:type="dxa"/>
        <w:jc w:val="center"/>
        <w:tblInd w:w="0" w:type="dxa"/>
        <w:tblLayout w:type="fixed"/>
        <w:tblCellMar>
          <w:top w:w="28" w:type="dxa"/>
          <w:left w:w="28" w:type="dxa"/>
          <w:bottom w:w="28" w:type="dxa"/>
          <w:right w:w="28" w:type="dxa"/>
        </w:tblCellMar>
      </w:tblPr>
      <w:tblGrid>
        <w:gridCol w:w="937"/>
        <w:gridCol w:w="827"/>
        <w:gridCol w:w="831"/>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954" w:type="dxa"/>
        <w:jc w:val="center"/>
        <w:tblInd w:w="0" w:type="dxa"/>
        <w:tblLayout w:type="fixed"/>
        <w:tblCellMar>
          <w:top w:w="28" w:type="dxa"/>
          <w:left w:w="28" w:type="dxa"/>
          <w:bottom w:w="28" w:type="dxa"/>
          <w:right w:w="28" w:type="dxa"/>
        </w:tblCellMar>
      </w:tblPr>
      <w:tblGrid>
        <w:gridCol w:w="937"/>
        <w:gridCol w:w="827"/>
        <w:gridCol w:w="831"/>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presents operating income (loss), income (loss) before income taxes and total assets (in thousands):</w:t>
      </w:r>
      <w:r>
        <w:rPr>
          <w:color w:val="000000"/>
        </w:rPr>
        <w:t> </w:t>
      </w:r>
    </w:p>
    <w:tbl>
      <w:tblPr>
        <w:tblW w:w="8684" w:type="dxa"/>
        <w:jc w:val="center"/>
        <w:tblInd w:w="0" w:type="dxa"/>
        <w:tblLayout w:type="fixed"/>
        <w:tblCellMar>
          <w:top w:w="28" w:type="dxa"/>
          <w:left w:w="28" w:type="dxa"/>
          <w:bottom w:w="28" w:type="dxa"/>
          <w:right w:w="28" w:type="dxa"/>
        </w:tblCellMar>
      </w:tblPr>
      <w:tblGrid>
        <w:gridCol w:w="1069"/>
        <w:gridCol w:w="939"/>
        <w:gridCol w:w="946"/>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97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17.SUPPLEMENTARY DATA</w:t>
      </w:r>
    </w:p>
    <w:p>
      <w:pPr>
        <w:pStyle w:val="TextBody"/>
        <w:bidi w:val="0"/>
        <w:spacing w:lineRule="auto" w:line="288" w:before="80" w:after="120"/>
        <w:jc w:val="left"/>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detail of certain balance sheet accounts (in thousands): </w:t>
      </w:r>
    </w:p>
    <w:tbl>
      <w:tblPr>
        <w:tblW w:w="7270" w:type="dxa"/>
        <w:jc w:val="center"/>
        <w:tblInd w:w="0" w:type="dxa"/>
        <w:tblLayout w:type="fixed"/>
        <w:tblCellMar>
          <w:top w:w="28" w:type="dxa"/>
          <w:left w:w="28" w:type="dxa"/>
          <w:bottom w:w="28" w:type="dxa"/>
          <w:right w:w="28" w:type="dxa"/>
        </w:tblCellMar>
      </w:tblPr>
      <w:tblGrid>
        <w:gridCol w:w="1519"/>
        <w:gridCol w:w="1335"/>
        <w:gridCol w:w="1345"/>
        <w:gridCol w:w="313"/>
        <w:gridCol w:w="1070"/>
        <w:gridCol w:w="161"/>
        <w:gridCol w:w="109"/>
        <w:gridCol w:w="109"/>
        <w:gridCol w:w="109"/>
        <w:gridCol w:w="233"/>
        <w:gridCol w:w="797"/>
        <w:gridCol w:w="170"/>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taxes receivable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portion of debt and lease obligations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meetings and award trips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and franchise taxes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care trust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liabilities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Incentive compensation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120"/>
        <w:jc w:val="left"/>
        <w:rPr>
          <w:rFonts w:ascii="Times New Roman;sans-serif" w:hAnsi="Times New Roman;sans-serif"/>
          <w:b/>
          <w:i/>
          <w:color w:val="000000"/>
          <w:sz w:val="20"/>
        </w:rPr>
      </w:pPr>
      <w:r>
        <w:rPr>
          <w:rFonts w:ascii="Times New Roman;sans-serif" w:hAnsi="Times New Roman;sans-serif"/>
          <w:b/>
          <w:i/>
          <w:color w:val="000000"/>
          <w:sz w:val="20"/>
        </w:rPr>
        <w:t>Cash Flow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supplemental disclosure for the Consolidated Statements of Cash Flows (in thousands):</w:t>
      </w:r>
    </w:p>
    <w:tbl>
      <w:tblPr>
        <w:tblW w:w="4343" w:type="dxa"/>
        <w:jc w:val="center"/>
        <w:tblInd w:w="0" w:type="dxa"/>
        <w:tblLayout w:type="fixed"/>
        <w:tblCellMar>
          <w:top w:w="28" w:type="dxa"/>
          <w:left w:w="28" w:type="dxa"/>
          <w:bottom w:w="28" w:type="dxa"/>
          <w:right w:w="28" w:type="dxa"/>
        </w:tblCellMar>
      </w:tblPr>
      <w:tblGrid>
        <w:gridCol w:w="684"/>
        <w:gridCol w:w="600"/>
        <w:gridCol w:w="605"/>
        <w:gridCol w:w="211"/>
        <w:gridCol w:w="721"/>
        <w:gridCol w:w="109"/>
        <w:gridCol w:w="109"/>
        <w:gridCol w:w="109"/>
        <w:gridCol w:w="109"/>
        <w:gridCol w:w="211"/>
        <w:gridCol w:w="72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ON FORWARD-LOOKING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overhead, including talent recruitment, field and corporate incentive compensation, or other financial items; any statements of the plans, strategies and objectives of management for future operations or financing activities, including, but not limited to, capital allocation, the ability to obtain credit or financing, organizational performance, anticipated integration, performance and other benefits of recently completed and anticipated acquisitions, and cost and debt reductions; any statements of the plans, timing and objectives of management for acquisition and divestiture activities; any statements regarding future economic and market conditions or performance; any statements regarding the timing of the strategic alternatives review; the outcome of the strategic alternatives review, including whether any transaction occurs, at all;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our growth strategy,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and meet the objectives of our High Performance and Credit Profile Restoration Plan,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execution of our Standards Operating, 4E Leadership and Strategic Acquisition Models;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the number of deaths in our markets;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fluctuations in interest rates;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meet the projected financial and equity performance goals to our updated full year outlook, if at all;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timely and full payment of death benefits related to preneed funeral contracts funded through life insurance contracts;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financial condition of third-party insurance companies that fund our preneed funeral contracts;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level of indebtedness and the cash required to service our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federal income tax laws and regulations and the implementation and interpretation of these laws and regulations by the Internal Revenue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impact of epidemics and pandemics, such as the COVID-19 coronavirus,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government, social, business and other actions that have been and will be taken in response to pandemics and epidemics, such as the COVID-19 coronavirus,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consolidation of the funeral and cemetery industry;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identify and consummate strategic acquisitions, if at all, and successfully integrate acquired businesses with our existing businesses, including expected performance and financial improvements related thereto;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potential adverse impacts resulting from our recent announcement regarding our board of directors’ review of potential strategic alternatives for the Company;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economic, financial and stock market fluctuations;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adverse developments affecting the financial services industry;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acts of war or terrorists acts and the governmental or military response to such 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was incorporated in the State of Delaware in December 1993 and is a leading provider of funeral and cemetery services and merchandise in the United States. We operate in two business segments: Funeral Home operations, which currently accounts for approximately 70% of our total revenue, and Cemetery operations, which currently accounts for approximately 30% of our total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we operated 172 funeral homes in 26 states and 32 cemeteries in 11 states. We compete with other publicly held, privately held and independent operators of funeral and cemetery companies.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Our funeral homes offer a complete range of high value personal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cemeteries provide interment rights (primarily grave sites, lawn crypts, mausoleum spaces and niches), related cemetery merchandise (such as memorial markers, outer burial containers and monuments) and services (interments, inurnments and installation of cemetery merchandise).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funeral and cemetery services and products on both an “atneed” (time of death) and “preneed” (planned prior to death) basis.</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of Directors - Resignation; Election; and Review of Potential Strategic Alternatives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2023, Dr. Achille Messac, a member of our Board of Directors (the “Board”), provided notice of his resignation from the Board, effective on that date. Dr. Messac’s resignation was not a result of any disagreement with the Company on any matter related to its operations, policies or practices.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2023, the Board elected Chad Fargason to serve as a Class II Director until the Company’s 2025 annual meeting of shareholders. Mr. Fargason was appointed to serve on the Audit Committee, along with being appointed Chairman of the Corporate Governance Committee.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29, 2023, the Board announced it had initiated a process to explore potential strategic alternatives, possibly including a sale, merger or other potential strategic or financial transaction, to maximize shareholder value.</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Leadership Changes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2023, the Board appointed Carlos R. Quezada, to serve as Chief Executive Officer (“CEO”), effective on that date, as part of a planned succession of Melvin C. Payne, founder and former CEO. Concurrently with the appointment of Mr. Quezada as CEO, Mr. Payne stepped down as CEO and the Board approved his appointment as Executive Chairman of the Board, effective on that date.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2023, the Board appointed Steven D. Metzger, to serve as President, along with remaining in his role as Secretary, effective on that date.</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Strategic Partnership Agreement</w:t>
      </w:r>
    </w:p>
    <w:p>
      <w:pPr>
        <w:pStyle w:val="TextBody"/>
        <w:bidi w:val="0"/>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we received a $6.0 million incentive payment from a vendor for entering into a strategic partnership agreement to market and sell prearranged funeral services in the future.</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Inflationary and Macroeconomic Trends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2023, we continued to experience modest cost increases and surcharges from our vendors and suppliers on merchandise and goods due to increases in the cost of raw materials, as well as broader inflationary, and global supply chain impacts, along with rising interest rates. For example, we experienced higher costs related to full-time hourly base rates, utilities, funeral supplies, merchandise costs, insurance, and increased borrowing costs under our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taken steps to mitigate these cost increases and we expect these impacts to continue throughout the current year, the ultimate scope and duration of these impacts are unknown at this time. More broadly, the U.S. economy continues to experience higher rates of inflation, which has impacted a wide variety of industries and sectors, with consumers facing rising prices. Such inflation may negatively impact consumers or discretionary spending, including the amount that consumers are able to spend on our services, although we have not experienced such impacts to date and our industry has been largely resilient to similar adverse economic and market environments in the past. Although we expect these trends to continue throughout the current year, we will continue to assess these impacts and take the appropriate steps, if necessary, to mitigate these cost increases, if possible.</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Funeral Home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funeral homes offer a complete range of high value personal services to meet a family’s funeral needs, including consultation, the removal and preparation of remains, the sale of caskets and related funeral merchandise, the use of funeral home facilities for visitation and memorial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 </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Cemetery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cemeteries provide interment rights (primarily grave sites, lawn crypts, mausoleum spaces and niches) and related cemetery merchandise (such as memorial markers, outer burial containers and monuments) and services (interments, inurnments and installation of cemetery merchandise)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 </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Business Strategy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is based on strong, local leadership with entrepreneurial principles that is focused on sustainable long term market share, revenue and profitability growth in each local business. We believe Carriage has the most innovative operating model in the funeral and cemetery industry, which we are able to achieve through a decentralized, high-performance culture and operating framework linked with incentive compensation programs that attract top quality industry talent to our organization. We also believe that Carriage provides a unique consolidation and operating framework that offers a highly attractive succession planning solution for independent funeral home owners who want their legacy family business to remain operationally prosperous in their local communities.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w:t>
      </w:r>
      <w:r>
        <w:rPr>
          <w:rFonts w:ascii="Times New Roman;sans-serif" w:hAnsi="Times New Roman;sans-serif"/>
          <w:b/>
          <w:color w:val="000000"/>
          <w:sz w:val="20"/>
        </w:rPr>
        <w:t>Mission Statement</w:t>
      </w:r>
      <w:r>
        <w:rPr>
          <w:color w:val="000000"/>
        </w:rPr>
        <w:t xml:space="preserve"> </w:t>
      </w:r>
      <w:r>
        <w:rPr>
          <w:rFonts w:ascii="Times New Roman;sans-serif" w:hAnsi="Times New Roman;sans-serif"/>
          <w:b w:val="false"/>
          <w:color w:val="000000"/>
          <w:sz w:val="20"/>
        </w:rPr>
        <w:t xml:space="preserve">states that “we are committed to being the most professional, ethical and highest quality funeral and cemetery service organization in our industry” and our </w:t>
      </w:r>
      <w:r>
        <w:rPr>
          <w:rFonts w:ascii="Times New Roman;sans-serif" w:hAnsi="Times New Roman;sans-serif"/>
          <w:b/>
          <w:color w:val="000000"/>
          <w:sz w:val="20"/>
        </w:rPr>
        <w:t>Guiding Principles</w:t>
      </w:r>
      <w:r>
        <w:rPr>
          <w:color w:val="000000"/>
        </w:rPr>
        <w:t xml:space="preserve"> </w:t>
      </w:r>
      <w:r>
        <w:rPr>
          <w:rFonts w:ascii="Times New Roman;sans-serif" w:hAnsi="Times New Roman;sans-serif"/>
          <w:b w:val="false"/>
          <w:color w:val="000000"/>
          <w:sz w:val="20"/>
        </w:rPr>
        <w:t>state our core values, which are comprised of:</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Honesty, integrity and quality in all that we do;</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Hard work, pride of accomplishment, and shared success through employee ownership;</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Belief in the power of people through individual initiative and teamwork;</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Outstanding service and profitability go hand-in-hand; and</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Growth of the Company is driven by decentralization and partnership.</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five </w:t>
      </w:r>
      <w:r>
        <w:rPr>
          <w:rFonts w:ascii="Times New Roman;sans-serif" w:hAnsi="Times New Roman;sans-serif"/>
          <w:b/>
          <w:color w:val="000000"/>
          <w:sz w:val="20"/>
        </w:rPr>
        <w:t>Guiding Principles</w:t>
      </w:r>
      <w:r>
        <w:rPr>
          <w:color w:val="000000"/>
        </w:rPr>
        <w:t xml:space="preserve"> </w:t>
      </w:r>
      <w:r>
        <w:rPr>
          <w:rFonts w:ascii="Times New Roman;sans-serif" w:hAnsi="Times New Roman;sans-serif"/>
          <w:b w:val="false"/>
          <w:color w:val="000000"/>
          <w:sz w:val="20"/>
        </w:rPr>
        <w:t xml:space="preserve">collectively embody our </w:t>
      </w:r>
      <w:r>
        <w:rPr>
          <w:rFonts w:ascii="Times New Roman;sans-serif" w:hAnsi="Times New Roman;sans-serif"/>
          <w:b/>
          <w:color w:val="000000"/>
          <w:sz w:val="20"/>
        </w:rPr>
        <w:t>Being The Best</w:t>
      </w:r>
      <w:r>
        <w:rPr>
          <w:color w:val="000000"/>
        </w:rPr>
        <w:t xml:space="preserve"> </w:t>
      </w:r>
      <w:r>
        <w:rPr>
          <w:rFonts w:ascii="Times New Roman;sans-serif" w:hAnsi="Times New Roman;sans-serif"/>
          <w:b w:val="false"/>
          <w:color w:val="000000"/>
          <w:sz w:val="20"/>
        </w:rPr>
        <w:t>high-performance culture and operating framework. Our operations and business strategy are built upon the execution of the following three models: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Standards Operating Model;</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4E Leadership Model; and</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Strategic Acquisition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Standards Operating Model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 </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4E Leadership Model</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Leadership qualities essential to succeed in a high performance culture: </w:t>
      </w:r>
      <w:r>
        <w:rPr>
          <w:rFonts w:ascii="Times New Roman;sans-serif" w:hAnsi="Times New Roman;sans-serif"/>
          <w:b w:val="false"/>
          <w:i/>
          <w:color w:val="000000"/>
          <w:sz w:val="20"/>
        </w:rPr>
        <w:t>Energy</w:t>
      </w:r>
      <w:r>
        <w:rPr>
          <w:color w:val="000000"/>
        </w:rPr>
        <w:t xml:space="preserve"> </w:t>
      </w:r>
      <w:r>
        <w:rPr>
          <w:rFonts w:ascii="Times New Roman;sans-serif" w:hAnsi="Times New Roman;sans-serif"/>
          <w:b w:val="false"/>
          <w:color w:val="000000"/>
          <w:sz w:val="20"/>
        </w:rPr>
        <w:t xml:space="preserve">to get the job done; the ability to </w:t>
      </w:r>
      <w:r>
        <w:rPr>
          <w:rFonts w:ascii="Times New Roman;sans-serif" w:hAnsi="Times New Roman;sans-serif"/>
          <w:b w:val="false"/>
          <w:i/>
          <w:color w:val="000000"/>
          <w:sz w:val="20"/>
        </w:rPr>
        <w:t>Energiz</w:t>
      </w:r>
      <w:r>
        <w:rPr>
          <w:rFonts w:ascii="Times New Roman;sans-serif" w:hAnsi="Times New Roman;sans-serif"/>
          <w:b w:val="false"/>
          <w:color w:val="000000"/>
          <w:sz w:val="20"/>
        </w:rPr>
        <w:t xml:space="preserve">e others; the </w:t>
      </w:r>
      <w:r>
        <w:rPr>
          <w:rFonts w:ascii="Times New Roman;sans-serif" w:hAnsi="Times New Roman;sans-serif"/>
          <w:b w:val="false"/>
          <w:i/>
          <w:color w:val="000000"/>
          <w:sz w:val="20"/>
        </w:rPr>
        <w:t>Edge</w:t>
      </w:r>
      <w:r>
        <w:rPr>
          <w:color w:val="000000"/>
        </w:rPr>
        <w:t xml:space="preserve"> </w:t>
      </w:r>
      <w:r>
        <w:rPr>
          <w:rFonts w:ascii="Times New Roman;sans-serif" w:hAnsi="Times New Roman;sans-serif"/>
          <w:b w:val="false"/>
          <w:color w:val="000000"/>
          <w:sz w:val="20"/>
        </w:rPr>
        <w:t xml:space="preserve">necessary to make difficult decisions; and the ability to </w:t>
      </w:r>
      <w:r>
        <w:rPr>
          <w:rFonts w:ascii="Times New Roman;sans-serif" w:hAnsi="Times New Roman;sans-serif"/>
          <w:b w:val="false"/>
          <w:i/>
          <w:color w:val="000000"/>
          <w:sz w:val="20"/>
        </w:rPr>
        <w:t>Execute</w:t>
      </w:r>
      <w:r>
        <w:rPr>
          <w:color w:val="000000"/>
        </w:rPr>
        <w:t xml:space="preserve"> </w:t>
      </w:r>
      <w:r>
        <w:rPr>
          <w:rFonts w:ascii="Times New Roman;sans-serif" w:hAnsi="Times New Roman;sans-serif"/>
          <w:b w:val="false"/>
          <w:color w:val="000000"/>
          <w:sz w:val="20"/>
        </w:rPr>
        <w:t xml:space="preserve">and produce results. To achieve a high level within our Standards in a business year after year, we require our local Managing Partners that have the 4E Leadership skills to entrepreneurially grow the business by hiring, training and developing highly motivated and productive local teams. </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Strategic Acquisition Model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 in growing markets.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learned that the long-term growth or decline of a local branded funeral and cemetery business is reflected by several criteria that correlate strongly with five-to-ten-year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belief in our </w:t>
      </w:r>
      <w:r>
        <w:rPr>
          <w:rFonts w:ascii="Times New Roman;sans-serif" w:hAnsi="Times New Roman;sans-serif"/>
          <w:b/>
          <w:color w:val="000000"/>
          <w:sz w:val="20"/>
        </w:rPr>
        <w:t>Mission Statement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Guiding Principles</w:t>
      </w:r>
      <w:r>
        <w:rPr>
          <w:color w:val="000000"/>
        </w:rPr>
        <w:t xml:space="preserve"> </w:t>
      </w:r>
      <w:r>
        <w:rPr>
          <w:rFonts w:ascii="Times New Roman;sans-serif" w:hAnsi="Times New Roman;sans-serif"/>
          <w:b w:val="false"/>
          <w:color w:val="000000"/>
          <w:sz w:val="20"/>
        </w:rPr>
        <w:t>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and capital resources are internally generated cash flows from operating activities and availability under our Credit Facility (defined below).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plan is to remain focused on integrating our recently acquired businesses and prioritizing our capital allocation for debt repayments, the payment of dividends and debt obligations and internal growth capital expenditures, which we expect to fund using cash on hand and borrowings under our Credit Facility, along with general corporate purposes, as allowed under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and dividends for the next 12 months, as well as our long-term financial obligations.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2023 with $1.2 million in cash and ended the second quarter with $1.0 million in cash. At June 30, 2023, we had borrowings of $204.0 million outstanding on our Credit Facility compared to $190.7 million at December 31,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elements of cash flow (in thousands):</w:t>
      </w:r>
    </w:p>
    <w:tbl>
      <w:tblPr>
        <w:tblW w:w="9233" w:type="dxa"/>
        <w:jc w:val="left"/>
        <w:tblInd w:w="0" w:type="dxa"/>
        <w:tblLayout w:type="fixed"/>
        <w:tblCellMar>
          <w:top w:w="28" w:type="dxa"/>
          <w:left w:w="28" w:type="dxa"/>
          <w:bottom w:w="28" w:type="dxa"/>
          <w:right w:w="28" w:type="dxa"/>
        </w:tblCellMar>
      </w:tblPr>
      <w:tblGrid>
        <w:gridCol w:w="2531"/>
        <w:gridCol w:w="2224"/>
        <w:gridCol w:w="2234"/>
        <w:gridCol w:w="211"/>
        <w:gridCol w:w="616"/>
        <w:gridCol w:w="109"/>
        <w:gridCol w:w="109"/>
        <w:gridCol w:w="109"/>
        <w:gridCol w:w="109"/>
        <w:gridCol w:w="211"/>
        <w:gridCol w:w="616"/>
        <w:gridCol w:w="154"/>
      </w:tblGrid>
      <w:tr>
        <w:trPr/>
        <w:tc>
          <w:tcPr>
            <w:tcW w:w="2531"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and real property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on our Credit Facility, acquisition debt and finance lease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for the Credit Facility and Senior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employee equity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cash provided by operating activities was $39.2 million compared to $30.2 million for the six months ended June 30, 2022. The increase of $9.0 million is primarily due to an $8.6 million withdrawal of realized capital gains and earnings from our preneed funeral and cemetery trust investments and receiving a $6.0 million incentive payment from a vendor for entering into a strategic partnership agreement to market and sell prearranged funeral services in the future, offset by unfavorable working capital changes in accrued liabilities and accounts payable.</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resulted in a net cash outflow of $49.9 million for the six months ended June 30, 2023 compared to $10.2 million for the six months ended June 30, 2022, an increase of $39.7 million.</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and Divestiture Activity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we acquired a business consisting of three funeral homes, two cemeteries and one cremation focused business for $44.0 million. In addition, we sold one funeral home and two cemeteries for $0.8 million and real property for $1.2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received proceeds of $1.1 million from our property insurance policy for the reimbursement of renovation costs for certain of our funeral businesses damaged by Hurricane Ian that occurred during the third quarter of 2022 and a fire that occurred during the first quarter of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2022, we sold real property for $2.9 million and we sold two funeral homes for an aggregate of $0.9 million and purchased real property for $2.6 million. </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capital expenditures (comprised of growth and maintenance spend) totaled $9.0 million compared to $13.5 million for the six months ended June 30, 2022, a decrease of $4.5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growth and maintenance capital expenditures (in thousands):</w:t>
      </w:r>
    </w:p>
    <w:tbl>
      <w:tblPr>
        <w:tblW w:w="5259" w:type="dxa"/>
        <w:jc w:val="center"/>
        <w:tblInd w:w="0" w:type="dxa"/>
        <w:tblLayout w:type="fixed"/>
        <w:tblCellMar>
          <w:top w:w="28" w:type="dxa"/>
          <w:left w:w="28" w:type="dxa"/>
          <w:bottom w:w="28" w:type="dxa"/>
          <w:right w:w="28" w:type="dxa"/>
        </w:tblCellMar>
      </w:tblPr>
      <w:tblGrid>
        <w:gridCol w:w="1088"/>
        <w:gridCol w:w="958"/>
        <w:gridCol w:w="969"/>
        <w:gridCol w:w="211"/>
        <w:gridCol w:w="616"/>
        <w:gridCol w:w="109"/>
        <w:gridCol w:w="109"/>
        <w:gridCol w:w="109"/>
        <w:gridCol w:w="109"/>
        <w:gridCol w:w="211"/>
        <w:gridCol w:w="616"/>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Growth</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development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Renovations at certain businesses</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Growth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six months ended June 30, 2023, we spent $0.5 million for renovations on two businesses that were affected by Hurricane Ian, which occurred during the third quarter of 2022 and $0.3 million for renovations on one business that was damaged by a fire, which occurred during the first quarter of 2023, all of which was reimbursed by our property insurance. During the six months ended June 30, 2022, we spent $2.1 million for renovations on two businesses that were affected by Hurricane Ida, which occurred during the third quarter of 2021, all of which was reimbursed by our property insurance. </w:t>
            </w:r>
          </w:p>
        </w:tc>
      </w:tr>
    </w:tbl>
    <w:tbl>
      <w:tblPr>
        <w:tblW w:w="5123" w:type="dxa"/>
        <w:jc w:val="left"/>
        <w:tblInd w:w="0" w:type="dxa"/>
        <w:tblLayout w:type="fixed"/>
        <w:tblCellMar>
          <w:top w:w="28" w:type="dxa"/>
          <w:left w:w="28" w:type="dxa"/>
          <w:bottom w:w="28" w:type="dxa"/>
          <w:right w:w="28" w:type="dxa"/>
        </w:tblCellMar>
      </w:tblPr>
      <w:tblGrid>
        <w:gridCol w:w="1043"/>
        <w:gridCol w:w="916"/>
        <w:gridCol w:w="920"/>
        <w:gridCol w:w="211"/>
        <w:gridCol w:w="616"/>
        <w:gridCol w:w="109"/>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equipment and furniture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repairs and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Paving roads and parking lots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Maintenance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resulted in a net cash inflow of $10.5 million for the six months ended June 30, 2023 compared to a net cash outflow of $20.1 million for the six months ended June 30, 2022, an increase of $30.6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had net borrowings on our Credit Facility, acquisition debt and finance leases of $13.0 million, offset by $3.3 million in 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had net borrowings on our Credit Facility, acquisition debt and finance leases of $19.6 million, offset by $36.7 million for the purchase of treasury stock and $3.5 million in dividends.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is as follows (dollar value in thousands):</w:t>
      </w:r>
    </w:p>
    <w:tbl>
      <w:tblPr>
        <w:tblW w:w="7640" w:type="dxa"/>
        <w:jc w:val="left"/>
        <w:tblInd w:w="0" w:type="dxa"/>
        <w:tblLayout w:type="fixed"/>
        <w:tblCellMar>
          <w:top w:w="28" w:type="dxa"/>
          <w:left w:w="28" w:type="dxa"/>
          <w:bottom w:w="28" w:type="dxa"/>
          <w:right w:w="28" w:type="dxa"/>
        </w:tblCellMar>
      </w:tblPr>
      <w:tblGrid>
        <w:gridCol w:w="982"/>
        <w:gridCol w:w="865"/>
        <w:gridCol w:w="867"/>
        <w:gridCol w:w="253"/>
        <w:gridCol w:w="738"/>
        <w:gridCol w:w="130"/>
        <w:gridCol w:w="130"/>
        <w:gridCol w:w="130"/>
        <w:gridCol w:w="130"/>
        <w:gridCol w:w="253"/>
        <w:gridCol w:w="487"/>
        <w:gridCol w:w="130"/>
        <w:gridCol w:w="109"/>
        <w:gridCol w:w="109"/>
        <w:gridCol w:w="109"/>
        <w:gridCol w:w="219"/>
        <w:gridCol w:w="748"/>
        <w:gridCol w:w="113"/>
        <w:gridCol w:w="113"/>
        <w:gridCol w:w="113"/>
        <w:gridCol w:w="113"/>
        <w:gridCol w:w="219"/>
        <w:gridCol w:w="421"/>
        <w:gridCol w:w="159"/>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Repurchased</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 Value of Shares Repurchased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June 30, 2023, our share repurchase program had $48.9 million authorized for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347" w:type="dxa"/>
        <w:jc w:val="left"/>
        <w:tblInd w:w="0" w:type="dxa"/>
        <w:tblLayout w:type="fixed"/>
        <w:tblCellMar>
          <w:top w:w="28" w:type="dxa"/>
          <w:left w:w="28" w:type="dxa"/>
          <w:bottom w:w="28" w:type="dxa"/>
          <w:right w:w="28" w:type="dxa"/>
        </w:tblCellMar>
      </w:tblPr>
      <w:tblGrid>
        <w:gridCol w:w="324"/>
        <w:gridCol w:w="285"/>
        <w:gridCol w:w="290"/>
        <w:gridCol w:w="211"/>
        <w:gridCol w:w="721"/>
        <w:gridCol w:w="109"/>
        <w:gridCol w:w="109"/>
        <w:gridCol w:w="109"/>
        <w:gridCol w:w="109"/>
        <w:gridCol w:w="232"/>
        <w:gridCol w:w="679"/>
        <w:gridCol w:w="169"/>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Facility, Lease Obligations and Acquisition Debt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of our Credit Facility, lease obligations and acquisition debt at June 30, 2023 is as follows (in thousands): </w:t>
      </w:r>
    </w:p>
    <w:tbl>
      <w:tblPr>
        <w:tblW w:w="2683" w:type="dxa"/>
        <w:jc w:val="center"/>
        <w:tblInd w:w="0" w:type="dxa"/>
        <w:tblLayout w:type="fixed"/>
        <w:tblCellMar>
          <w:top w:w="28" w:type="dxa"/>
          <w:left w:w="28" w:type="dxa"/>
          <w:bottom w:w="28" w:type="dxa"/>
          <w:right w:w="28" w:type="dxa"/>
        </w:tblCellMar>
      </w:tblPr>
      <w:tblGrid>
        <w:gridCol w:w="538"/>
        <w:gridCol w:w="472"/>
        <w:gridCol w:w="474"/>
        <w:gridCol w:w="212"/>
        <w:gridCol w:w="832"/>
        <w:gridCol w:w="15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June 30, 2023, we were subject to the following financial covenants under our Credit Facility: (A) a Total Leverage Ratio not to exceed 6.00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as of June 30,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we had outstanding borrowings under the Credit Facility of $204.0 million. We also had one letter of credit for $2.3 million under the Credit Facility. The letter of credit will expire on November 27, 2023 and is expected to automatically renew annually and secures our obligations under our various self-insured policies. At June 30, 2023, we had $43.7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the Bloomberg Short-Term Bank Yield Index (“BSBY”) rate, plus an applicable margin based on our leverage ratio. At June 30, 2023, the prime rate margin was equivalent to 2.625% and the BSBY rate margin was 3.625%. The weighted average interest rate on our Credit Facility was 2.9% and 8.6% for the three months ended June 30, 2022 and 2023, respectively and 2.5% and 8.3% for the six months ended June 30, 2022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9138" w:type="dxa"/>
        <w:jc w:val="left"/>
        <w:tblInd w:w="0" w:type="dxa"/>
        <w:tblLayout w:type="fixed"/>
        <w:tblCellMar>
          <w:top w:w="28" w:type="dxa"/>
          <w:left w:w="28" w:type="dxa"/>
          <w:bottom w:w="28" w:type="dxa"/>
          <w:right w:w="28" w:type="dxa"/>
        </w:tblCellMar>
      </w:tblPr>
      <w:tblGrid>
        <w:gridCol w:w="1516"/>
        <w:gridCol w:w="1329"/>
        <w:gridCol w:w="1340"/>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payments on our remaining borrowings under the Credit Facility will be determined based on the average outstanding balance of our borrowings and the prevailing interest rate during that time. </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We lease certain office facilities, certain funeral homes, equipment and vehicles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 At June 30, 2023, operating and finance lease obligations were $35.3 million, with $5.0 million payable within 12 months.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are as follows (in thousands):</w:t>
      </w:r>
    </w:p>
    <w:tbl>
      <w:tblPr>
        <w:tblW w:w="7398" w:type="dxa"/>
        <w:jc w:val="left"/>
        <w:tblInd w:w="0" w:type="dxa"/>
        <w:tblLayout w:type="fixed"/>
        <w:tblCellMar>
          <w:top w:w="28" w:type="dxa"/>
          <w:left w:w="28" w:type="dxa"/>
          <w:bottom w:w="28" w:type="dxa"/>
          <w:right w:w="28" w:type="dxa"/>
        </w:tblCellMar>
      </w:tblPr>
      <w:tblGrid>
        <w:gridCol w:w="885"/>
        <w:gridCol w:w="777"/>
        <w:gridCol w:w="783"/>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Acquisition Debt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 At June 30, 2023, acquisition debt obligations were $5.5 million, with $0.8 million payable within 12 months. Original maturities range from nine to twenty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8478" w:type="dxa"/>
        <w:jc w:val="left"/>
        <w:tblInd w:w="0" w:type="dxa"/>
        <w:tblLayout w:type="fixed"/>
        <w:tblCellMar>
          <w:top w:w="28" w:type="dxa"/>
          <w:left w:w="28" w:type="dxa"/>
          <w:bottom w:w="28" w:type="dxa"/>
          <w:right w:w="28" w:type="dxa"/>
        </w:tblCellMar>
      </w:tblPr>
      <w:tblGrid>
        <w:gridCol w:w="1286"/>
        <w:gridCol w:w="1131"/>
        <w:gridCol w:w="1138"/>
        <w:gridCol w:w="298"/>
        <w:gridCol w:w="509"/>
        <w:gridCol w:w="153"/>
        <w:gridCol w:w="153"/>
        <w:gridCol w:w="153"/>
        <w:gridCol w:w="153"/>
        <w:gridCol w:w="298"/>
        <w:gridCol w:w="509"/>
        <w:gridCol w:w="153"/>
        <w:gridCol w:w="109"/>
        <w:gridCol w:w="109"/>
        <w:gridCol w:w="109"/>
        <w:gridCol w:w="241"/>
        <w:gridCol w:w="532"/>
        <w:gridCol w:w="124"/>
        <w:gridCol w:w="124"/>
        <w:gridCol w:w="124"/>
        <w:gridCol w:w="124"/>
        <w:gridCol w:w="241"/>
        <w:gridCol w:w="532"/>
        <w:gridCol w:w="175"/>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the principal amount of our 4.25% senior notes due in May 2029 (the “Senior Notes”) was $400.0 million. 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71 months of the Senior Notes. The effective interest rate on the unamortized debt discount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issuance costs for the Senior Notes for both the three and six months ended June 30, 2022 and 2023 was 4.42% and 4.30%,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fair value of the Senior Notes, which are Level 2 measurements, was $343.1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8987" w:type="dxa"/>
        <w:jc w:val="left"/>
        <w:tblInd w:w="0" w:type="dxa"/>
        <w:tblLayout w:type="fixed"/>
        <w:tblCellMar>
          <w:top w:w="28" w:type="dxa"/>
          <w:left w:w="28" w:type="dxa"/>
          <w:bottom w:w="28" w:type="dxa"/>
          <w:right w:w="28" w:type="dxa"/>
        </w:tblCellMar>
      </w:tblPr>
      <w:tblGrid>
        <w:gridCol w:w="1463"/>
        <w:gridCol w:w="1280"/>
        <w:gridCol w:w="1291"/>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our future interest payments on our outstanding balance were $99.9 million, with $17.0 million payable within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are our financial highlights (in thousands except for volumes and averages):</w:t>
      </w:r>
    </w:p>
    <w:tbl>
      <w:tblPr>
        <w:tblW w:w="9285" w:type="dxa"/>
        <w:jc w:val="left"/>
        <w:tblInd w:w="0" w:type="dxa"/>
        <w:tblLayout w:type="fixed"/>
        <w:tblCellMar>
          <w:top w:w="28" w:type="dxa"/>
          <w:left w:w="28" w:type="dxa"/>
          <w:bottom w:w="28" w:type="dxa"/>
          <w:right w:w="28" w:type="dxa"/>
        </w:tblCellMar>
      </w:tblPr>
      <w:tblGrid>
        <w:gridCol w:w="1406"/>
        <w:gridCol w:w="1238"/>
        <w:gridCol w:w="124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funeral contract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interment rights (property) sold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preneed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June 30, 2023 increased $7.1 million compared to the three months ended June 30, 2022, as we experienced a 3.9% increase in funeral contract volume, while the average revenue per funeral contract remained flat, and a 20.8% increase in the average price per interment right sold, slightly offset by a 3.4% decrease in the number of preneed interment rights (property) sold.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three months ended June 30, 2023 increased $3.5 million compared to the three months ended June 30, 2022, primarily due to the increase in revenue from both our funeral home and cemetery segments.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June 30, 2023 decreased $2.6 million compared to the three months ended June 30, 2022, primarily due to the following: (1) a $3.4 million increase in interest expense; (2) a $2.6 million impact from divestitures, disposals and insurance reimbursements; (3) a $1.0 million increase in general and administrative expenses, offset by (4) the $3.5 million increase in gross profit and (5) an $0.8 million decrease in income tax expense.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for the six months ended June 30, 2023 increased $4.4 million compared to the six months ended June 30, 2022, as we experienced a 1.3% increase in the average revenue per funeral contract, while funeral contract volume decreased 2.8%, and an 11.9% increase in the average price per interment right sold, while the number of preneed interment rights (property) sold remained flat. The contract volume decrease is primarily a result of the significant decline in COVID-19 related deaths in the first quarter of 2023 as compared to the same period in 2022, as these deaths now have a minimal impact on the overall death rate.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six months ended June 30, 2023 increased $0.1 million compared to the six months ended June 30, 2022, due to the increase in revenue from our cemetery segment, offset by increases in operating expenses in both our funeral home and cemetery segments.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six months ended June 30, 2023 decreased $10.2 million compared to the six months ended June 30, 2022, primarily due to the following: (1) a $6.4 million increase in interest expense; (2) a $3.5 million impact from divestitures, disposals and insurance reimbursements; (3) a $2.6 million increase in general and administrative expenses, offset by (4) a $2.4 million decrease in income tax expense.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revenue and the components of gross profit for our Funeral Home and Cemetery segments is presented under “–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REPORTING AND NON-GAAP FINANCIAL MEASURES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present our financial performance in our “Condensed Operating and Financial Trend Report” (“Trend Report”) as reported in our earnings release for the three months ended June 30, 2023 issued on August 2, 2023,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gross profit (a GAAP financial measure) to operating profit (a non-GAAP financial measure) (in thousands):</w:t>
      </w:r>
    </w:p>
    <w:tbl>
      <w:tblPr>
        <w:tblW w:w="9600" w:type="dxa"/>
        <w:jc w:val="left"/>
        <w:tblInd w:w="0" w:type="dxa"/>
        <w:tblLayout w:type="fixed"/>
        <w:tblCellMar>
          <w:top w:w="28" w:type="dxa"/>
          <w:left w:w="28" w:type="dxa"/>
          <w:bottom w:w="28" w:type="dxa"/>
          <w:right w:w="28" w:type="dxa"/>
        </w:tblCellMar>
      </w:tblPr>
      <w:tblGrid>
        <w:gridCol w:w="1599"/>
        <w:gridCol w:w="1396"/>
        <w:gridCol w:w="14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profit</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Operating profit is defined as gross profit plus cemetery property amortization, field depreciation expense and regional and unallocated funeral and cemetery costs.</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reported in two business segments: Funeral Home and Cemetery. Below is a breakdown of operating profit (a non-financial GAAP measure) by segment (in thousands):</w:t>
      </w:r>
    </w:p>
    <w:tbl>
      <w:tblPr>
        <w:tblW w:w="7688" w:type="dxa"/>
        <w:jc w:val="left"/>
        <w:tblInd w:w="0" w:type="dxa"/>
        <w:tblLayout w:type="fixed"/>
        <w:tblCellMar>
          <w:top w:w="28" w:type="dxa"/>
          <w:left w:w="28" w:type="dxa"/>
          <w:bottom w:w="28" w:type="dxa"/>
          <w:right w:w="28" w:type="dxa"/>
        </w:tblCellMar>
      </w:tblPr>
      <w:tblGrid>
        <w:gridCol w:w="797"/>
        <w:gridCol w:w="701"/>
        <w:gridCol w:w="707"/>
        <w:gridCol w:w="211"/>
        <w:gridCol w:w="721"/>
        <w:gridCol w:w="109"/>
        <w:gridCol w:w="109"/>
        <w:gridCol w:w="109"/>
        <w:gridCol w:w="109"/>
        <w:gridCol w:w="211"/>
        <w:gridCol w:w="721"/>
        <w:gridCol w:w="109"/>
        <w:gridCol w:w="109"/>
        <w:gridCol w:w="109"/>
        <w:gridCol w:w="109"/>
        <w:gridCol w:w="381"/>
        <w:gridCol w:w="338"/>
        <w:gridCol w:w="338"/>
        <w:gridCol w:w="196"/>
        <w:gridCol w:w="196"/>
        <w:gridCol w:w="196"/>
        <w:gridCol w:w="381"/>
        <w:gridCol w:w="298"/>
        <w:gridCol w:w="423"/>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57,887</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52,913</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26,202</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28,917</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84,089</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81,830</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profit margin</w:t>
            </w:r>
            <w:r>
              <w:rPr>
                <w:rFonts w:ascii="Times New Roman;sans-serif" w:hAnsi="Times New Roman;sans-serif"/>
                <w:b w:val="false"/>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r>
    </w:tbl>
    <w:tbl>
      <w:tblPr>
        <w:tblW w:w="6127" w:type="dxa"/>
        <w:jc w:val="left"/>
        <w:tblInd w:w="0" w:type="dxa"/>
        <w:tblLayout w:type="fixed"/>
        <w:tblCellMar>
          <w:top w:w="28" w:type="dxa"/>
          <w:left w:w="28" w:type="dxa"/>
          <w:bottom w:w="28" w:type="dxa"/>
          <w:right w:w="28" w:type="dxa"/>
        </w:tblCellMar>
      </w:tblPr>
      <w:tblGrid>
        <w:gridCol w:w="124"/>
        <w:gridCol w:w="109"/>
        <w:gridCol w:w="109"/>
        <w:gridCol w:w="466"/>
        <w:gridCol w:w="466"/>
        <w:gridCol w:w="466"/>
        <w:gridCol w:w="466"/>
        <w:gridCol w:w="466"/>
        <w:gridCol w:w="466"/>
        <w:gridCol w:w="466"/>
        <w:gridCol w:w="466"/>
        <w:gridCol w:w="466"/>
        <w:gridCol w:w="466"/>
        <w:gridCol w:w="466"/>
        <w:gridCol w:w="6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578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Operating profit margin is defined as operating profit as a percentage of revenue.</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discussion of operating profit for our Funeral Home and Cemetery segments is presented under “–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results of operations for the three and six months ended June 30, 2023 and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previously classified our funeral homes and cemeteries as “same store” or “acquired” in our results of operations discussion in our quarterly and annual filings prior to December 31, 2022. Same store generally referred to funeral homes and cemeteries acquired at least five years before the reporting period being presented, while acquired generally referred to funeral homes and cemeteries acquired within the preceding five years of the reporting period being presented, both of which excluded certain funeral homes and cemeteries that we intended to divest.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an effort to simplify the discussion of our results of operations, provide meaningful metrics to investors to compare our results to previous periods and provide more insight into the underlying long-term performance trends in our business, we have combined both the same store and acquired categories and now refer to this combination as “operating”. The term “operating” in the Funeral Home and Cemetery segment simply refers to all our funeral homes and cemeteries owned and operated in the current reporting period, excluding certain funeral home and cemetery businesses that we have divested or intend to divest in the near future.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“divested” when discussed in the Funeral Home segment, refers to one funeral home we sold in the six months ended June 30, 2023 and two funeral homes we sold in the six months ended June 30, 2022. The term “divested” when discussed in the Cemetery segment, refers to two cemeteries we sold during the six months ended June 30, 2023.</w:t>
      </w:r>
    </w:p>
    <w:p>
      <w:pPr>
        <w:pStyle w:val="TextBody"/>
        <w:bidi w:val="0"/>
        <w:spacing w:lineRule="auto" w:line="288" w:before="120" w:after="283"/>
        <w:ind w:left="0" w:right="0" w:firstLine="450"/>
        <w:jc w:val="both"/>
        <w:rPr>
          <w:color w:val="000000"/>
        </w:rPr>
      </w:pPr>
      <w:r>
        <w:rPr>
          <w:color w:val="000000"/>
        </w:rPr>
        <w:t>“</w:t>
      </w:r>
      <w:r>
        <w:rPr>
          <w:rFonts w:ascii="Times New Roman;sans-serif" w:hAnsi="Times New Roman;sans-serif"/>
          <w:b w:val="false"/>
          <w:color w:val="000000"/>
          <w:sz w:val="20"/>
        </w:rPr>
        <w:t xml:space="preserve">Planned divested” refers to the funeral home and cemetery businesses that we intend to divest. </w:t>
      </w:r>
    </w:p>
    <w:p>
      <w:pPr>
        <w:pStyle w:val="TextBody"/>
        <w:bidi w:val="0"/>
        <w:spacing w:lineRule="auto" w:line="288" w:before="120" w:after="283"/>
        <w:ind w:left="0" w:right="0" w:firstLine="450"/>
        <w:jc w:val="both"/>
        <w:rPr>
          <w:color w:val="000000"/>
        </w:rPr>
      </w:pPr>
      <w:r>
        <w:rPr>
          <w:color w:val="000000"/>
        </w:rPr>
        <w:t>“</w:t>
      </w:r>
      <w:r>
        <w:rPr>
          <w:rFonts w:ascii="Times New Roman;sans-serif" w:hAnsi="Times New Roman;sans-serif"/>
          <w:b w:val="false"/>
          <w:color w:val="000000"/>
          <w:sz w:val="20"/>
        </w:rPr>
        <w:t>Ancillary” in the Funeral Home segment represents our flower shop, our monument company, our pet cremation business and our online cremation businesses.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pStyle w:val="TextBody"/>
        <w:bidi w:val="0"/>
        <w:spacing w:lineRule="auto" w:line="288" w:before="180" w:after="120"/>
        <w:jc w:val="both"/>
        <w:rPr/>
      </w:pPr>
      <w:r>
        <w:rPr>
          <w:rFonts w:ascii="Times New Roman;sans-serif" w:hAnsi="Times New Roman;sans-serif"/>
          <w:b/>
          <w:i/>
          <w:color w:val="000000"/>
          <w:sz w:val="20"/>
        </w:rPr>
        <w:t>Funeral Home Segment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funeral home operations (in thousands):</w:t>
      </w:r>
    </w:p>
    <w:tbl>
      <w:tblPr>
        <w:tblW w:w="10164" w:type="dxa"/>
        <w:jc w:val="left"/>
        <w:tblInd w:w="0" w:type="dxa"/>
        <w:tblLayout w:type="fixed"/>
        <w:tblCellMar>
          <w:top w:w="28" w:type="dxa"/>
          <w:left w:w="28" w:type="dxa"/>
          <w:bottom w:w="28" w:type="dxa"/>
          <w:right w:w="28" w:type="dxa"/>
        </w:tblCellMar>
      </w:tblPr>
      <w:tblGrid>
        <w:gridCol w:w="2783"/>
        <w:gridCol w:w="2450"/>
        <w:gridCol w:w="2477"/>
        <w:gridCol w:w="211"/>
        <w:gridCol w:w="721"/>
        <w:gridCol w:w="109"/>
        <w:gridCol w:w="109"/>
        <w:gridCol w:w="109"/>
        <w:gridCol w:w="109"/>
        <w:gridCol w:w="211"/>
        <w:gridCol w:w="721"/>
        <w:gridCol w:w="154"/>
      </w:tblGrid>
      <w:tr>
        <w:trPr/>
        <w:tc>
          <w:tcPr>
            <w:tcW w:w="2783"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operating revenue increased $2.7 million for the three months ended June 30, 2023 compared to the three months ended June 30, 2022. The increase in operating revenue is primarily driven by a 4.5% increase in contract volume,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average revenue per contract excluding preneed interest remained flat. The contract volume increase is primarily due to our newly acquired funeral home businesses, which were not present in the comparative quarter of 2022.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operating profit for the three months ended June 30, 2023 decreased $0.1 million when compared to the same period in 2022, primarily due to an increase in operating expenses as a percentage of revenue. The comparable operating profit margin decreased 190 basis points to 36.0%. Operating expenses as a percentage of revenue increased 1.9% with the largest increases in salary and benefits expenses of 1.4% and general and administrative expenses of 0.5%. The increase in operating expenses is partially due to higher costs from inflationary impacts concentrated in our full-time hourly base rates, utilities and funeral supplies.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Ancillary revenue, which represents revenue from our flower shop, pet cremation and online cremation businesses increased $0.3 million and Ancillary operating profit decreased $0.1 million for the three months ended June 30, 2023 compared to the three months ended June 30,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and other operating profit, which consists of preneed funeral insurance commissions and preneed funeral trust and insurance remained flat for the three months ended June 30, 2023, compared to the three months ended June 30,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2725"/>
        <w:gridCol w:w="2394"/>
        <w:gridCol w:w="2421"/>
        <w:gridCol w:w="211"/>
        <w:gridCol w:w="826"/>
        <w:gridCol w:w="109"/>
        <w:gridCol w:w="109"/>
        <w:gridCol w:w="109"/>
        <w:gridCol w:w="109"/>
        <w:gridCol w:w="211"/>
        <w:gridCol w:w="826"/>
        <w:gridCol w:w="155"/>
      </w:tblGrid>
      <w:tr>
        <w:trPr/>
        <w:tc>
          <w:tcPr>
            <w:tcW w:w="2725"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operating revenue decreased $1.1 million for the six months ended June 30, 2023 compared to the six months ended June 30, 2022. The decrease in operating revenue is primarily driven by a 2.2% decrease in contract volume, which was partially offset by a 1.3% increase in the average revenue per contract excluding preneed interest. The contract volume decrease is primarily a result of the significant decline in COVID-19 related deaths in the first quarter of 2023 as compared to the same period in 2022, as these deaths now have a minimal impact on the overall death rate. The increase in average revenue per contract is primarily due to a combination of price increases and our continued focus on educating families on the many products and service options that are available with burials and cremations.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operating profit for the six months ended June 30, 2023 decreased $4.8 million when compared to the same period in 2022, primarily due to an increase in operating expenses as a percentage of revenue. The comparable operating profit margin decreased 340 basis points to 38.1%. Operating expenses as a percentage of revenue increased 3.4% with the largest increases in salary and benefits expenses of 1.9%, facilities and grounds expenses of 0.7%, general and administrative expenses of 0.5% and other funeral costs of 0.3%. The increase in operating expenses is partially due to higher costs from inflationary impacts concentrated in our full-time hourly base rates, utilities and funeral supplies.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Ancillary revenue, which represents revenue from our flower shop, pet cremation and online cremation businesses increased $0.2 million and Ancillary operating profit decreased $0.2 million for the six months ended June 30, 2023 compared to the six months ended June 30,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and other operating profit, which consists of preneed funeral insurance commissions and preneed funeral trust and insurance, remained flat for the six months ended June 30, 2023, compared to the six months ended June 30, 2022.</w:t>
      </w:r>
    </w:p>
    <w:p>
      <w:pPr>
        <w:pStyle w:val="TextBody"/>
        <w:bidi w:val="0"/>
        <w:spacing w:lineRule="auto" w:line="288" w:before="120" w:after="283"/>
        <w:jc w:val="both"/>
        <w:rPr/>
      </w:pPr>
      <w:r>
        <w:rPr>
          <w:rFonts w:ascii="Times New Roman;sans-serif" w:hAnsi="Times New Roman;sans-serif"/>
          <w:b/>
          <w:i/>
          <w:color w:val="000000"/>
          <w:sz w:val="20"/>
        </w:rPr>
        <w:t>Cemetery Segment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cemetery operations (in thousands):</w:t>
      </w:r>
    </w:p>
    <w:tbl>
      <w:tblPr>
        <w:tblW w:w="10164" w:type="dxa"/>
        <w:jc w:val="left"/>
        <w:tblInd w:w="0" w:type="dxa"/>
        <w:tblLayout w:type="fixed"/>
        <w:tblCellMar>
          <w:top w:w="28" w:type="dxa"/>
          <w:left w:w="28" w:type="dxa"/>
          <w:bottom w:w="28" w:type="dxa"/>
          <w:right w:w="28" w:type="dxa"/>
        </w:tblCellMar>
      </w:tblPr>
      <w:tblGrid>
        <w:gridCol w:w="2783"/>
        <w:gridCol w:w="2450"/>
        <w:gridCol w:w="2477"/>
        <w:gridCol w:w="211"/>
        <w:gridCol w:w="721"/>
        <w:gridCol w:w="109"/>
        <w:gridCol w:w="109"/>
        <w:gridCol w:w="109"/>
        <w:gridCol w:w="109"/>
        <w:gridCol w:w="211"/>
        <w:gridCol w:w="721"/>
        <w:gridCol w:w="154"/>
      </w:tblGrid>
      <w:tr>
        <w:trPr/>
        <w:tc>
          <w:tcPr>
            <w:tcW w:w="2783"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revenue increased $4.0 million for the three months ended June 30, 2023 compared to the three months ended June 30, 2022, as we experienced a 20.6% increase in the average price per preneed interment right sold, slightly offset by a 3.3% decrease in preneed interment rights sold. Cemetery atneed revenue, which represents 33.0% of our total operating revenue, increased $1.1 million for the three months ended June 30, 2023, compared to the same period of the prior year, primarily due to an increase in sales of merchandise and services from our newly acquired cemetery businesses, not present in the comparative quarter of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profit increased $1.8 million for the three months ended June 30, 2023 compared to the three months ended June 30, 2022, due to the increase in revenue. The comparable operating profit margin remained flat at 44.4%. Operating expenses as a percent of operating revenue also remained flat.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which consists of preneed cemetery trust revenue and preneed cemetery finance charges, increased $0.5 million for the three months ended June 30, 2023, compared to the three months ended June 30, 2022. The increase is primarily due to realized capital gains in the current year compared to the prior year and an increase in income in our perpetual care trust fund. Other operating profit increased $0.5 million for the same comparative period, primarily due to the increase in revenue.</w:t>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cemetery operations (in thousands):</w:t>
      </w:r>
    </w:p>
    <w:tbl>
      <w:tblPr>
        <w:tblW w:w="10164" w:type="dxa"/>
        <w:jc w:val="left"/>
        <w:tblInd w:w="0" w:type="dxa"/>
        <w:tblLayout w:type="fixed"/>
        <w:tblCellMar>
          <w:top w:w="28" w:type="dxa"/>
          <w:left w:w="28" w:type="dxa"/>
          <w:bottom w:w="28" w:type="dxa"/>
          <w:right w:w="28" w:type="dxa"/>
        </w:tblCellMar>
      </w:tblPr>
      <w:tblGrid>
        <w:gridCol w:w="2783"/>
        <w:gridCol w:w="2450"/>
        <w:gridCol w:w="2477"/>
        <w:gridCol w:w="211"/>
        <w:gridCol w:w="721"/>
        <w:gridCol w:w="109"/>
        <w:gridCol w:w="109"/>
        <w:gridCol w:w="109"/>
        <w:gridCol w:w="109"/>
        <w:gridCol w:w="211"/>
        <w:gridCol w:w="721"/>
        <w:gridCol w:w="154"/>
      </w:tblGrid>
      <w:tr>
        <w:trPr/>
        <w:tc>
          <w:tcPr>
            <w:tcW w:w="2783"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revenue increased $5.2 million for the six months ended June 30, 2023 compared to the six months ended June 30, 2022, as we experienced an 11.7% increase in the average price per preneed interment right sold, while the number of preneed interment rights sold remained flat. Cemetery atneed revenue, which represents 37.0% of our total operating revenue increased $1.9 million for the six months ended June 30, 2023, compared to the same period of the prior year, primarily due to an increase in sales of merchandise and services from our newly acquired cemetery businesses, which were not present in the comparative period of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profit increased $1.6 million for the six months ended June 30, 2023 compared to the six months ended June 30, 2022. The comparable operating profit margin decreased 130 basis point to 42.0%. Operating expenses as a percent of operating revenue increased 1.2% primarily due to an increase in salary and benefits expenses.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which consists of preneed cemetery trust revenue and preneed cemetery finance charges, increased $1.1 million for the six months ended June 30, 2023, compared to the six months ended June 30, 2022. The increase is primarily due to an increase in income in our perpetual care trust fund and an increase in finance charges on preneed sales. Other operating profit increased $1.1 million for the same comparative period, primarily due to the increase in revenue.</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Cemetery property amortization.</w:t>
      </w:r>
      <w:r>
        <w:rPr>
          <w:color w:val="000000"/>
        </w:rPr>
        <w:t xml:space="preserve"> </w:t>
      </w:r>
      <w:r>
        <w:rPr>
          <w:rFonts w:ascii="Times New Roman;sans-serif" w:hAnsi="Times New Roman;sans-serif"/>
          <w:b w:val="false"/>
          <w:color w:val="000000"/>
          <w:sz w:val="20"/>
        </w:rPr>
        <w:t>Cemetery property amortization totaled $1.9 million and $3.1 million for the three and six months ended June 30, 2023, respectively, an increase of $0.2 million and $0.1 million, respectively, compared to the same period in 2022, primarily due to the increase in property sold across our cemetery portfolio.</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Field depreciation.</w:t>
      </w:r>
      <w:r>
        <w:rPr>
          <w:color w:val="000000"/>
        </w:rPr>
        <w:t xml:space="preserve"> </w:t>
      </w:r>
      <w:r>
        <w:rPr>
          <w:rFonts w:ascii="Times New Roman;sans-serif" w:hAnsi="Times New Roman;sans-serif"/>
          <w:b w:val="false"/>
          <w:color w:val="000000"/>
          <w:sz w:val="20"/>
        </w:rPr>
        <w:t>Depreciation expense for our field businesses totaled $3.6 million and $6.9 million for the three and six months ended June 30, 2023, respectively, an increase of $0.3 million and $0.4 million, respectively, compared to the same period in 2022, primarily due to acquisitions made in latter half of 2022 and our March 2023 acquisition.</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Regional and unallocated funeral and cemetery costs.</w:t>
      </w:r>
      <w:r>
        <w:rPr>
          <w:color w:val="000000"/>
        </w:rPr>
        <w:t xml:space="preserve"> </w:t>
      </w:r>
      <w:r>
        <w:rPr>
          <w:rFonts w:ascii="Times New Roman;sans-serif" w:hAnsi="Times New Roman;sans-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$4.1 million for the three months ended June 30, 2023, a decrease of $1.8 million compared to the same period in 2022, primarily due to the following: (1) a $0.7 million decrease in cash incentives and equity compensation; (2) a $0.7 million decrease in incentive award trips and annual managing partner meetings and (3) a $0.4 million decrease in other expenses.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 totaled $9.6 million for the six months ended June 30, 2023, a decrease of $2.7 million compared to the same period in 2022, primarily due to the following: (1) a $1.3 million decrease in cash incentives and equity compensation; (2) a $1.1 million decrease in incentive award trips and annual managing partner meetings and (3) a $0.3 million decrease in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Other Financial Statement Items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General, administrative and other expenses, which includes salaries and benefits, cash and equity incentive compensation for the Houston support office totaled $10.2 million for the three months ended June 30, 2023, an increase of $1.0 million compared to the same period in 2022, primarily due to the following: (1) $1.4 million increase in salary and benefits expense and cash and equity incentive compensation, as a result of having a complete senior leadership team, including current year executive promotions, offset by (2) a $0.4 million decrease in other expenses, including lower online marketing costs and travel costs.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 expenses totaled $20.4 million for the six months ended June 30, 2023, an increase of $2.6 million compared to the same period in 2022, primarily due to the following: (1) a $3.2 million increase in salary and benefits expense and cash and equity incentive compensation, as a result of having a complete senior leadership team, including current year executive promotions, offset by (2) a $0.6 million decrease in other expenses, including lower online marketing costs and travel costs.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(gain) loss on divestitures, disposals and impairments charges. </w:t>
      </w: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Net (gain) loss on divestitures, disposals and impairment charges</w:t>
      </w:r>
      <w:r>
        <w:rPr>
          <w:color w:val="000000"/>
        </w:rPr>
        <w:t xml:space="preserve"> </w:t>
      </w:r>
      <w:r>
        <w:rPr>
          <w:rFonts w:ascii="Times New Roman;sans-serif" w:hAnsi="Times New Roman;sans-serif"/>
          <w:b w:val="false"/>
          <w:color w:val="000000"/>
          <w:sz w:val="20"/>
        </w:rPr>
        <w:t>are as follows (in thousands):</w:t>
      </w:r>
    </w:p>
    <w:tbl>
      <w:tblPr>
        <w:tblW w:w="8451" w:type="dxa"/>
        <w:jc w:val="left"/>
        <w:tblInd w:w="0" w:type="dxa"/>
        <w:tblLayout w:type="fixed"/>
        <w:tblCellMar>
          <w:top w:w="28" w:type="dxa"/>
          <w:left w:w="28" w:type="dxa"/>
          <w:bottom w:w="28" w:type="dxa"/>
          <w:right w:w="28" w:type="dxa"/>
        </w:tblCellMar>
      </w:tblPr>
      <w:tblGrid>
        <w:gridCol w:w="1276"/>
        <w:gridCol w:w="1121"/>
        <w:gridCol w:w="1128"/>
        <w:gridCol w:w="237"/>
        <w:gridCol w:w="776"/>
        <w:gridCol w:w="122"/>
        <w:gridCol w:w="122"/>
        <w:gridCol w:w="122"/>
        <w:gridCol w:w="122"/>
        <w:gridCol w:w="237"/>
        <w:gridCol w:w="523"/>
        <w:gridCol w:w="122"/>
        <w:gridCol w:w="109"/>
        <w:gridCol w:w="109"/>
        <w:gridCol w:w="109"/>
        <w:gridCol w:w="232"/>
        <w:gridCol w:w="595"/>
        <w:gridCol w:w="119"/>
        <w:gridCol w:w="119"/>
        <w:gridCol w:w="119"/>
        <w:gridCol w:w="119"/>
        <w:gridCol w:w="232"/>
        <w:gridCol w:w="512"/>
        <w:gridCol w:w="169"/>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Impairments related to assets held for sale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disposals of fixed assets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sold one funeral home and two cemeteries for a loss of $0.1 million. We also recognized an impairment of $0.2 million related to property, plant and equipment for assets held for sale.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sold real property and two funeral homes for a net gain of $0.6 million.</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related to its respective debt arrangement is as follows (in thousands):</w:t>
      </w:r>
    </w:p>
    <w:tbl>
      <w:tblPr>
        <w:tblW w:w="6647" w:type="dxa"/>
        <w:jc w:val="center"/>
        <w:tblInd w:w="0" w:type="dxa"/>
        <w:tblLayout w:type="fixed"/>
        <w:tblCellMar>
          <w:top w:w="28" w:type="dxa"/>
          <w:left w:w="28" w:type="dxa"/>
          <w:bottom w:w="28" w:type="dxa"/>
          <w:right w:w="28" w:type="dxa"/>
        </w:tblCellMar>
      </w:tblPr>
      <w:tblGrid>
        <w:gridCol w:w="538"/>
        <w:gridCol w:w="471"/>
        <w:gridCol w:w="475"/>
        <w:gridCol w:w="228"/>
        <w:gridCol w:w="668"/>
        <w:gridCol w:w="118"/>
        <w:gridCol w:w="118"/>
        <w:gridCol w:w="118"/>
        <w:gridCol w:w="118"/>
        <w:gridCol w:w="228"/>
        <w:gridCol w:w="668"/>
        <w:gridCol w:w="118"/>
        <w:gridCol w:w="109"/>
        <w:gridCol w:w="109"/>
        <w:gridCol w:w="109"/>
        <w:gridCol w:w="211"/>
        <w:gridCol w:w="721"/>
        <w:gridCol w:w="109"/>
        <w:gridCol w:w="109"/>
        <w:gridCol w:w="109"/>
        <w:gridCol w:w="109"/>
        <w:gridCol w:w="211"/>
        <w:gridCol w:w="721"/>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(gain) loss on property damage, net of insurance claims. </w:t>
      </w:r>
      <w:r>
        <w:rPr>
          <w:rFonts w:ascii="Times New Roman;sans-serif" w:hAnsi="Times New Roman;sans-serif"/>
          <w:b w:val="false"/>
          <w:color w:val="000000"/>
          <w:sz w:val="20"/>
        </w:rPr>
        <w:t xml:space="preserve">During the three and six months ended June 30, 2023, we recorded a $0.2 million gain and $36,000 loss, respectively, net of insurance proceeds, primarily for property damaged by a fire that occurred during first quarter of 2023.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2022, we recorded a $1.4 million gain and $3.3 million gain, net of insurance proceeds, for property damaged by Hurricane Ida that occurred during the third quarter of 2021.</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During the three and six months ended June 30, 2023, we recorded a $0.1 million gain and $0.6 million gain, respectively, on the sale of other real property not used in business operations.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Income tax expense totaled $3.4 million for the three months ended June 30, 2023, a decrease of $0.8 million compared to the same period in 2022, primarily due to lower pre-tax income in the current period. Our operating tax rate before discrete items was 28.0% for both the three months ended June 30, 2023 and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totaled $6.9 million for the six months ended June 30, 2023, a decrease of $2.4 million compared to the same period in 2022, primarily due to lower pre-tax income in the current period. Our operating tax rate before discrete items was 28.5% and 27.2% for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OVERVIEW OF CRITICAL ACCOUNTING POLICIES AND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in Note 1 in our Annual Report on Form 10-K for the year ended December 31,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can be affected by seasonal fluctuations in the death rate and may be further affected by epidemics and pandemics, like COVID-19, including any new or emerging public health threats. Generally, the number of deaths is higher during the winter months because the incidences of death from influenza and pneumonia are higher during this period than other periods of the year. For example, we experienced fluctuations in the death rate due to COVID-19, with a result of increased deaths during the duration of the pandemic. Although deaths directly attributable from COVID-19 now have minimal direct impact on the overall death rate, the overall death rate remains higher than the pre-COVID-19 pandemic period. As a result, we are unable to predict or forecast the duration or variation of this increased death rate with any 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the impact of health and safety concerns from epidemics and pandemics and and inflation, which are described in more detail in Part 1, Item 1A “Risk Factors” in our Annual Report on Form 10-K for the year ended December 31,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quantitative and qualitative information is provided about financial instruments to which we are a party at June 30, 2023 and from which we may incur future gains or losses from changes in market conditions. We do not enter into derivative or other financial instruments for speculative or trading purposes.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our market-sensitive financial instruments constitutes a “forward-looking statement.”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June 30, 2023 are presented in Part 1, Item 1, Financial Statements, Note 8 to our Consolidated Financial Statements in this Quarterly Report on Form 10-Q. The sensitivity of the fixed income securities is such that a 0.25% change in interest rates causes an approximate 1.19% change in the value of the fixed income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current and forecasted interest rate risk in the ordinary course of business and seek to maintain optimal financial flexibility, quality and solvency. At June 30, 2023, we had outstanding borrowings under the Credit Facility of $204.0 million. Any further borrowings or voluntary prepayments against the Credit Facility or any change in the floating rate would cause a change in interest expense. We have the option to pay interest under the Credit Facility at either prime rate or the BSBY rate plus a margin. At June 30, 2023, the prime rate margin was equivalent to 2.625% and the BSBY rate margin was 3.625%. Assuming the outstanding balance remains unchanged, a change of 100 basis points in our borrowing rate would result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income before taxes of $2.0 million. We have not entered into interest rate hedging arrangements in the past. Management continually evaluates the cost and potential benefits of interest rate hedging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June 30, 2023, the carrying value of the Senior Notes on our Consolidated Balance Sheet was $395.6 million and the fair value of the Senior Notes was $343.1 million based on the last traded or broker quoted price, reported by the Financial Industry Regulatory Authority, Inc. Increases in market interest rates may cause the value of the Senior Notes to decrease, but such changes will not affect our interest costs.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at June 30, 2023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 Factor Update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our recent announcement regarding the Board’s review of potential strategic alternatives for the Company and recent developments affecting the financial services industry, we are also supplementing the risk factors set out under Part I, Item 1A “Risk Factors” in our Annual Report on Form 10-K for the year ended December 31, 2022 with the new risk factors set out below. The risk factors below should be carefully read in conjunction with the risk factors set out in our Annual Report on Form 10-K for the year ended December 31, 2022, which could materially affect our business, financial condition or future results. The risks described in this Quarterly Report on Form 10-Q, our Annual Report on Form 10-K for the year ended December 31, 2022, and our Quarterly Report on Form 10-Q for the quarter ending March 31, 2023 are not the only risks we face.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Review of Strategic Alternatives Process and a Potential Strategic Transaction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We are reviewing strategic alternatives and there can be no assurance that we will be successful in identifying or completing any strategic transaction, that any such strategic transaction will result in additional value for our stockholders or that the process will not have an adverse impact on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2023, we announced our Board had initiated a process to explore potential strategic alternatives, possibly including, but not limited to, a sale, merger or other potential strategic or financial transaction, aimed at increasing stockholder value. There can be no assurance that the review of strategic alternatives will result in the identification or consummation of any transaction. Our Board may also determine that our most effective strategy is to continue to execute on our current strategy.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reviewing strategic alternatives may be costly, time consuming and disruptive to our business operations and, if we are unable to effectively manage the process, our business, financial condition and results of operations could be adversely affected. We have incurred, and may in the future incur, significant costs associated with identifying, evaluating and negotiating potential strategic alternatives, such as legal, financial advisor and accounting fees and expenses and other related charges. We may also incur additional unanticipated expenses in connection with this process. A considerable portion of these costs will be incurred regardless of whether any such course of action is implemented or transaction is completed, decreasing cash available for use in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potential transaction, or series of transactions, or other strategic alternative, if consummated, will provide greater value to our stockholders than that reflected in the current price of our common stock. Until the review process is concluded, perceived uncertainties related to our future may impact our business performance and volatility in the market price of our common stock and may make it more difficult for us to attract and retain qualified personnel and key employees. Our Board has not set a timetable for the conclusion of this review, nor has it made any definitive decisions related to taking any further actions or potential strategic options at this time or at all.</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Even if we are successful in completing a strategic alternative, we may be exposed to other operational and financial risks.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can be no assurance that a strategic alternative will result from the process we have undertaken to explore potential strategic alternatives, the negotiation and consummation of any such transaction, if completed, will require significant time on the part of our management, which could result in disruption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negotiation and consummation of any such transaction may also require more time or greater cash resources than we anticipate and expose us to other operational and financial risks, including, but not limited to:</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increased near-term and long-term expenditures;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exposure to unknown liabilities;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higher than expected acquisition or integration costs;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incurrence of substantial debt or dilutive issuances of equity securities to fund future operations;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write-downs of assets or goodwill or incurrence of non-recurring, impairment or other charges;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increased amortization expenses;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difficulty and cost in combining the operations and personnel of any acquiring or acquired business with our operations and personnel;</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impairment of relationships with key suppliers or customers of any acquired business due to changes in management and ownership;</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inability to retain key employees of our Company or any acquired or merged business; and</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possibility of future litigation.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risks could have a material adverse effect on our business, financial condition and prospects.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Economic Conditions and Natural Disasters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Adverse developments affecting the financial services industry, including events or concerns involving liquidity, defaults, or non-performance by financial institutions, could adversely affect our business, financial condition, or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maintain cash balances in accounts at U.S. financial institutions that we believe are high quality. These accounts, held by us and our affiliated companies, are in non-interest-bearing and interest-bearing operating accounts and may, from time to time, exceed the Federal Deposit Insurance Corporation (“FDIC”) insurance limits. If such banking institutions were to fail, we could lose all or a portion of those amounts held in excess of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business, financial condition, results of operations and liquidity.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availability under our Credit Facility and/or the ability to access capital has historically been, and is expected to continue to be, one of our primary sources of liquidity, any adverse impacts on our ability to access such credit and liquidity sources as a result of adverse developments affecting the financial services industry could adversely affect our business, financial condition, results of operations.</w:t>
      </w:r>
    </w:p>
    <w:p>
      <w:pPr>
        <w:pStyle w:val="TextBody"/>
        <w:bidi w:val="0"/>
        <w:spacing w:before="0" w:after="0"/>
        <w:jc w:val="left"/>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repurchases of our common stock during the quarter ended June 30, 2023:</w:t>
      </w:r>
    </w:p>
    <w:tbl>
      <w:tblPr>
        <w:tblW w:w="10205" w:type="dxa"/>
        <w:jc w:val="center"/>
        <w:tblInd w:w="0" w:type="dxa"/>
        <w:tblLayout w:type="fixed"/>
        <w:tblCellMar>
          <w:top w:w="28" w:type="dxa"/>
          <w:left w:w="28" w:type="dxa"/>
          <w:bottom w:w="28" w:type="dxa"/>
          <w:right w:w="28" w:type="dxa"/>
        </w:tblCellMar>
      </w:tblPr>
      <w:tblGrid>
        <w:gridCol w:w="497"/>
        <w:gridCol w:w="408"/>
        <w:gridCol w:w="414"/>
        <w:gridCol w:w="109"/>
        <w:gridCol w:w="109"/>
        <w:gridCol w:w="109"/>
        <w:gridCol w:w="490"/>
        <w:gridCol w:w="490"/>
        <w:gridCol w:w="491"/>
        <w:gridCol w:w="109"/>
        <w:gridCol w:w="109"/>
        <w:gridCol w:w="109"/>
        <w:gridCol w:w="291"/>
        <w:gridCol w:w="851"/>
        <w:gridCol w:w="150"/>
        <w:gridCol w:w="109"/>
        <w:gridCol w:w="109"/>
        <w:gridCol w:w="109"/>
        <w:gridCol w:w="751"/>
        <w:gridCol w:w="751"/>
        <w:gridCol w:w="753"/>
        <w:gridCol w:w="109"/>
        <w:gridCol w:w="109"/>
        <w:gridCol w:w="109"/>
        <w:gridCol w:w="372"/>
        <w:gridCol w:w="1909"/>
        <w:gridCol w:w="279"/>
      </w:tblGrid>
      <w:tr>
        <w:trPr/>
        <w:tc>
          <w:tcPr>
            <w:tcW w:w="49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Dollar Value of Shares That May Yet Be Purchased Under the Program</w:t>
            </w:r>
            <w:r>
              <w:rPr>
                <w:rFonts w:ascii="Times New Roman;sans-serif" w:hAnsi="Times New Roman;sans-serif"/>
                <w:b/>
                <w:color w:val="000000"/>
                <w:sz w:val="12"/>
              </w:rPr>
              <w:t>(2)</w:t>
            </w:r>
          </w:p>
        </w:tc>
      </w:tr>
      <w:tr>
        <w:trPr/>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quarter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16" w:type="dxa"/>
        <w:jc w:val="center"/>
        <w:tblInd w:w="0" w:type="dxa"/>
        <w:tblLayout w:type="fixed"/>
        <w:tblCellMar>
          <w:top w:w="28" w:type="dxa"/>
          <w:left w:w="28" w:type="dxa"/>
          <w:bottom w:w="28" w:type="dxa"/>
          <w:right w:w="28" w:type="dxa"/>
        </w:tblCellMar>
      </w:tblPr>
      <w:tblGrid>
        <w:gridCol w:w="124"/>
        <w:gridCol w:w="109"/>
        <w:gridCol w:w="109"/>
        <w:gridCol w:w="739"/>
        <w:gridCol w:w="739"/>
        <w:gridCol w:w="739"/>
        <w:gridCol w:w="739"/>
        <w:gridCol w:w="739"/>
        <w:gridCol w:w="739"/>
        <w:gridCol w:w="739"/>
        <w:gridCol w:w="739"/>
        <w:gridCol w:w="739"/>
        <w:gridCol w:w="739"/>
        <w:gridCol w:w="739"/>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17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surrendered by employees to pay taxes withheld upon the vesting of restricted stock awards.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174"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See Part I, Item 1, Financial Statements, Note 14 for additional information on our publicly announced share repurchase program.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3.Defaults Upon Senior Securities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Rule 10b5-1 Stock Selling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2023, Melvin C. Payne, Executive Chairman of the Board of Directors of the Company entered into a stock trading plan designed to comply with Rule 10b5-1 under the Securities Exchange Act of 1934, as amended (the “Plan”). Rule 10b5-1 permits officers and directors of public companies, who routinely become aware of material nonpublic information and therefore are unable to sell company securities until the information has been made public, to plan in advance for their liquidity or other needs by adopting, at a time when they are not in possession of material non-public information, a written plan providing for securities transactions to occur over specified future periods of time under specified conditions. Once an individual has entered into a Rule 10b5-1 trading plan, the individual has no discretion or control over whether or when transactions in Company securities will occur pursuant to the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Mr. Payne’s Plan provides for sales of Company securities as part of his long-term asset diversification, tax, estate and financial planning strategy, and is in accordance with the Company’s Insider Trading &amp; Anti-Hedging Policy. Under the terms of the Plan, Mr. Payne will sell 50,000 shares of the Company’s common stock on a specified date every three months beginning on June 13, 2023 and continuing through December 31, 2024. Accordingly, the maximum number of shares to be sold under the Plan is 350,000.</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transactions under the Plan will be disclosed publicly through Form 144 and Form 4 filings with the SEC to the extent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18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546"/>
        <w:gridCol w:w="1546"/>
        <w:gridCol w:w="21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CARRIAGE SERVICES,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August 7, 2023</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Kian Granmayeh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Kian Granmayeh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 OF EXHIBITS</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01"/>
        <w:gridCol w:w="2632"/>
        <w:gridCol w:w="3762"/>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Description </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dated May 7, 2002. Incorporated by reference to Exhibit 3.1 to the Company’s Quarterly Report on Form 10-Q for its fiscal quarter ended June 30, 2002, filed on August 13,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econdamendmenttomelpayn.htm">
              <w:r>
                <w:rPr>
                  <w:rStyle w:val="InternetLink"/>
                  <w:rFonts w:ascii="Times New Roman;sans-serif" w:hAnsi="Times New Roman;sans-serif"/>
                  <w:b w:val="false"/>
                  <w:color w:val="0000FF"/>
                  <w:sz w:val="20"/>
                  <w:u w:val="single"/>
                </w:rPr>
                <w:t>Second Amendment to Employment Agreement dated June 21, 2023, by and between the Company and Melvin C. Payne.</w:t>
              </w:r>
            </w:hyperlink>
            <w:r>
              <w:rPr>
                <w:color w:val="00000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arlosquezadaagreementth.htm">
              <w:r>
                <w:rPr>
                  <w:rStyle w:val="InternetLink"/>
                  <w:rFonts w:ascii="Times New Roman;sans-serif" w:hAnsi="Times New Roman;sans-serif"/>
                  <w:b w:val="false"/>
                  <w:color w:val="0000FF"/>
                  <w:sz w:val="20"/>
                  <w:u w:val="single"/>
                </w:rPr>
                <w:t>Third Amendment to Employment Agreement dated June 21, 2023, by and between the Company and Carlos R. Quezada.</w:t>
              </w:r>
            </w:hyperlink>
            <w:r>
              <w:rPr>
                <w:color w:val="00000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tevemetzgeragreementthi.htm">
              <w:r>
                <w:rPr>
                  <w:rStyle w:val="InternetLink"/>
                  <w:rFonts w:ascii="Times New Roman;sans-serif" w:hAnsi="Times New Roman;sans-serif"/>
                  <w:b w:val="false"/>
                  <w:color w:val="0000FF"/>
                  <w:sz w:val="20"/>
                  <w:u w:val="single"/>
                </w:rPr>
                <w:t>Third Amendment to Employment Agreement dated June 21, 2023, by and between the Company and Steven D. Metzger.</w:t>
              </w:r>
            </w:hyperlink>
            <w:r>
              <w:rPr>
                <w:color w:val="00000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csvx202306310q2.htm">
              <w:r>
                <w:rPr>
                  <w:rStyle w:val="InternetLink"/>
                  <w:rFonts w:ascii="Times New Roman;sans-serif" w:hAnsi="Times New Roman;sans-serif"/>
                  <w:b w:val="false"/>
                  <w:color w:val="0000FF"/>
                  <w:sz w:val="20"/>
                  <w:u w:val="single"/>
                </w:rPr>
                <w:t>Certification of Periodic Financial Reports by Carlos R. Quezada in satisfaction of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csvx20230630q2.htm">
              <w:r>
                <w:rPr>
                  <w:rStyle w:val="InternetLink"/>
                  <w:rFonts w:ascii="Times New Roman;sans-serif" w:hAnsi="Times New Roman;sans-serif"/>
                  <w:b w:val="false"/>
                  <w:color w:val="0000FF"/>
                  <w:sz w:val="20"/>
                  <w:u w:val="single"/>
                </w:rPr>
                <w:t>Certification of Periodic Financial Reports by L. Kian Granmayeh in satisfaction of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csvx20230630q2.htm">
              <w:r>
                <w:rPr>
                  <w:rStyle w:val="InternetLink"/>
                  <w:rFonts w:ascii="Times New Roman;sans-serif" w:hAnsi="Times New Roman;sans-serif"/>
                  <w:b w:val="false"/>
                  <w:color w:val="0000FF"/>
                  <w:sz w:val="20"/>
                  <w:u w:val="single"/>
                </w:rPr>
                <w:t>Certification of Periodic Financial Reports by Carlos R. Quezada and L. Kian Granmayeh in satisfaction of Section 906 of the Sarbanes-Oxley Act of 2002 and 18 U.S.C. Section 1350.</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Documents.</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center"/>
        <w:rPr/>
      </w:pPr>
      <w:r>
        <w:rPr/>
      </w:r>
    </w:p>
    <w:p>
      <w:pPr>
        <w:pStyle w:val="TextBody"/>
        <w:bidi w:val="0"/>
        <w:spacing w:lineRule="auto" w:line="288" w:before="80" w:after="283"/>
        <w:jc w:val="left"/>
        <w:rPr>
          <w:color w:val="000000"/>
        </w:rPr>
      </w:pPr>
      <w:r>
        <w:rPr>
          <w:color w:val="000000"/>
        </w:rPr>
        <w:t> </w:t>
      </w:r>
      <w:r>
        <w:rPr>
          <w:rFonts w:ascii="Times New Roman;sans-serif" w:hAnsi="Times New Roman;sans-serif"/>
          <w:b w:val="false"/>
          <w:color w:val="000000"/>
          <w:sz w:val="18"/>
        </w:rPr>
        <w:t>__________________</w:t>
      </w:r>
    </w:p>
    <w:tbl>
      <w:tblPr>
        <w:tblW w:w="5473" w:type="dxa"/>
        <w:jc w:val="left"/>
        <w:tblInd w:w="0" w:type="dxa"/>
        <w:tblLayout w:type="fixed"/>
        <w:tblCellMar>
          <w:top w:w="28" w:type="dxa"/>
          <w:left w:w="28" w:type="dxa"/>
          <w:bottom w:w="28" w:type="dxa"/>
          <w:right w:w="28" w:type="dxa"/>
        </w:tblCellMar>
      </w:tblPr>
      <w:tblGrid>
        <w:gridCol w:w="163"/>
        <w:gridCol w:w="143"/>
        <w:gridCol w:w="143"/>
        <w:gridCol w:w="1472"/>
        <w:gridCol w:w="1472"/>
        <w:gridCol w:w="208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pStyle w:val="TextBody"/>
        <w:bidi w:val="0"/>
        <w:spacing w:before="0" w:after="283"/>
        <w:jc w:val="left"/>
        <w:rPr/>
      </w:pPr>
      <w:r>
        <w:rPr/>
      </w:r>
    </w:p>
    <w:p>
      <w:pPr>
        <w:pStyle w:val="TextBody"/>
        <w:bidi w:val="0"/>
        <w:spacing w:before="0" w:after="0"/>
        <w:jc w:val="center"/>
        <w:rPr/>
      </w:pPr>
      <w:bookmarkStart w:id="0" w:name="secondamendmenttomelpayn.htm"/>
      <w:bookmarkStart w:id="1" w:name="kssecondamendmenttomelpayn"/>
      <w:bookmarkEnd w:id="0"/>
      <w:bookmarkEnd w:id="1"/>
      <w:r>
        <w:rPr/>
        <w:drawing>
          <wp:inline distT="0" distB="0" distL="0" distR="0">
            <wp:extent cx="10048875" cy="13001625"/>
            <wp:effectExtent l="0" t="0" r="0" b="0"/>
            <wp:docPr id="5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- 55 -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- 55 -</w:t>
                      </w:r>
                    </w:p>
                  </w:txbxContent>
                </v:textbox>
                <w10:wrap type="none"/>
              </v:rect>
            </w:pict>
          </mc:Fallback>
        </mc:AlternateContent>
      </w:r>
    </w:p>
    <w:p>
      <w:pPr>
        <w:pStyle w:val="TextBody"/>
        <w:bidi w:val="0"/>
        <w:jc w:val="center"/>
        <w:rPr>
          <w:color w:val="FFFFFF"/>
          <w:sz w:val="2"/>
        </w:rPr>
      </w:pPr>
      <w:r>
        <w:rPr>
          <w:color w:val="FFFFFF"/>
          <w:sz w:val="2"/>
        </w:rPr>
        <w:t xml:space="preserve">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carlosquezadaagreementth.htm"/>
      <w:bookmarkStart w:id="3" w:name="kscarlosquezadaagreementth"/>
      <w:bookmarkEnd w:id="2"/>
      <w:bookmarkEnd w:id="3"/>
      <w:r>
        <w:rPr/>
        <w:drawing>
          <wp:inline distT="0" distB="0" distL="0" distR="0">
            <wp:extent cx="10048875" cy="13001625"/>
            <wp:effectExtent l="0" t="0" r="0" b="0"/>
            <wp:docPr id="5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stevemetzgeragreementthi.htm"/>
      <w:bookmarkStart w:id="5" w:name="ksstevemetzgeragreementthi"/>
      <w:bookmarkEnd w:id="4"/>
      <w:bookmarkEnd w:id="5"/>
      <w:r>
        <w:rPr/>
        <w:drawing>
          <wp:inline distT="0" distB="0" distL="0" distR="0">
            <wp:extent cx="10048875" cy="13001625"/>
            <wp:effectExtent l="0" t="0" r="0" b="0"/>
            <wp:docPr id="6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31.1</w:t>
      </w:r>
    </w:p>
    <w:p>
      <w:pPr>
        <w:pStyle w:val="TextBody"/>
        <w:bidi w:val="0"/>
        <w:spacing w:lineRule="auto" w:line="288"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I, Carlos R. Quezada, certify that: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094" w:type="dxa"/>
        <w:jc w:val="center"/>
        <w:tblInd w:w="0" w:type="dxa"/>
        <w:tblLayout w:type="fixed"/>
        <w:tblCellMar>
          <w:top w:w="28" w:type="dxa"/>
          <w:left w:w="28" w:type="dxa"/>
          <w:bottom w:w="28" w:type="dxa"/>
          <w:right w:w="28" w:type="dxa"/>
        </w:tblCellMar>
      </w:tblPr>
      <w:tblGrid>
        <w:gridCol w:w="244"/>
        <w:gridCol w:w="215"/>
        <w:gridCol w:w="216"/>
        <w:gridCol w:w="469"/>
        <w:gridCol w:w="469"/>
        <w:gridCol w:w="471"/>
        <w:gridCol w:w="1466"/>
        <w:gridCol w:w="1466"/>
        <w:gridCol w:w="2078"/>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August 7, 2023</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Chief Executive Officer and Vice Chairman of the Board</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31.2</w:t>
      </w:r>
    </w:p>
    <w:p>
      <w:pPr>
        <w:pStyle w:val="TextBody"/>
        <w:bidi w:val="0"/>
        <w:spacing w:lineRule="auto" w:line="288"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I, L. Kian Granmayeh, certify that: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693" w:type="dxa"/>
        <w:jc w:val="center"/>
        <w:tblInd w:w="0" w:type="dxa"/>
        <w:tblLayout w:type="fixed"/>
        <w:tblCellMar>
          <w:top w:w="28" w:type="dxa"/>
          <w:left w:w="28" w:type="dxa"/>
          <w:bottom w:w="28" w:type="dxa"/>
          <w:right w:w="28" w:type="dxa"/>
        </w:tblCellMar>
      </w:tblPr>
      <w:tblGrid>
        <w:gridCol w:w="244"/>
        <w:gridCol w:w="215"/>
        <w:gridCol w:w="216"/>
        <w:gridCol w:w="469"/>
        <w:gridCol w:w="469"/>
        <w:gridCol w:w="471"/>
        <w:gridCol w:w="1638"/>
        <w:gridCol w:w="1638"/>
        <w:gridCol w:w="2333"/>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August 7, 2023</w:t>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Executive Vice President, Chief Financial Officer and Treasurer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Certification of</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Chief Executive Officer and Chief Financial Officer </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under Section 906 of the</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Sarbanes Oxley Act of 2002, 18 U.S.C. §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In connection with the Quarterly Report on Form 10-Q of Carriage Services, Inc. (the “Company”), as filed with the Securities and Exchange Commission on the date hereof (the “Report”), Carlos R. Quezada, Chief Executive Officer of the Company, and L. Kian Granmayeh, Executive Vice President, Chief Financial Officer and Treasurer, each certify, pursuant to 18 U.S.C. Section 1350, as adopted pursuant to Section 906 of the Sarbanes-Oxley Act of 2002, that, to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     the information contained in the Report fairly presents, in all material respects, the financial condition and results of operations of the Company.</w:t>
      </w:r>
    </w:p>
    <w:tbl>
      <w:tblPr>
        <w:tblW w:w="7693" w:type="dxa"/>
        <w:jc w:val="center"/>
        <w:tblInd w:w="0" w:type="dxa"/>
        <w:tblLayout w:type="fixed"/>
        <w:tblCellMar>
          <w:top w:w="28" w:type="dxa"/>
          <w:left w:w="28" w:type="dxa"/>
          <w:bottom w:w="28" w:type="dxa"/>
          <w:right w:w="28" w:type="dxa"/>
        </w:tblCellMar>
      </w:tblPr>
      <w:tblGrid>
        <w:gridCol w:w="244"/>
        <w:gridCol w:w="215"/>
        <w:gridCol w:w="216"/>
        <w:gridCol w:w="469"/>
        <w:gridCol w:w="469"/>
        <w:gridCol w:w="471"/>
        <w:gridCol w:w="1641"/>
        <w:gridCol w:w="1641"/>
        <w:gridCol w:w="232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August 7, 2023</w:t>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Chief Executive Officer and Vice Chairman of the Board</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Executive Officer)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Executive Vice President, Chief Financial Officer and Treasurer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6281/0000890566-97-000478.txt" TargetMode="External"/><Relationship Id="rId3" Type="http://schemas.openxmlformats.org/officeDocument/2006/relationships/hyperlink" Target="https://www.sec.gov/Archives/edgar/data/1016281/0000890566-97-002454.txt" TargetMode="External"/><Relationship Id="rId4" Type="http://schemas.openxmlformats.org/officeDocument/2006/relationships/hyperlink" Target="https://www.sec.gov/Archives/edgar/data/1016281/000091205702031617/a2085940zex-1.htm" TargetMode="External"/><Relationship Id="rId5" Type="http://schemas.openxmlformats.org/officeDocument/2006/relationships/hyperlink" Target="https://www.sec.gov/Archives/edgar/data/1016281/000119312523172574/d523780dex31.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27377</Words>
  <Characters>147991</Characters>
  <CharactersWithSpaces>172655</CharactersWithSpaces>
  <Paragraphs>5024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stevemetzgeragreementthi</dc:title>
</cp:coreProperties>
</file>