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631" w:type="dxa"/>
        <w:jc w:val="left"/>
        <w:tblInd w:w="0" w:type="dxa"/>
        <w:tblLayout w:type="fixed"/>
        <w:tblCellMar>
          <w:top w:w="28" w:type="dxa"/>
          <w:left w:w="28" w:type="dxa"/>
          <w:bottom w:w="28" w:type="dxa"/>
          <w:right w:w="28" w:type="dxa"/>
        </w:tblCellMar>
      </w:tblPr>
      <w:tblGrid>
        <w:gridCol w:w="6631"/>
      </w:tblGrid>
      <w:tr>
        <w:trPr/>
        <w:tc>
          <w:tcPr>
            <w:tcW w:w="663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63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631" w:type="dxa"/>
            <w:tcBorders/>
            <w:vAlign w:val="center"/>
          </w:tcPr>
          <w:p>
            <w:pPr>
              <w:pStyle w:val="TableContents"/>
              <w:bidi w:val="0"/>
              <w:spacing w:before="0" w:after="0"/>
              <w:jc w:val="left"/>
              <w:rPr/>
            </w:pPr>
            <w:r>
              <w:rPr/>
              <w:t xml:space="preserve">UNDER THE SECURITIES EXCHANGE ACT OF 1934 </w:t>
            </w:r>
          </w:p>
        </w:tc>
      </w:tr>
      <w:tr>
        <w:trPr/>
        <w:tc>
          <w:tcPr>
            <w:tcW w:w="6631" w:type="dxa"/>
            <w:tcBorders/>
            <w:vAlign w:val="center"/>
          </w:tcPr>
          <w:p>
            <w:pPr>
              <w:pStyle w:val="TableContents"/>
              <w:bidi w:val="0"/>
              <w:spacing w:before="0" w:after="283"/>
              <w:jc w:val="left"/>
              <w:rPr>
                <w:sz w:val="4"/>
                <w:szCs w:val="4"/>
              </w:rPr>
            </w:pPr>
            <w:r>
              <w:rPr>
                <w:sz w:val="4"/>
                <w:szCs w:val="4"/>
              </w:rPr>
            </w:r>
          </w:p>
        </w:tc>
      </w:tr>
      <w:tr>
        <w:trPr/>
        <w:tc>
          <w:tcPr>
            <w:tcW w:w="6631" w:type="dxa"/>
            <w:tcBorders/>
            <w:vAlign w:val="center"/>
          </w:tcPr>
          <w:p>
            <w:pPr>
              <w:pStyle w:val="TableContents"/>
              <w:bidi w:val="0"/>
              <w:spacing w:before="0" w:after="0"/>
              <w:jc w:val="center"/>
              <w:rPr>
                <w:b/>
                <w:color w:val="0000FF"/>
              </w:rPr>
            </w:pPr>
            <w:r>
              <w:rPr>
                <w:b/>
                <w:color w:val="0000FF"/>
              </w:rPr>
              <w:t>CARRIAGE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631" w:type="dxa"/>
            <w:tcBorders/>
            <w:vAlign w:val="center"/>
          </w:tcPr>
          <w:p>
            <w:pPr>
              <w:pStyle w:val="TableContents"/>
              <w:bidi w:val="0"/>
              <w:spacing w:before="0" w:after="0"/>
              <w:jc w:val="center"/>
              <w:rPr>
                <w:b/>
                <w:color w:val="0000FF"/>
              </w:rPr>
            </w:pPr>
            <w:r>
              <w:rPr>
                <w:b/>
                <w:color w:val="0000FF"/>
              </w:rPr>
              <w:t>Carriage Services Inc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63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631" w:type="dxa"/>
            <w:tcBorders/>
            <w:vAlign w:val="center"/>
          </w:tcPr>
          <w:p>
            <w:pPr>
              <w:pStyle w:val="TableContents"/>
              <w:bidi w:val="0"/>
              <w:spacing w:before="0" w:after="0"/>
              <w:jc w:val="center"/>
              <w:rPr>
                <w:b/>
                <w:color w:val="0000FF"/>
              </w:rPr>
            </w:pPr>
            <w:r>
              <w:rPr>
                <w:b/>
                <w:color w:val="0000FF"/>
              </w:rPr>
              <w:t>10/19/2026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7"/>
        <w:gridCol w:w="8168"/>
      </w:tblGrid>
      <w:tr>
        <w:trPr/>
        <w:tc>
          <w:tcPr>
            <w:tcW w:w="2037" w:type="dxa"/>
            <w:tcBorders/>
            <w:vAlign w:val="center"/>
          </w:tcPr>
          <w:p>
            <w:pPr>
              <w:pStyle w:val="TableContents"/>
              <w:bidi w:val="0"/>
              <w:spacing w:before="0" w:after="283"/>
              <w:jc w:val="left"/>
              <w:rPr/>
            </w:pPr>
            <w:r>
              <w:rPr/>
              <w:t>1</w:t>
            </w:r>
          </w:p>
        </w:tc>
        <w:tc>
          <w:tcPr>
            <w:tcW w:w="816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VINEYARD CAPITAL PARTNERS, L.L.C.</w:t>
            </w:r>
          </w:p>
        </w:tc>
      </w:tr>
      <w:tr>
        <w:trPr/>
        <w:tc>
          <w:tcPr>
            <w:tcW w:w="2037" w:type="dxa"/>
            <w:tcBorders/>
            <w:vAlign w:val="center"/>
          </w:tcPr>
          <w:p>
            <w:pPr>
              <w:pStyle w:val="TableContents"/>
              <w:bidi w:val="0"/>
              <w:spacing w:before="0" w:after="283"/>
              <w:jc w:val="left"/>
              <w:rPr/>
            </w:pPr>
            <w:r>
              <w:rPr/>
              <w:t>2</w:t>
            </w:r>
          </w:p>
        </w:tc>
        <w:tc>
          <w:tcPr>
            <w:tcW w:w="816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7" w:type="dxa"/>
            <w:tcBorders/>
            <w:vAlign w:val="center"/>
          </w:tcPr>
          <w:p>
            <w:pPr>
              <w:pStyle w:val="TableContents"/>
              <w:bidi w:val="0"/>
              <w:spacing w:before="0" w:after="283"/>
              <w:jc w:val="left"/>
              <w:rPr/>
            </w:pPr>
            <w:r>
              <w:rPr/>
              <w:t>3</w:t>
            </w:r>
          </w:p>
        </w:tc>
        <w:tc>
          <w:tcPr>
            <w:tcW w:w="8168" w:type="dxa"/>
            <w:tcBorders/>
            <w:vAlign w:val="center"/>
          </w:tcPr>
          <w:p>
            <w:pPr>
              <w:pStyle w:val="TableContents"/>
              <w:bidi w:val="0"/>
              <w:spacing w:before="0" w:after="283"/>
              <w:jc w:val="left"/>
              <w:rPr/>
            </w:pPr>
            <w:r>
              <w:rPr/>
              <w:t>Sec Use Only</w:t>
            </w:r>
          </w:p>
        </w:tc>
      </w:tr>
      <w:tr>
        <w:trPr/>
        <w:tc>
          <w:tcPr>
            <w:tcW w:w="2037" w:type="dxa"/>
            <w:tcBorders/>
            <w:vAlign w:val="center"/>
          </w:tcPr>
          <w:p>
            <w:pPr>
              <w:pStyle w:val="TableContents"/>
              <w:bidi w:val="0"/>
              <w:spacing w:before="0" w:after="283"/>
              <w:jc w:val="left"/>
              <w:rPr/>
            </w:pPr>
            <w:r>
              <w:rPr/>
              <w:t>4</w:t>
            </w:r>
          </w:p>
        </w:tc>
        <w:tc>
          <w:tcPr>
            <w:tcW w:w="816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3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976,000.00</w:t>
                  </w:r>
                </w:p>
              </w:tc>
            </w:tr>
          </w:tbl>
          <w:p>
            <w:pPr>
              <w:pStyle w:val="TableContents"/>
              <w:bidi w:val="0"/>
              <w:spacing w:before="0" w:after="283"/>
              <w:jc w:val="left"/>
              <w:rPr/>
            </w:pPr>
            <w:r>
              <w:rPr/>
            </w:r>
          </w:p>
        </w:tc>
        <w:tc>
          <w:tcPr>
            <w:tcW w:w="8168" w:type="dxa"/>
            <w:tcBorders/>
            <w:vAlign w:val="center"/>
          </w:tcPr>
          <w:p>
            <w:pPr>
              <w:pStyle w:val="TableContents"/>
              <w:bidi w:val="0"/>
              <w:spacing w:before="0" w:after="283"/>
              <w:jc w:val="left"/>
              <w:rPr>
                <w:sz w:val="4"/>
                <w:szCs w:val="4"/>
              </w:rPr>
            </w:pPr>
            <w:r>
              <w:rPr>
                <w:sz w:val="4"/>
                <w:szCs w:val="4"/>
              </w:rPr>
            </w:r>
          </w:p>
        </w:tc>
      </w:tr>
      <w:tr>
        <w:trPr/>
        <w:tc>
          <w:tcPr>
            <w:tcW w:w="2037" w:type="dxa"/>
            <w:tcBorders/>
            <w:vAlign w:val="center"/>
          </w:tcPr>
          <w:p>
            <w:pPr>
              <w:pStyle w:val="TableContents"/>
              <w:bidi w:val="0"/>
              <w:spacing w:before="0" w:after="283"/>
              <w:jc w:val="left"/>
              <w:rPr/>
            </w:pPr>
            <w:r>
              <w:rPr/>
              <w:t>9</w:t>
            </w:r>
          </w:p>
        </w:tc>
        <w:tc>
          <w:tcPr>
            <w:tcW w:w="816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976,000.00</w:t>
            </w:r>
          </w:p>
        </w:tc>
      </w:tr>
      <w:tr>
        <w:trPr/>
        <w:tc>
          <w:tcPr>
            <w:tcW w:w="2037" w:type="dxa"/>
            <w:tcBorders/>
            <w:vAlign w:val="center"/>
          </w:tcPr>
          <w:p>
            <w:pPr>
              <w:pStyle w:val="TableContents"/>
              <w:bidi w:val="0"/>
              <w:spacing w:before="0" w:after="283"/>
              <w:jc w:val="left"/>
              <w:rPr/>
            </w:pPr>
            <w:r>
              <w:rPr/>
              <w:t>10</w:t>
            </w:r>
          </w:p>
        </w:tc>
        <w:tc>
          <w:tcPr>
            <w:tcW w:w="816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7" w:type="dxa"/>
            <w:tcBorders/>
            <w:vAlign w:val="center"/>
          </w:tcPr>
          <w:p>
            <w:pPr>
              <w:pStyle w:val="TableContents"/>
              <w:bidi w:val="0"/>
              <w:spacing w:before="0" w:after="283"/>
              <w:jc w:val="left"/>
              <w:rPr/>
            </w:pPr>
            <w:r>
              <w:rPr/>
              <w:t>11</w:t>
            </w:r>
          </w:p>
        </w:tc>
        <w:tc>
          <w:tcPr>
            <w:tcW w:w="816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037" w:type="dxa"/>
            <w:tcBorders/>
            <w:vAlign w:val="center"/>
          </w:tcPr>
          <w:p>
            <w:pPr>
              <w:pStyle w:val="TableContents"/>
              <w:bidi w:val="0"/>
              <w:spacing w:before="0" w:after="283"/>
              <w:jc w:val="left"/>
              <w:rPr/>
            </w:pPr>
            <w:r>
              <w:rPr/>
              <w:t>12</w:t>
            </w:r>
          </w:p>
        </w:tc>
        <w:tc>
          <w:tcPr>
            <w:tcW w:w="816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Jeffrey K Boutwell</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976,000.00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1,010,000.00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CARRIAGE SERVICES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3040 POST OAK BOULEVARD, SUITE 300, HOUSTON, TEXAS, 77056.</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Vineyard Capital Partners, LLC and Jeffrey K Boutwell</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3320 Thomasville Road, Suite 200 Tallahassee, FL 32308</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Vineyard Capital Partners is a Florida LLC and Jeffrey Boutwell is a US citizen.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Carriage Services Inc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Vineyard Capital Partners, L.L.C. beneficially owns 976,000 shares of common stock of Carriage Services, Inc. Jeffrey K. Boutwell, as managing member of Vineyard Capital Partners, L.L.C., shares the power to vote and dispose of those 976,000 shares. Mr. Boutwell also personally owns 34,000 shares over which he exercises sole voting and dispositive power. Accordingly, Vineyard Capital Partners, L.L.C. beneficially owns 976,000 shares, and Mr. Boutwell beneficially owns an aggregate of 1,010,000 shares.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Vineyard Capital Partners, L.L.C. beneficially owns 6.1% of the outstanding common stock of Carriage Services, Inc. Jeffrey K. Boutwell beneficially owns 6.4% of the outstanding common stock, consisting of shares owned personally and shares owned by Vineyard Capital Partners, L.L.C. over which he shares voting and dispositive power.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Jeffrey Boutwell owns 34,000 shares of common stock personally.</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Vineyard Capital Partners owns 976,000 shares of common stock. As managing member, Jeffrey Boutwell may direct the vote and disposition of shares of common stock owned by Vineyard Capital Partners.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Jeffrey Boutwell owns 34,000 shares of common stock personally.</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Vineyard Capital Partners owns 976,000 shares of common stock. As managing member, Jeffrey Boutwell may direct the vote and disposition of shares of common stock owned by Vineyard Capital Partners.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VINEYARD CAPITAL PARTNERS, L.L.C.</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Jeffrey Boutwell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Jeffrey K Boutwell</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Jeffrey Boutwell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5632</Characters>
  <CharactersWithSpaces>6660</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