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____________________________________</w:t>
      </w:r>
    </w:p>
    <w:p>
      <w:pPr>
        <w:spacing w:after="0" w:line="97" w:lineRule="exact"/>
        <w:rPr>
          <w:sz w:val="24"/>
          <w:szCs w:val="24"/>
          <w:color w:val="auto"/>
        </w:rPr>
      </w:pPr>
    </w:p>
    <w:p>
      <w:pPr>
        <w:ind w:left="5400"/>
        <w:spacing w:after="0"/>
        <w:rPr>
          <w:sz w:val="20"/>
          <w:szCs w:val="20"/>
          <w:color w:val="auto"/>
        </w:rPr>
      </w:pPr>
      <w:r>
        <w:rPr>
          <w:rFonts w:ascii="Arial" w:cs="Arial" w:eastAsia="Arial" w:hAnsi="Arial"/>
          <w:sz w:val="25"/>
          <w:szCs w:val="25"/>
          <w:b w:val="1"/>
          <w:bCs w:val="1"/>
          <w:color w:val="auto"/>
        </w:rPr>
        <w:t>FORM 10-K</w:t>
      </w:r>
    </w:p>
    <w:p>
      <w:pPr>
        <w:spacing w:after="0" w:line="46" w:lineRule="exact"/>
        <w:rPr>
          <w:sz w:val="24"/>
          <w:szCs w:val="24"/>
          <w:color w:val="auto"/>
        </w:rPr>
      </w:pPr>
    </w:p>
    <w:p>
      <w:pPr>
        <w:ind w:left="680" w:hanging="657"/>
        <w:spacing w:after="0"/>
        <w:tabs>
          <w:tab w:leader="none" w:pos="680" w:val="left"/>
        </w:tabs>
        <w:numPr>
          <w:ilvl w:val="0"/>
          <w:numId w:val="1"/>
        </w:numPr>
        <w:rPr>
          <w:rFonts w:ascii="MS PGothic" w:cs="MS PGothic" w:eastAsia="MS PGothic" w:hAnsi="MS PGothic"/>
          <w:sz w:val="35"/>
          <w:szCs w:val="35"/>
          <w:color w:val="auto"/>
          <w:highlight w:val="black"/>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18" w:lineRule="exact"/>
        <w:rPr>
          <w:sz w:val="24"/>
          <w:szCs w:val="24"/>
          <w:color w:val="auto"/>
        </w:rPr>
      </w:pPr>
    </w:p>
    <w:p>
      <w:pPr>
        <w:ind w:left="5880"/>
        <w:spacing w:after="0"/>
        <w:rPr>
          <w:sz w:val="20"/>
          <w:szCs w:val="20"/>
          <w:color w:val="auto"/>
        </w:rPr>
      </w:pPr>
      <w:r>
        <w:rPr>
          <w:rFonts w:ascii="Arial" w:cs="Arial" w:eastAsia="Arial" w:hAnsi="Arial"/>
          <w:sz w:val="14"/>
          <w:szCs w:val="14"/>
          <w:b w:val="1"/>
          <w:bCs w:val="1"/>
          <w:color w:val="auto"/>
        </w:rPr>
        <w:t>or</w:t>
      </w:r>
    </w:p>
    <w:p>
      <w:pPr>
        <w:spacing w:after="0" w:line="23" w:lineRule="exact"/>
        <w:rPr>
          <w:sz w:val="24"/>
          <w:szCs w:val="24"/>
          <w:color w:val="auto"/>
        </w:rPr>
      </w:pPr>
    </w:p>
    <w:p>
      <w:pPr>
        <w:ind w:left="680" w:right="3420" w:hanging="657"/>
        <w:spacing w:after="0" w:line="383" w:lineRule="auto"/>
        <w:tabs>
          <w:tab w:leader="none" w:pos="680" w:val="left"/>
        </w:tabs>
        <w:numPr>
          <w:ilvl w:val="0"/>
          <w:numId w:val="2"/>
        </w:numPr>
        <w:rPr>
          <w:rFonts w:ascii="MS PGothic" w:cs="MS PGothic" w:eastAsia="MS PGothic" w:hAnsi="MS PGothic"/>
          <w:sz w:val="35"/>
          <w:szCs w:val="35"/>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______________ to _____________</w:t>
      </w: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Commission file number: 1-11961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00" w:type="dxa"/>
            <w:vAlign w:val="bottom"/>
            <w:gridSpan w:val="3"/>
          </w:tcPr>
          <w:p>
            <w:pPr>
              <w:jc w:val="right"/>
              <w:ind w:right="180"/>
              <w:spacing w:after="0" w:line="154" w:lineRule="exact"/>
              <w:rPr>
                <w:sz w:val="20"/>
                <w:szCs w:val="20"/>
                <w:color w:val="auto"/>
              </w:rPr>
            </w:pPr>
            <w:r>
              <w:rPr>
                <w:rFonts w:ascii="Arial" w:cs="Arial" w:eastAsia="Arial" w:hAnsi="Arial"/>
                <w:sz w:val="14"/>
                <w:szCs w:val="14"/>
                <w:color w:val="auto"/>
                <w:w w:val="93"/>
              </w:rPr>
              <w:t>________________________________________________</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CARRIAGE SERVICES, INC.</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(Exact name of registrant as specified in its charter</w:t>
            </w:r>
            <w:r>
              <w:rPr>
                <w:rFonts w:ascii="Arial" w:cs="Arial" w:eastAsia="Arial" w:hAnsi="Arial"/>
                <w:sz w:val="17"/>
                <w:szCs w:val="17"/>
                <w:b w:val="1"/>
                <w:bCs w:val="1"/>
                <w:color w:val="auto"/>
                <w:w w:val="90"/>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660" w:type="dxa"/>
            <w:vAlign w:val="bottom"/>
          </w:tcPr>
          <w:p>
            <w:pPr>
              <w:spacing w:after="0"/>
              <w:rPr>
                <w:sz w:val="24"/>
                <w:szCs w:val="24"/>
                <w:color w:val="auto"/>
              </w:rPr>
            </w:pPr>
          </w:p>
        </w:tc>
        <w:tc>
          <w:tcPr>
            <w:tcW w:w="2100" w:type="dxa"/>
            <w:vAlign w:val="bottom"/>
            <w:gridSpan w:val="2"/>
          </w:tcPr>
          <w:p>
            <w:pPr>
              <w:jc w:val="center"/>
              <w:ind w:left="30"/>
              <w:spacing w:after="0"/>
              <w:rPr>
                <w:sz w:val="20"/>
                <w:szCs w:val="20"/>
                <w:color w:val="auto"/>
              </w:rPr>
            </w:pPr>
            <w:r>
              <w:rPr>
                <w:rFonts w:ascii="Arial" w:cs="Arial" w:eastAsia="Arial" w:hAnsi="Arial"/>
                <w:sz w:val="14"/>
                <w:szCs w:val="14"/>
                <w:b w:val="1"/>
                <w:bCs w:val="1"/>
                <w:color w:val="auto"/>
                <w:w w:val="91"/>
              </w:rPr>
              <w:t>Delaware</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jc w:val="center"/>
              <w:ind w:right="950"/>
              <w:spacing w:after="0"/>
              <w:rPr>
                <w:sz w:val="20"/>
                <w:szCs w:val="20"/>
                <w:color w:val="auto"/>
              </w:rPr>
            </w:pPr>
            <w:r>
              <w:rPr>
                <w:rFonts w:ascii="Arial" w:cs="Arial" w:eastAsia="Arial" w:hAnsi="Arial"/>
                <w:sz w:val="14"/>
                <w:szCs w:val="14"/>
                <w:b w:val="1"/>
                <w:bCs w:val="1"/>
                <w:color w:val="auto"/>
                <w:w w:val="90"/>
              </w:rPr>
              <w:t>76-0423828</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2100" w:type="dxa"/>
            <w:vAlign w:val="bottom"/>
            <w:gridSpan w:val="2"/>
          </w:tcPr>
          <w:p>
            <w:pPr>
              <w:jc w:val="center"/>
              <w:ind w:left="10"/>
              <w:spacing w:after="0" w:line="143" w:lineRule="exact"/>
              <w:rPr>
                <w:sz w:val="20"/>
                <w:szCs w:val="20"/>
                <w:color w:val="auto"/>
              </w:rPr>
            </w:pPr>
            <w:r>
              <w:rPr>
                <w:rFonts w:ascii="Arial" w:cs="Arial" w:eastAsia="Arial" w:hAnsi="Arial"/>
                <w:sz w:val="14"/>
                <w:szCs w:val="14"/>
                <w:color w:val="auto"/>
                <w:w w:val="92"/>
              </w:rPr>
              <w:t>(State or other jurisdiction of</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80" w:type="dxa"/>
            <w:vAlign w:val="bottom"/>
          </w:tcPr>
          <w:p>
            <w:pPr>
              <w:jc w:val="center"/>
              <w:ind w:right="950"/>
              <w:spacing w:after="0" w:line="143" w:lineRule="exact"/>
              <w:rPr>
                <w:sz w:val="20"/>
                <w:szCs w:val="20"/>
                <w:color w:val="auto"/>
              </w:rPr>
            </w:pPr>
            <w:r>
              <w:rPr>
                <w:rFonts w:ascii="Arial" w:cs="Arial" w:eastAsia="Arial" w:hAnsi="Arial"/>
                <w:sz w:val="14"/>
                <w:szCs w:val="14"/>
                <w:color w:val="auto"/>
                <w:w w:val="93"/>
              </w:rPr>
              <w:t>(I.R.S. Employer</w:t>
            </w: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100" w:type="dxa"/>
            <w:vAlign w:val="bottom"/>
            <w:gridSpan w:val="2"/>
          </w:tcPr>
          <w:p>
            <w:pPr>
              <w:jc w:val="center"/>
              <w:ind w:left="30"/>
              <w:spacing w:after="0"/>
              <w:rPr>
                <w:sz w:val="20"/>
                <w:szCs w:val="20"/>
                <w:color w:val="auto"/>
              </w:rPr>
            </w:pPr>
            <w:r>
              <w:rPr>
                <w:rFonts w:ascii="Arial" w:cs="Arial" w:eastAsia="Arial" w:hAnsi="Arial"/>
                <w:sz w:val="14"/>
                <w:szCs w:val="14"/>
                <w:color w:val="auto"/>
                <w:w w:val="92"/>
              </w:rPr>
              <w:t>incorporation or organization)</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tcPr>
          <w:p>
            <w:pPr>
              <w:jc w:val="center"/>
              <w:ind w:right="950"/>
              <w:spacing w:after="0"/>
              <w:rPr>
                <w:sz w:val="20"/>
                <w:szCs w:val="20"/>
                <w:color w:val="auto"/>
              </w:rPr>
            </w:pPr>
            <w:r>
              <w:rPr>
                <w:rFonts w:ascii="Arial" w:cs="Arial" w:eastAsia="Arial" w:hAnsi="Arial"/>
                <w:sz w:val="14"/>
                <w:szCs w:val="14"/>
                <w:color w:val="auto"/>
                <w:w w:val="95"/>
              </w:rPr>
              <w:t>Identification No.)</w:t>
            </w: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3040 Post Oak Boulevard, Suite 300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8"/>
              </w:rPr>
              <w:t>Houston, Texas, 77056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8"/>
              </w:rPr>
              <w:t>(Address of principal executive offices)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(713) 332-8400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21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Title of each class</w:t>
            </w:r>
          </w:p>
        </w:tc>
        <w:tc>
          <w:tcPr>
            <w:tcW w:w="1200" w:type="dxa"/>
            <w:vAlign w:val="bottom"/>
          </w:tcPr>
          <w:p>
            <w:pPr>
              <w:spacing w:after="0"/>
              <w:rPr>
                <w:sz w:val="21"/>
                <w:szCs w:val="21"/>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Trading Symbol</w:t>
            </w:r>
          </w:p>
        </w:tc>
        <w:tc>
          <w:tcPr>
            <w:tcW w:w="100" w:type="dxa"/>
            <w:vAlign w:val="bottom"/>
          </w:tcPr>
          <w:p>
            <w:pPr>
              <w:spacing w:after="0"/>
              <w:rPr>
                <w:sz w:val="21"/>
                <w:szCs w:val="21"/>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60" w:type="dxa"/>
            <w:vAlign w:val="bottom"/>
            <w:gridSpan w:val="3"/>
          </w:tcPr>
          <w:p>
            <w:pPr>
              <w:jc w:val="center"/>
              <w:ind w:left="550"/>
              <w:spacing w:after="0"/>
              <w:rPr>
                <w:sz w:val="20"/>
                <w:szCs w:val="20"/>
                <w:color w:val="auto"/>
              </w:rPr>
            </w:pPr>
            <w:r>
              <w:rPr>
                <w:rFonts w:ascii="Arial" w:cs="Arial" w:eastAsia="Arial" w:hAnsi="Arial"/>
                <w:sz w:val="14"/>
                <w:szCs w:val="14"/>
                <w:color w:val="auto"/>
                <w:w w:val="88"/>
              </w:rPr>
              <w:t>Common Stock, Par Value $.01 Per Share</w:t>
            </w:r>
          </w:p>
        </w:tc>
        <w:tc>
          <w:tcPr>
            <w:tcW w:w="1200" w:type="dxa"/>
            <w:vAlign w:val="bottom"/>
          </w:tcPr>
          <w:p>
            <w:pPr>
              <w:spacing w:after="0"/>
              <w:rPr>
                <w:sz w:val="16"/>
                <w:szCs w:val="16"/>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4"/>
                <w:szCs w:val="14"/>
                <w:color w:val="auto"/>
                <w:w w:val="90"/>
              </w:rPr>
              <w:t>CSV</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tcPr>
          <w:p>
            <w:pPr>
              <w:jc w:val="center"/>
              <w:ind w:right="350"/>
              <w:spacing w:after="0"/>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291"/>
        </w:trPr>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Securities registered pursuant to Section 12(g) of the Act: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1"/>
              </w:rPr>
              <w:t>None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_______________________________________________</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460" w:type="dxa"/>
            <w:vAlign w:val="bottom"/>
            <w:gridSpan w:val="6"/>
          </w:tcPr>
          <w:p>
            <w:pPr>
              <w:spacing w:after="0"/>
              <w:rPr>
                <w:sz w:val="20"/>
                <w:szCs w:val="20"/>
                <w:color w:val="auto"/>
              </w:rPr>
            </w:pPr>
            <w:r>
              <w:rPr>
                <w:rFonts w:ascii="Arial" w:cs="Arial" w:eastAsia="Arial" w:hAnsi="Arial"/>
                <w:sz w:val="14"/>
                <w:szCs w:val="14"/>
                <w:color w:val="auto"/>
                <w:w w:val="91"/>
              </w:rPr>
              <w:t>Indicate by check mark if the registrant is a well-known seasoned issuer, as defined in Rule 405 of the Securities Act of 1933.   Yes</w:t>
            </w:r>
          </w:p>
        </w:tc>
        <w:tc>
          <w:tcPr>
            <w:tcW w:w="520" w:type="dxa"/>
            <w:vAlign w:val="bottom"/>
            <w:gridSpan w:val="2"/>
          </w:tcPr>
          <w:p>
            <w:pPr>
              <w:ind w:left="4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w:t>
            </w:r>
          </w:p>
        </w:tc>
        <w:tc>
          <w:tcPr>
            <w:tcW w:w="2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r>
        <w:trPr>
          <w:trHeight w:val="224"/>
        </w:trPr>
        <w:tc>
          <w:tcPr>
            <w:tcW w:w="7980" w:type="dxa"/>
            <w:vAlign w:val="bottom"/>
            <w:gridSpan w:val="8"/>
          </w:tcPr>
          <w:p>
            <w:pPr>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15(d) of the Securities Exchange Act of 1934.</w:t>
            </w:r>
          </w:p>
        </w:tc>
        <w:tc>
          <w:tcPr>
            <w:tcW w:w="21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right="20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7" w:lineRule="exact"/>
        <w:rPr>
          <w:sz w:val="24"/>
          <w:szCs w:val="24"/>
          <w:color w:val="auto"/>
        </w:rPr>
      </w:pPr>
    </w:p>
    <w:p>
      <w:pPr>
        <w:ind w:right="40"/>
        <w:spacing w:after="0" w:line="18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p>
    <w:p>
      <w:pPr>
        <w:spacing w:after="0" w:line="17" w:lineRule="exact"/>
        <w:rPr>
          <w:sz w:val="24"/>
          <w:szCs w:val="24"/>
          <w:color w:val="auto"/>
        </w:rPr>
      </w:pPr>
    </w:p>
    <w:p>
      <w:pPr>
        <w:ind w:right="2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940" w:type="dxa"/>
            <w:vAlign w:val="bottom"/>
          </w:tcPr>
          <w:p>
            <w:pPr>
              <w:ind w:left="21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197"/>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140" w:type="dxa"/>
            <w:vAlign w:val="bottom"/>
          </w:tcPr>
          <w:p>
            <w:pPr>
              <w:ind w:left="26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(Do not check if a smaller reporting company)</w:t>
            </w:r>
          </w:p>
        </w:tc>
        <w:tc>
          <w:tcPr>
            <w:tcW w:w="3940" w:type="dxa"/>
            <w:vAlign w:val="bottom"/>
          </w:tcPr>
          <w:p>
            <w:pPr>
              <w:ind w:left="21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20"/>
        </w:trPr>
        <w:tc>
          <w:tcPr>
            <w:tcW w:w="1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940" w:type="dxa"/>
            <w:vAlign w:val="bottom"/>
          </w:tcPr>
          <w:p>
            <w:pPr>
              <w:ind w:left="21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200"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61"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w:t>
      </w:r>
    </w:p>
    <w:p>
      <w:pPr>
        <w:sectPr>
          <w:pgSz w:w="11900" w:h="16838" w:orient="portrait"/>
          <w:cols w:equalWidth="0" w:num="1">
            <w:col w:w="11240"/>
          </w:cols>
          <w:pgMar w:left="320" w:top="232"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2"/>
          <w:szCs w:val="12"/>
          <w:color w:val="auto"/>
        </w:rPr>
        <w:t>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136" w:lineRule="exact"/>
        <w:rPr>
          <w:sz w:val="24"/>
          <w:szCs w:val="24"/>
          <w:color w:val="auto"/>
        </w:rPr>
      </w:pPr>
    </w:p>
    <w:p>
      <w:pPr>
        <w:sectPr>
          <w:pgSz w:w="11900" w:h="16838" w:orient="portrait"/>
          <w:cols w:equalWidth="0" w:num="2">
            <w:col w:w="10200" w:space="720"/>
            <w:col w:w="320"/>
          </w:cols>
          <w:pgMar w:left="320" w:top="232" w:right="339" w:bottom="1440" w:gutter="0" w:footer="0" w:header="0"/>
          <w:type w:val="continuous"/>
        </w:sectPr>
      </w:pPr>
    </w:p>
    <w:p>
      <w:pPr>
        <w:spacing w:after="0" w:line="161" w:lineRule="exact"/>
        <w:tabs>
          <w:tab w:leader="none" w:pos="7480" w:val="left"/>
          <w:tab w:leader="none" w:pos="80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ectPr>
          <w:pgSz w:w="11900" w:h="16838" w:orient="portrait"/>
          <w:cols w:equalWidth="0" w:num="1">
            <w:col w:w="11240"/>
          </w:cols>
          <w:pgMar w:left="320" w:top="232" w:right="339" w:bottom="1440" w:gutter="0" w:footer="0" w:header="0"/>
          <w:type w:val="continuous"/>
        </w:sectPr>
      </w:pPr>
    </w:p>
    <w:p>
      <w:pPr>
        <w:spacing w:after="0" w:line="75" w:lineRule="exact"/>
        <w:rPr>
          <w:sz w:val="24"/>
          <w:szCs w:val="24"/>
          <w:color w:val="auto"/>
        </w:rPr>
      </w:pPr>
    </w:p>
    <w:p>
      <w:pPr>
        <w:ind w:right="240"/>
        <w:spacing w:after="0" w:line="26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was approximately $597.5 million based on the closing price of $36.97 per share on the New York Stock Exchange.</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$.01 par value per share, outstanding as of February 25, 2022 was 15,326,738.</w:t>
      </w:r>
    </w:p>
    <w:p>
      <w:pPr>
        <w:spacing w:after="0" w:line="46"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_____________________________________</w:t>
      </w:r>
    </w:p>
    <w:p>
      <w:pPr>
        <w:spacing w:after="0" w:line="38" w:lineRule="exact"/>
        <w:rPr>
          <w:sz w:val="24"/>
          <w:szCs w:val="24"/>
          <w:color w:val="auto"/>
        </w:rPr>
      </w:pPr>
    </w:p>
    <w:p>
      <w:pPr>
        <w:spacing w:after="0" w:line="262"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553085</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60" w:type="dxa"/>
            <w:vAlign w:val="bottom"/>
            <w:gridSpan w:val="14"/>
          </w:tcPr>
          <w:p>
            <w:pPr>
              <w:jc w:val="center"/>
              <w:ind w:right="3500"/>
              <w:spacing w:after="0"/>
              <w:rPr>
                <w:sz w:val="20"/>
                <w:szCs w:val="20"/>
                <w:color w:val="auto"/>
              </w:rPr>
            </w:pPr>
            <w:r>
              <w:rPr>
                <w:rFonts w:ascii="Arial" w:cs="Arial" w:eastAsia="Arial" w:hAnsi="Arial"/>
                <w:sz w:val="18"/>
                <w:szCs w:val="18"/>
                <w:b w:val="1"/>
                <w:bCs w:val="1"/>
                <w:color w:val="auto"/>
                <w:w w:val="86"/>
              </w:rPr>
              <w:t>Table of Contents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77"/>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color w:val="auto"/>
              </w:rPr>
              <w:t>Page</w:t>
            </w:r>
          </w:p>
        </w:tc>
      </w:tr>
      <w:tr>
        <w:trPr>
          <w:trHeight w:val="195"/>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10"/>
          </w:tcPr>
          <w:p>
            <w:pPr>
              <w:jc w:val="center"/>
              <w:ind w:right="3960"/>
              <w:spacing w:after="0" w:line="195" w:lineRule="exact"/>
              <w:rPr>
                <w:rFonts w:ascii="Arial" w:cs="Arial" w:eastAsia="Arial" w:hAnsi="Arial"/>
                <w:sz w:val="18"/>
                <w:szCs w:val="18"/>
                <w:color w:val="0000FF"/>
                <w:w w:val="88"/>
              </w:rPr>
            </w:pPr>
            <w:hyperlink w:anchor="page2">
              <w:r>
                <w:rPr>
                  <w:rFonts w:ascii="Arial" w:cs="Arial" w:eastAsia="Arial" w:hAnsi="Arial"/>
                  <w:sz w:val="18"/>
                  <w:szCs w:val="18"/>
                  <w:color w:val="0000FF"/>
                  <w:w w:val="88"/>
                </w:rPr>
                <w:t>Part I</w:t>
              </w:r>
            </w:hyperlink>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w:t>
            </w:r>
          </w:p>
        </w:tc>
        <w:tc>
          <w:tcPr>
            <w:tcW w:w="4460" w:type="dxa"/>
            <w:vAlign w:val="bottom"/>
            <w:gridSpan w:val="18"/>
          </w:tcPr>
          <w:p>
            <w:pPr>
              <w:spacing w:after="0" w:line="204"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380" w:type="dxa"/>
            <w:vAlign w:val="bottom"/>
            <w:tcBorders>
              <w:top w:val="single" w:sz="8" w:color="0000FF"/>
            </w:tcBorders>
            <w:gridSpan w:val="2"/>
          </w:tcPr>
          <w:p>
            <w:pPr>
              <w:spacing w:after="0"/>
              <w:rPr>
                <w:sz w:val="17"/>
                <w:szCs w:val="17"/>
                <w:color w:val="auto"/>
              </w:rPr>
            </w:pPr>
          </w:p>
        </w:tc>
        <w:tc>
          <w:tcPr>
            <w:tcW w:w="4000" w:type="dxa"/>
            <w:vAlign w:val="bottom"/>
            <w:gridSpan w:val="7"/>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1A.</w:t>
            </w:r>
          </w:p>
        </w:tc>
        <w:tc>
          <w:tcPr>
            <w:tcW w:w="880" w:type="dxa"/>
            <w:vAlign w:val="bottom"/>
            <w:gridSpan w:val="4"/>
          </w:tcPr>
          <w:p>
            <w:pPr>
              <w:spacing w:after="0" w:line="204" w:lineRule="exact"/>
              <w:rPr>
                <w:rFonts w:ascii="Arial" w:cs="Arial" w:eastAsia="Arial" w:hAnsi="Arial"/>
                <w:sz w:val="18"/>
                <w:szCs w:val="18"/>
                <w:color w:val="0000FF"/>
                <w:w w:val="85"/>
              </w:rPr>
            </w:pPr>
            <w:hyperlink w:anchor="page13">
              <w:r>
                <w:rPr>
                  <w:rFonts w:ascii="Arial" w:cs="Arial" w:eastAsia="Arial" w:hAnsi="Arial"/>
                  <w:sz w:val="18"/>
                  <w:szCs w:val="18"/>
                  <w:color w:val="0000FF"/>
                  <w:w w:val="85"/>
                </w:rPr>
                <w:t>Risk Factors</w:t>
              </w:r>
            </w:hyperlink>
          </w:p>
        </w:tc>
        <w:tc>
          <w:tcPr>
            <w:tcW w:w="7960" w:type="dxa"/>
            <w:vAlign w:val="bottom"/>
            <w:gridSpan w:val="23"/>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1B.</w:t>
            </w:r>
          </w:p>
        </w:tc>
        <w:tc>
          <w:tcPr>
            <w:tcW w:w="2000" w:type="dxa"/>
            <w:vAlign w:val="bottom"/>
            <w:gridSpan w:val="9"/>
          </w:tcPr>
          <w:p>
            <w:pPr>
              <w:spacing w:after="0" w:line="204" w:lineRule="exact"/>
              <w:rPr>
                <w:rFonts w:ascii="Arial" w:cs="Arial" w:eastAsia="Arial" w:hAnsi="Arial"/>
                <w:sz w:val="18"/>
                <w:szCs w:val="18"/>
                <w:color w:val="0000FF"/>
                <w:w w:val="87"/>
              </w:rPr>
            </w:pPr>
            <w:hyperlink w:anchor="page22">
              <w:r>
                <w:rPr>
                  <w:rFonts w:ascii="Arial" w:cs="Arial" w:eastAsia="Arial" w:hAnsi="Arial"/>
                  <w:sz w:val="18"/>
                  <w:szCs w:val="18"/>
                  <w:color w:val="0000FF"/>
                  <w:w w:val="87"/>
                </w:rPr>
                <w:t>Unresolved Staff Comments</w:t>
              </w:r>
            </w:hyperlink>
          </w:p>
        </w:tc>
        <w:tc>
          <w:tcPr>
            <w:tcW w:w="6840" w:type="dxa"/>
            <w:vAlign w:val="bottom"/>
            <w:gridSpan w:val="18"/>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2.</w:t>
            </w:r>
          </w:p>
        </w:tc>
        <w:tc>
          <w:tcPr>
            <w:tcW w:w="2000" w:type="dxa"/>
            <w:vAlign w:val="bottom"/>
            <w:gridSpan w:val="9"/>
          </w:tcPr>
          <w:p>
            <w:pPr>
              <w:spacing w:after="0" w:line="204" w:lineRule="exact"/>
              <w:rPr>
                <w:rFonts w:ascii="Arial" w:cs="Arial" w:eastAsia="Arial" w:hAnsi="Arial"/>
                <w:sz w:val="18"/>
                <w:szCs w:val="18"/>
                <w:color w:val="0000FF"/>
              </w:rPr>
            </w:pPr>
            <w:hyperlink w:anchor="page22">
              <w:r>
                <w:rPr>
                  <w:rFonts w:ascii="Arial" w:cs="Arial" w:eastAsia="Arial" w:hAnsi="Arial"/>
                  <w:sz w:val="18"/>
                  <w:szCs w:val="18"/>
                  <w:color w:val="0000FF"/>
                </w:rPr>
                <w:t>Properties</w:t>
              </w:r>
            </w:hyperlink>
          </w:p>
        </w:tc>
        <w:tc>
          <w:tcPr>
            <w:tcW w:w="6840" w:type="dxa"/>
            <w:vAlign w:val="bottom"/>
            <w:gridSpan w:val="18"/>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3.</w:t>
            </w:r>
          </w:p>
        </w:tc>
        <w:tc>
          <w:tcPr>
            <w:tcW w:w="1280" w:type="dxa"/>
            <w:vAlign w:val="bottom"/>
            <w:gridSpan w:val="5"/>
          </w:tcPr>
          <w:p>
            <w:pPr>
              <w:spacing w:after="0" w:line="204" w:lineRule="exact"/>
              <w:rPr>
                <w:rFonts w:ascii="Arial" w:cs="Arial" w:eastAsia="Arial" w:hAnsi="Arial"/>
                <w:sz w:val="18"/>
                <w:szCs w:val="18"/>
                <w:color w:val="0000FF"/>
                <w:w w:val="83"/>
              </w:rPr>
            </w:pPr>
            <w:hyperlink w:anchor="page23">
              <w:r>
                <w:rPr>
                  <w:rFonts w:ascii="Arial" w:cs="Arial" w:eastAsia="Arial" w:hAnsi="Arial"/>
                  <w:sz w:val="18"/>
                  <w:szCs w:val="18"/>
                  <w:color w:val="0000FF"/>
                  <w:w w:val="83"/>
                </w:rPr>
                <w:t>Legal Proceedings</w:t>
              </w:r>
            </w:hyperlink>
          </w:p>
        </w:tc>
        <w:tc>
          <w:tcPr>
            <w:tcW w:w="7560" w:type="dxa"/>
            <w:vAlign w:val="bottom"/>
            <w:gridSpan w:val="22"/>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4.</w:t>
            </w:r>
          </w:p>
        </w:tc>
        <w:tc>
          <w:tcPr>
            <w:tcW w:w="8840" w:type="dxa"/>
            <w:vAlign w:val="bottom"/>
            <w:gridSpan w:val="27"/>
          </w:tcPr>
          <w:p>
            <w:pPr>
              <w:spacing w:after="0" w:line="204" w:lineRule="exact"/>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r>
      <w:tr>
        <w:trPr>
          <w:trHeight w:val="467"/>
        </w:trPr>
        <w:tc>
          <w:tcPr>
            <w:tcW w:w="9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0"/>
          </w:tcPr>
          <w:p>
            <w:pPr>
              <w:jc w:val="center"/>
              <w:ind w:right="3980"/>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Part II</w:t>
              </w:r>
            </w:hyperlink>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5.</w:t>
            </w:r>
          </w:p>
        </w:tc>
        <w:tc>
          <w:tcPr>
            <w:tcW w:w="8840" w:type="dxa"/>
            <w:vAlign w:val="bottom"/>
            <w:gridSpan w:val="27"/>
          </w:tcPr>
          <w:p>
            <w:pPr>
              <w:spacing w:after="0" w:line="204" w:lineRule="exact"/>
              <w:rPr>
                <w:rFonts w:ascii="Arial" w:cs="Arial" w:eastAsia="Arial" w:hAnsi="Arial"/>
                <w:sz w:val="18"/>
                <w:szCs w:val="18"/>
                <w:color w:val="0000FF"/>
                <w:w w:val="99"/>
              </w:rPr>
            </w:pPr>
            <w:hyperlink w:anchor="page24">
              <w:r>
                <w:rPr>
                  <w:rFonts w:ascii="Arial" w:cs="Arial" w:eastAsia="Arial" w:hAnsi="Arial"/>
                  <w:sz w:val="18"/>
                  <w:szCs w:val="18"/>
                  <w:color w:val="0000FF"/>
                  <w:w w:val="99"/>
                </w:rPr>
                <w:t>Market for Registrant’s Common Equity, Related Stockholder Matters and Issuer Purchases of Equity Securities</w:t>
              </w:r>
            </w:hyperlink>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6.</w:t>
            </w:r>
          </w:p>
        </w:tc>
        <w:tc>
          <w:tcPr>
            <w:tcW w:w="7860" w:type="dxa"/>
            <w:vAlign w:val="bottom"/>
            <w:gridSpan w:val="26"/>
          </w:tcPr>
          <w:p>
            <w:pPr>
              <w:spacing w:after="0" w:line="204" w:lineRule="exact"/>
              <w:rPr>
                <w:rFonts w:ascii="Arial" w:cs="Arial" w:eastAsia="Arial" w:hAnsi="Arial"/>
                <w:sz w:val="18"/>
                <w:szCs w:val="18"/>
                <w:color w:val="0000FF"/>
              </w:rPr>
            </w:pPr>
            <w:hyperlink w:anchor="page26">
              <w:r>
                <w:rPr>
                  <w:rFonts w:ascii="Arial" w:cs="Arial" w:eastAsia="Arial" w:hAnsi="Arial"/>
                  <w:sz w:val="18"/>
                  <w:szCs w:val="18"/>
                  <w:color w:val="0000FF"/>
                </w:rPr>
                <w:t>[Reserved]</w:t>
              </w:r>
            </w:hyperlink>
          </w:p>
        </w:tc>
        <w:tc>
          <w:tcPr>
            <w:tcW w:w="980" w:type="dxa"/>
            <w:vAlign w:val="bottom"/>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7.</w:t>
            </w:r>
          </w:p>
        </w:tc>
        <w:tc>
          <w:tcPr>
            <w:tcW w:w="6300" w:type="dxa"/>
            <w:vAlign w:val="bottom"/>
            <w:gridSpan w:val="24"/>
          </w:tcPr>
          <w:p>
            <w:pPr>
              <w:spacing w:after="0" w:line="204" w:lineRule="exact"/>
              <w:rPr>
                <w:rFonts w:ascii="Arial" w:cs="Arial" w:eastAsia="Arial" w:hAnsi="Arial"/>
                <w:sz w:val="18"/>
                <w:szCs w:val="18"/>
                <w:color w:val="0000FF"/>
                <w:w w:val="88"/>
              </w:rPr>
            </w:pPr>
            <w:hyperlink w:anchor="page27">
              <w:r>
                <w:rPr>
                  <w:rFonts w:ascii="Arial" w:cs="Arial" w:eastAsia="Arial" w:hAnsi="Arial"/>
                  <w:sz w:val="18"/>
                  <w:szCs w:val="18"/>
                  <w:color w:val="0000FF"/>
                  <w:w w:val="88"/>
                </w:rPr>
                <w:t>Management’s Discussion and Analysis of Financial Condition and Results of Operations</w:t>
              </w:r>
            </w:hyperlink>
          </w:p>
        </w:tc>
        <w:tc>
          <w:tcPr>
            <w:tcW w:w="2540" w:type="dxa"/>
            <w:vAlign w:val="bottom"/>
            <w:gridSpan w:val="3"/>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7A.</w:t>
            </w:r>
          </w:p>
        </w:tc>
        <w:tc>
          <w:tcPr>
            <w:tcW w:w="6300" w:type="dxa"/>
            <w:vAlign w:val="bottom"/>
            <w:gridSpan w:val="24"/>
          </w:tcPr>
          <w:p>
            <w:pPr>
              <w:spacing w:after="0" w:line="204"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540" w:type="dxa"/>
            <w:vAlign w:val="bottom"/>
            <w:gridSpan w:val="3"/>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8.</w:t>
            </w:r>
          </w:p>
        </w:tc>
        <w:tc>
          <w:tcPr>
            <w:tcW w:w="4240" w:type="dxa"/>
            <w:vAlign w:val="bottom"/>
            <w:gridSpan w:val="14"/>
          </w:tcPr>
          <w:p>
            <w:pPr>
              <w:spacing w:after="0" w:line="204" w:lineRule="exact"/>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4600" w:type="dxa"/>
            <w:vAlign w:val="bottom"/>
            <w:gridSpan w:val="13"/>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9.</w:t>
            </w:r>
          </w:p>
        </w:tc>
        <w:tc>
          <w:tcPr>
            <w:tcW w:w="8840" w:type="dxa"/>
            <w:vAlign w:val="bottom"/>
            <w:gridSpan w:val="27"/>
          </w:tcPr>
          <w:p>
            <w:pPr>
              <w:spacing w:after="0" w:line="204" w:lineRule="exact"/>
              <w:rPr>
                <w:rFonts w:ascii="Arial" w:cs="Arial" w:eastAsia="Arial" w:hAnsi="Arial"/>
                <w:sz w:val="18"/>
                <w:szCs w:val="18"/>
                <w:color w:val="0000FF"/>
              </w:rPr>
            </w:pPr>
            <w:hyperlink w:anchor="page97">
              <w:r>
                <w:rPr>
                  <w:rFonts w:ascii="Arial" w:cs="Arial" w:eastAsia="Arial" w:hAnsi="Arial"/>
                  <w:sz w:val="18"/>
                  <w:szCs w:val="18"/>
                  <w:color w:val="0000FF"/>
                </w:rPr>
                <w:t>Changes in and Disagreements with Accountants on Accounting and Financial Disclosure</w:t>
              </w:r>
            </w:hyperlink>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9A.</w:t>
            </w:r>
          </w:p>
        </w:tc>
        <w:tc>
          <w:tcPr>
            <w:tcW w:w="6300" w:type="dxa"/>
            <w:vAlign w:val="bottom"/>
            <w:gridSpan w:val="24"/>
          </w:tcPr>
          <w:p>
            <w:pPr>
              <w:spacing w:after="0" w:line="204" w:lineRule="exact"/>
              <w:rPr>
                <w:rFonts w:ascii="Arial" w:cs="Arial" w:eastAsia="Arial" w:hAnsi="Arial"/>
                <w:sz w:val="18"/>
                <w:szCs w:val="18"/>
                <w:color w:val="0000FF"/>
              </w:rPr>
            </w:pPr>
            <w:hyperlink w:anchor="page98">
              <w:r>
                <w:rPr>
                  <w:rFonts w:ascii="Arial" w:cs="Arial" w:eastAsia="Arial" w:hAnsi="Arial"/>
                  <w:sz w:val="18"/>
                  <w:szCs w:val="18"/>
                  <w:color w:val="0000FF"/>
                </w:rPr>
                <w:t>Controls and Procedures</w:t>
              </w:r>
            </w:hyperlink>
          </w:p>
        </w:tc>
        <w:tc>
          <w:tcPr>
            <w:tcW w:w="2540" w:type="dxa"/>
            <w:vAlign w:val="bottom"/>
            <w:gridSpan w:val="3"/>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98">
              <w:r>
                <w:rPr>
                  <w:rFonts w:ascii="Arial" w:cs="Arial" w:eastAsia="Arial" w:hAnsi="Arial"/>
                  <w:sz w:val="18"/>
                  <w:szCs w:val="18"/>
                  <w:color w:val="0000FF"/>
                </w:rPr>
                <w:t>96</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9B.</w:t>
            </w:r>
          </w:p>
        </w:tc>
        <w:tc>
          <w:tcPr>
            <w:tcW w:w="1280" w:type="dxa"/>
            <w:vAlign w:val="bottom"/>
            <w:gridSpan w:val="5"/>
          </w:tcPr>
          <w:p>
            <w:pPr>
              <w:spacing w:after="0" w:line="204"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Other Information</w:t>
              </w:r>
            </w:hyperlink>
          </w:p>
        </w:tc>
        <w:tc>
          <w:tcPr>
            <w:tcW w:w="440" w:type="dxa"/>
            <w:vAlign w:val="bottom"/>
            <w:gridSpan w:val="2"/>
          </w:tcPr>
          <w:p>
            <w:pPr>
              <w:spacing w:after="0"/>
              <w:rPr>
                <w:sz w:val="17"/>
                <w:szCs w:val="17"/>
                <w:color w:val="auto"/>
              </w:rPr>
            </w:pPr>
          </w:p>
        </w:tc>
        <w:tc>
          <w:tcPr>
            <w:tcW w:w="7120" w:type="dxa"/>
            <w:vAlign w:val="bottom"/>
            <w:gridSpan w:val="20"/>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9C.</w:t>
            </w:r>
          </w:p>
        </w:tc>
        <w:tc>
          <w:tcPr>
            <w:tcW w:w="8840" w:type="dxa"/>
            <w:vAlign w:val="bottom"/>
            <w:gridSpan w:val="27"/>
          </w:tcPr>
          <w:p>
            <w:pPr>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Disclosure Regarding Foreign Jurisdictions that Prevent Inspection</w:t>
              </w:r>
            </w:hyperlink>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7"/>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gridSpan w:val="12"/>
          </w:tcPr>
          <w:p>
            <w:pPr>
              <w:jc w:val="center"/>
              <w:ind w:right="3920"/>
              <w:spacing w:after="0"/>
              <w:rPr>
                <w:rFonts w:ascii="Arial" w:cs="Arial" w:eastAsia="Arial" w:hAnsi="Arial"/>
                <w:sz w:val="18"/>
                <w:szCs w:val="18"/>
                <w:color w:val="0000FF"/>
                <w:w w:val="94"/>
              </w:rPr>
            </w:pPr>
            <w:hyperlink w:anchor="page100">
              <w:r>
                <w:rPr>
                  <w:rFonts w:ascii="Arial" w:cs="Arial" w:eastAsia="Arial" w:hAnsi="Arial"/>
                  <w:sz w:val="18"/>
                  <w:szCs w:val="18"/>
                  <w:color w:val="0000FF"/>
                  <w:w w:val="94"/>
                </w:rPr>
                <w:t>Part III</w:t>
              </w:r>
            </w:hyperlink>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10.</w:t>
            </w:r>
          </w:p>
        </w:tc>
        <w:tc>
          <w:tcPr>
            <w:tcW w:w="4400" w:type="dxa"/>
            <w:vAlign w:val="bottom"/>
            <w:gridSpan w:val="16"/>
          </w:tcPr>
          <w:p>
            <w:pPr>
              <w:spacing w:after="0" w:line="204" w:lineRule="exact"/>
              <w:rPr>
                <w:rFonts w:ascii="Arial" w:cs="Arial" w:eastAsia="Arial" w:hAnsi="Arial"/>
                <w:sz w:val="18"/>
                <w:szCs w:val="18"/>
                <w:color w:val="0000FF"/>
                <w:w w:val="97"/>
              </w:rPr>
            </w:pPr>
            <w:hyperlink w:anchor="page100">
              <w:r>
                <w:rPr>
                  <w:rFonts w:ascii="Arial" w:cs="Arial" w:eastAsia="Arial" w:hAnsi="Arial"/>
                  <w:sz w:val="18"/>
                  <w:szCs w:val="18"/>
                  <w:color w:val="0000FF"/>
                  <w:w w:val="97"/>
                </w:rPr>
                <w:t>Directors, Executive Officers and Corporate Governance</w:t>
              </w:r>
            </w:hyperlink>
          </w:p>
        </w:tc>
        <w:tc>
          <w:tcPr>
            <w:tcW w:w="500" w:type="dxa"/>
            <w:vAlign w:val="bottom"/>
            <w:tcBorders>
              <w:top w:val="single" w:sz="8" w:color="0000FF"/>
            </w:tcBorders>
            <w:gridSpan w:val="6"/>
          </w:tcPr>
          <w:p>
            <w:pPr>
              <w:spacing w:after="0"/>
              <w:rPr>
                <w:sz w:val="17"/>
                <w:szCs w:val="17"/>
                <w:color w:val="auto"/>
              </w:rPr>
            </w:pPr>
          </w:p>
        </w:tc>
        <w:tc>
          <w:tcPr>
            <w:tcW w:w="3940" w:type="dxa"/>
            <w:vAlign w:val="bottom"/>
            <w:gridSpan w:val="5"/>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11.</w:t>
            </w:r>
          </w:p>
        </w:tc>
        <w:tc>
          <w:tcPr>
            <w:tcW w:w="1760" w:type="dxa"/>
            <w:vAlign w:val="bottom"/>
            <w:gridSpan w:val="8"/>
          </w:tcPr>
          <w:p>
            <w:pPr>
              <w:spacing w:after="0" w:line="204" w:lineRule="exact"/>
              <w:rPr>
                <w:rFonts w:ascii="Arial" w:cs="Arial" w:eastAsia="Arial" w:hAnsi="Arial"/>
                <w:sz w:val="18"/>
                <w:szCs w:val="18"/>
                <w:color w:val="0000FF"/>
                <w:w w:val="87"/>
              </w:rPr>
            </w:pPr>
            <w:hyperlink w:anchor="page100">
              <w:r>
                <w:rPr>
                  <w:rFonts w:ascii="Arial" w:cs="Arial" w:eastAsia="Arial" w:hAnsi="Arial"/>
                  <w:sz w:val="18"/>
                  <w:szCs w:val="18"/>
                  <w:color w:val="0000FF"/>
                  <w:w w:val="87"/>
                </w:rPr>
                <w:t>Executive Compensation</w:t>
              </w:r>
            </w:hyperlink>
          </w:p>
        </w:tc>
        <w:tc>
          <w:tcPr>
            <w:tcW w:w="2220" w:type="dxa"/>
            <w:vAlign w:val="bottom"/>
            <w:gridSpan w:val="5"/>
          </w:tcPr>
          <w:p>
            <w:pPr>
              <w:spacing w:after="0"/>
              <w:rPr>
                <w:sz w:val="17"/>
                <w:szCs w:val="17"/>
                <w:color w:val="auto"/>
              </w:rPr>
            </w:pPr>
          </w:p>
        </w:tc>
        <w:tc>
          <w:tcPr>
            <w:tcW w:w="4860" w:type="dxa"/>
            <w:vAlign w:val="bottom"/>
            <w:gridSpan w:val="14"/>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12.</w:t>
            </w:r>
          </w:p>
        </w:tc>
        <w:tc>
          <w:tcPr>
            <w:tcW w:w="8840" w:type="dxa"/>
            <w:vAlign w:val="bottom"/>
            <w:gridSpan w:val="27"/>
          </w:tcPr>
          <w:p>
            <w:pPr>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Security Ownership of Certain Beneficial Owners and Management and Related Stockholder Matters</w:t>
              </w:r>
            </w:hyperlink>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98</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13.</w:t>
            </w:r>
          </w:p>
        </w:tc>
        <w:tc>
          <w:tcPr>
            <w:tcW w:w="7100" w:type="dxa"/>
            <w:vAlign w:val="bottom"/>
            <w:gridSpan w:val="25"/>
          </w:tcPr>
          <w:p>
            <w:pPr>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Certain Relationships and Related Transactions and Director Independence</w:t>
              </w:r>
            </w:hyperlink>
          </w:p>
        </w:tc>
        <w:tc>
          <w:tcPr>
            <w:tcW w:w="1740" w:type="dxa"/>
            <w:vAlign w:val="bottom"/>
            <w:gridSpan w:val="2"/>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0">
              <w:r>
                <w:rPr>
                  <w:rFonts w:ascii="Arial" w:cs="Arial" w:eastAsia="Arial" w:hAnsi="Arial"/>
                  <w:sz w:val="18"/>
                  <w:szCs w:val="18"/>
                  <w:color w:val="0000FF"/>
                </w:rPr>
                <w:t>99</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14.</w:t>
            </w:r>
          </w:p>
        </w:tc>
        <w:tc>
          <w:tcPr>
            <w:tcW w:w="5260" w:type="dxa"/>
            <w:vAlign w:val="bottom"/>
            <w:gridSpan w:val="23"/>
          </w:tcPr>
          <w:p>
            <w:pPr>
              <w:spacing w:after="0" w:line="204" w:lineRule="exact"/>
              <w:rPr>
                <w:rFonts w:ascii="Arial" w:cs="Arial" w:eastAsia="Arial" w:hAnsi="Arial"/>
                <w:sz w:val="18"/>
                <w:szCs w:val="18"/>
                <w:color w:val="0000FF"/>
              </w:rPr>
            </w:pPr>
            <w:hyperlink w:anchor="page101">
              <w:r>
                <w:rPr>
                  <w:rFonts w:ascii="Arial" w:cs="Arial" w:eastAsia="Arial" w:hAnsi="Arial"/>
                  <w:sz w:val="18"/>
                  <w:szCs w:val="18"/>
                  <w:color w:val="0000FF"/>
                </w:rPr>
                <w:t>Principal Accountant Fees and Services</w:t>
              </w:r>
            </w:hyperlink>
          </w:p>
        </w:tc>
        <w:tc>
          <w:tcPr>
            <w:tcW w:w="3580" w:type="dxa"/>
            <w:vAlign w:val="bottom"/>
            <w:gridSpan w:val="4"/>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467"/>
        </w:trPr>
        <w:tc>
          <w:tcPr>
            <w:tcW w:w="9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0000FF"/>
            </w:tcBorders>
            <w:gridSpan w:val="7"/>
          </w:tcPr>
          <w:p>
            <w:pPr>
              <w:jc w:val="center"/>
              <w:spacing w:after="0"/>
              <w:rPr>
                <w:rFonts w:ascii="Arial" w:cs="Arial" w:eastAsia="Arial" w:hAnsi="Arial"/>
                <w:sz w:val="18"/>
                <w:szCs w:val="18"/>
                <w:color w:val="0000FF"/>
                <w:w w:val="94"/>
              </w:rPr>
            </w:pPr>
            <w:hyperlink w:anchor="page101">
              <w:r>
                <w:rPr>
                  <w:rFonts w:ascii="Arial" w:cs="Arial" w:eastAsia="Arial" w:hAnsi="Arial"/>
                  <w:sz w:val="18"/>
                  <w:szCs w:val="18"/>
                  <w:color w:val="0000FF"/>
                  <w:w w:val="94"/>
                </w:rPr>
                <w:t>Part IV</w:t>
              </w:r>
            </w:hyperlink>
          </w:p>
        </w:tc>
        <w:tc>
          <w:tcPr>
            <w:tcW w:w="3940" w:type="dxa"/>
            <w:vAlign w:val="bottom"/>
            <w:gridSpan w:val="5"/>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15.</w:t>
            </w:r>
          </w:p>
        </w:tc>
        <w:tc>
          <w:tcPr>
            <w:tcW w:w="3080" w:type="dxa"/>
            <w:vAlign w:val="bottom"/>
            <w:gridSpan w:val="11"/>
          </w:tcPr>
          <w:p>
            <w:pPr>
              <w:spacing w:after="0" w:line="204" w:lineRule="exact"/>
              <w:rPr>
                <w:rFonts w:ascii="Arial" w:cs="Arial" w:eastAsia="Arial" w:hAnsi="Arial"/>
                <w:sz w:val="18"/>
                <w:szCs w:val="18"/>
                <w:color w:val="0000FF"/>
                <w:w w:val="87"/>
              </w:rPr>
            </w:pPr>
            <w:hyperlink w:anchor="page101">
              <w:r>
                <w:rPr>
                  <w:rFonts w:ascii="Arial" w:cs="Arial" w:eastAsia="Arial" w:hAnsi="Arial"/>
                  <w:sz w:val="18"/>
                  <w:szCs w:val="18"/>
                  <w:color w:val="0000FF"/>
                  <w:w w:val="87"/>
                </w:rPr>
                <w:t>Exhibits and Financial Statement Schedules</w:t>
              </w:r>
            </w:hyperlink>
          </w:p>
        </w:tc>
        <w:tc>
          <w:tcPr>
            <w:tcW w:w="5760" w:type="dxa"/>
            <w:vAlign w:val="bottom"/>
            <w:gridSpan w:val="16"/>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960" w:type="dxa"/>
            <w:vAlign w:val="bottom"/>
          </w:tcPr>
          <w:p>
            <w:pPr>
              <w:ind w:left="20"/>
              <w:spacing w:after="0" w:line="204" w:lineRule="exact"/>
              <w:rPr>
                <w:sz w:val="20"/>
                <w:szCs w:val="20"/>
                <w:color w:val="auto"/>
              </w:rPr>
            </w:pPr>
            <w:r>
              <w:rPr>
                <w:rFonts w:ascii="Arial" w:cs="Arial" w:eastAsia="Arial" w:hAnsi="Arial"/>
                <w:sz w:val="18"/>
                <w:szCs w:val="18"/>
                <w:color w:val="auto"/>
              </w:rPr>
              <w:t>Item 16.</w:t>
            </w:r>
          </w:p>
        </w:tc>
        <w:tc>
          <w:tcPr>
            <w:tcW w:w="3080" w:type="dxa"/>
            <w:vAlign w:val="bottom"/>
            <w:gridSpan w:val="11"/>
          </w:tcPr>
          <w:p>
            <w:pPr>
              <w:spacing w:after="0" w:line="204" w:lineRule="exact"/>
              <w:rPr>
                <w:rFonts w:ascii="Arial" w:cs="Arial" w:eastAsia="Arial" w:hAnsi="Arial"/>
                <w:sz w:val="18"/>
                <w:szCs w:val="18"/>
                <w:color w:val="0000FF"/>
              </w:rPr>
            </w:pPr>
            <w:hyperlink w:anchor="page104">
              <w:r>
                <w:rPr>
                  <w:rFonts w:ascii="Arial" w:cs="Arial" w:eastAsia="Arial" w:hAnsi="Arial"/>
                  <w:sz w:val="18"/>
                  <w:szCs w:val="18"/>
                  <w:color w:val="0000FF"/>
                </w:rPr>
                <w:t>Form 10-K Summary</w:t>
              </w:r>
            </w:hyperlink>
          </w:p>
        </w:tc>
        <w:tc>
          <w:tcPr>
            <w:tcW w:w="5760" w:type="dxa"/>
            <w:vAlign w:val="bottom"/>
            <w:gridSpan w:val="16"/>
          </w:tcPr>
          <w:p>
            <w:pPr>
              <w:spacing w:after="0"/>
              <w:rPr>
                <w:sz w:val="17"/>
                <w:szCs w:val="17"/>
                <w:color w:val="auto"/>
              </w:rPr>
            </w:pPr>
          </w:p>
        </w:tc>
        <w:tc>
          <w:tcPr>
            <w:tcW w:w="1440" w:type="dxa"/>
            <w:vAlign w:val="bottom"/>
            <w:gridSpan w:val="5"/>
          </w:tcPr>
          <w:p>
            <w:pPr>
              <w:jc w:val="right"/>
              <w:ind w:right="60"/>
              <w:spacing w:after="0" w:line="204" w:lineRule="exact"/>
              <w:rPr>
                <w:rFonts w:ascii="Arial" w:cs="Arial" w:eastAsia="Arial" w:hAnsi="Arial"/>
                <w:sz w:val="18"/>
                <w:szCs w:val="18"/>
                <w:color w:val="0000FF"/>
              </w:rPr>
            </w:pPr>
            <w:hyperlink w:anchor="page104">
              <w:r>
                <w:rPr>
                  <w:rFonts w:ascii="Arial" w:cs="Arial" w:eastAsia="Arial" w:hAnsi="Arial"/>
                  <w:sz w:val="18"/>
                  <w:szCs w:val="18"/>
                  <w:color w:val="0000FF"/>
                </w:rPr>
                <w:t>102</w:t>
              </w:r>
            </w:hyperlink>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7"/>
        </w:trPr>
        <w:tc>
          <w:tcPr>
            <w:tcW w:w="960" w:type="dxa"/>
            <w:vAlign w:val="bottom"/>
          </w:tcPr>
          <w:p>
            <w:pPr>
              <w:spacing w:after="0"/>
              <w:rPr>
                <w:sz w:val="24"/>
                <w:szCs w:val="24"/>
                <w:color w:val="auto"/>
              </w:rPr>
            </w:pPr>
          </w:p>
        </w:tc>
        <w:tc>
          <w:tcPr>
            <w:tcW w:w="1500" w:type="dxa"/>
            <w:vAlign w:val="bottom"/>
            <w:gridSpan w:val="6"/>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Signatures</w:t>
              </w:r>
            </w:hyperlink>
          </w:p>
        </w:tc>
        <w:tc>
          <w:tcPr>
            <w:tcW w:w="7340" w:type="dxa"/>
            <w:vAlign w:val="bottom"/>
            <w:gridSpan w:val="21"/>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gridSpan w:val="4"/>
          </w:tcPr>
          <w:p>
            <w:pPr>
              <w:jc w:val="right"/>
              <w:ind w:right="60"/>
              <w:spacing w:after="0"/>
              <w:rPr>
                <w:rFonts w:ascii="Arial" w:cs="Arial" w:eastAsia="Arial" w:hAnsi="Arial"/>
                <w:sz w:val="18"/>
                <w:szCs w:val="18"/>
                <w:color w:val="0000FF"/>
                <w:w w:val="79"/>
              </w:rPr>
            </w:pPr>
            <w:hyperlink w:anchor="page104">
              <w:r>
                <w:rPr>
                  <w:rFonts w:ascii="Arial" w:cs="Arial" w:eastAsia="Arial" w:hAnsi="Arial"/>
                  <w:sz w:val="18"/>
                  <w:szCs w:val="18"/>
                  <w:color w:val="0000FF"/>
                  <w:w w:val="79"/>
                </w:rPr>
                <w:t>103</w:t>
              </w:r>
            </w:hyperlink>
          </w:p>
        </w:tc>
      </w:tr>
      <w:tr>
        <w:trPr>
          <w:trHeight w:val="1750"/>
        </w:trPr>
        <w:tc>
          <w:tcPr>
            <w:tcW w:w="9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w:t>
      </w:r>
    </w:p>
    <w:p>
      <w:pPr>
        <w:spacing w:after="0" w:line="167"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asset sales, cash flow, debt levels or other financial items; any statements of the plans, strategies and objectives of management for future operations; including, but not limited to, technology innovations;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119"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43" w:lineRule="exact"/>
        <w:rPr>
          <w:rFonts w:ascii="Arial" w:cs="Arial" w:eastAsia="Arial" w:hAnsi="Arial"/>
          <w:sz w:val="18"/>
          <w:szCs w:val="18"/>
          <w:color w:val="auto"/>
        </w:rPr>
      </w:pPr>
    </w:p>
    <w:p>
      <w:pPr>
        <w:ind w:left="640" w:hanging="319"/>
        <w:spacing w:after="0" w:line="259"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our incentive and compensation plans and programs, including such effects on our Standards Operating Model and our operational and financial performance;</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growth strategy;</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of our Standards Operating, 4E Leadership and Strategic Acquisition Models;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9"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number of deaths in our markets;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and our ability to adapt to or meet those changes;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preneed sales, including implementing our cemetery portfolio sales strategy;</w:t>
      </w:r>
    </w:p>
    <w:p>
      <w:pPr>
        <w:spacing w:after="0" w:line="29"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technology innovation strategy;</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performance of our funeral and cemetery trust funds;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9"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0" w:lineRule="exact"/>
        <w:rPr>
          <w:rFonts w:ascii="Arial" w:cs="Arial" w:eastAsia="Arial" w:hAnsi="Arial"/>
          <w:sz w:val="18"/>
          <w:szCs w:val="18"/>
          <w:color w:val="auto"/>
        </w:rPr>
      </w:pPr>
    </w:p>
    <w:p>
      <w:pPr>
        <w:jc w:val="both"/>
        <w:ind w:left="640" w:hanging="319"/>
        <w:spacing w:after="0" w:line="24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timing, objectives and expectations related to our capital allocation framework, including our forecasted rates of return, planned uses of free cash flow and future capital allocation, including share repurchases, internal growth projects, potential strategic acquisitions, dividend increases, or debt repayment plans;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timely and full payment of death benefits related to preneed funeral contracts funded through life insurance contracts;</w:t>
      </w:r>
    </w:p>
    <w:p>
      <w:pPr>
        <w:spacing w:after="0" w:line="3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timely and full payment of death benefits related to preneed funeral contracts funded through life insurance contracts;</w:t>
      </w:r>
    </w:p>
    <w:p>
      <w:pPr>
        <w:spacing w:after="0" w:line="29"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of third-party insurance companies that fund our preneed funeral contracts;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or unanticipated costs, such as insurance or taxes;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indebtedness and the cash required to service our indebtedness;</w:t>
      </w:r>
    </w:p>
    <w:p>
      <w:pPr>
        <w:spacing w:after="0" w:line="29"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income tax laws and regulations and the implementation and interpretation of these laws and regulations by the Internal Revenue Service;</w:t>
      </w:r>
    </w:p>
    <w:p>
      <w:pPr>
        <w:spacing w:after="0" w:line="10"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the application of other applicable laws and regulations, including changes in such regulations or the interpretation thereof;</w:t>
      </w:r>
    </w:p>
    <w:p>
      <w:pPr>
        <w:spacing w:after="0" w:line="29" w:lineRule="exact"/>
        <w:rPr>
          <w:rFonts w:ascii="Arial" w:cs="Arial" w:eastAsia="Arial" w:hAnsi="Arial"/>
          <w:sz w:val="18"/>
          <w:szCs w:val="18"/>
          <w:color w:val="auto"/>
        </w:rPr>
      </w:pPr>
    </w:p>
    <w:p>
      <w:pPr>
        <w:ind w:left="640" w:hanging="319"/>
        <w:spacing w:after="0" w:line="250"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epidemics and pandemics, including the COVID-19 coronavirus, including new variants of COVID-19, such as the Delta and Omicron variants, on customer preferences and on our business;</w:t>
      </w:r>
    </w:p>
    <w:p>
      <w:pPr>
        <w:spacing w:after="0" w:line="1" w:lineRule="exact"/>
        <w:rPr>
          <w:rFonts w:ascii="Arial" w:cs="Arial" w:eastAsia="Arial" w:hAnsi="Arial"/>
          <w:sz w:val="18"/>
          <w:szCs w:val="18"/>
          <w:color w:val="auto"/>
        </w:rPr>
      </w:pPr>
    </w:p>
    <w:p>
      <w:pPr>
        <w:ind w:left="640" w:hanging="319"/>
        <w:spacing w:after="0" w:line="24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social, business and other actions that have been and will be taken in response to pandemics, including potential responses to new variants of COVID-19, such as the Delta and Omicron variants;</w:t>
      </w:r>
    </w:p>
    <w:p>
      <w:pPr>
        <w:spacing w:after="0" w:line="2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and expense of litigation;</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the funeral and cemetery industry;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40" w:hanging="319"/>
        <w:spacing w:after="0" w:line="259"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consummate the divestiture of low performing businesses as currently expected, if at all, including expected use of proceeds related thereto;</w:t>
      </w:r>
    </w:p>
    <w:p>
      <w:pPr>
        <w:ind w:left="640" w:hanging="319"/>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integrate acquired businesses with our existing businesses, including expected performance and financial improvements related thereto;</w:t>
      </w:r>
    </w:p>
    <w:p>
      <w:pPr>
        <w:spacing w:after="0" w:line="66" w:lineRule="exact"/>
        <w:rPr>
          <w:rFonts w:ascii="Arial" w:cs="Arial" w:eastAsia="Arial" w:hAnsi="Arial"/>
          <w:sz w:val="16"/>
          <w:szCs w:val="16"/>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financial and stock market fluctuations;</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or security lapses of our information technology, including any cybersecurity or ransomware incidents;</w:t>
      </w:r>
    </w:p>
    <w:p>
      <w:pPr>
        <w:spacing w:after="0" w:line="2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control over financial reporting; and</w:t>
      </w:r>
    </w:p>
    <w:p>
      <w:pPr>
        <w:spacing w:after="0" w:line="43"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funeral and cemetery industry.</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our projected results, please see Part I, Item 1A, Risk Factors.</w:t>
      </w:r>
    </w:p>
    <w:p>
      <w:pPr>
        <w:spacing w:after="0" w:line="129"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we operated 170 funeral homes in 26 states and 31 cemeteries in 11 states. We compete with other publicly held and independent operators of funeral and cemetery companies. We believe we are a market leader in most of our markets.</w:t>
      </w:r>
    </w:p>
    <w:p>
      <w:pPr>
        <w:spacing w:after="0" w:line="7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6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provide funeral and cemetery services and products on both an “atneed” (time of death) and “preneed” (planned prior to death)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Team</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June 1, 2021, C. Benjamin Brink, Steven D. Metzger and Carlos R. Quezada were each promoted to Executive Vice President. Our Board of Directors (our “Board”) also appointed Carlos R. Quezada to serve as the Company’s Chief Operating Officer and Steven D. Metzger to serve as the Company's Chief Administrative Officer.</w:t>
      </w:r>
    </w:p>
    <w:p>
      <w:pPr>
        <w:spacing w:after="0" w:line="85" w:lineRule="exact"/>
        <w:rPr>
          <w:sz w:val="20"/>
          <w:szCs w:val="20"/>
          <w:color w:val="auto"/>
        </w:rPr>
      </w:pPr>
    </w:p>
    <w:p>
      <w:pPr>
        <w:ind w:right="1780" w:firstLine="395"/>
        <w:spacing w:after="0" w:line="358" w:lineRule="auto"/>
        <w:rPr>
          <w:sz w:val="20"/>
          <w:szCs w:val="20"/>
          <w:color w:val="auto"/>
        </w:rPr>
      </w:pPr>
      <w:r>
        <w:rPr>
          <w:rFonts w:ascii="Arial" w:cs="Arial" w:eastAsia="Arial" w:hAnsi="Arial"/>
          <w:sz w:val="18"/>
          <w:szCs w:val="18"/>
          <w:color w:val="auto"/>
        </w:rPr>
        <w:t xml:space="preserve">On February 23, 2022, our Board appointed Carlos R. Quezada to serve as the Company's President and Chief Operating Officer. </w:t>
      </w:r>
      <w:r>
        <w:rPr>
          <w:rFonts w:ascii="Arial" w:cs="Arial" w:eastAsia="Arial" w:hAnsi="Arial"/>
          <w:sz w:val="18"/>
          <w:szCs w:val="18"/>
          <w:i w:val="1"/>
          <w:iCs w:val="1"/>
          <w:color w:val="auto"/>
        </w:rPr>
        <w:t>Share Repurchase Program</w:t>
      </w:r>
    </w:p>
    <w:p>
      <w:pPr>
        <w:spacing w:after="0" w:line="1"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6"/>
          <w:szCs w:val="16"/>
          <w:color w:val="auto"/>
        </w:rPr>
        <w:t>During 2021, our Board increased our share repurchase program authorization by an additional $125.0 million that, including the addition of amounts previously authorized and outstanding, totaled up to $190.0 million in share repurchase authorizations. During the year ended December 31, 2021, we repurchased 2,906,983 shares of common stock for a total cost of $142.5 million at an average cost of $49.01 per share pursuant to the share repurchase program. At December 31, 2021, we had $8.1 million remaining available for repurchase under our approved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October 27, 2021, our Board approved an increase of $0.05 per share for a total annual dividend of $0.45 per share beginning with the dividend declaration in the fourth quarter. During 2021, we paid $7.3 million in dividends.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Credit Facility</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May 13, 2021, we completed the issuance of $400.0 million in aggregate principal amount of 4.25% Senior Notes due 2029 (the “Senior Notes”). In connection with the issuance of the Senior Notes, we entered into an amended and restated $150.0 million senior secured revolving credit facility (the “Credit Facility”).</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used the proceeds of $395.5 million from the offering of the Senior Notes, which are net of a 1.125% debt discount of $4.5 million, together with cash on hand and borrowings under the Credit Facility, to redeem all of our existing $400.0 million in aggregate principal amount of 6.625% senior notes due 2026 (the “Original Senior Notes”).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November 22, 2021, we entered into a first amendment and commitment increase to the Credit Facility with the financial institutions party thereto, as lenders, and Bank of America, N.A., as administrative agent. Pursuant to this amendment, the revolving credit commitment was increased from $150.0 million to $200.0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2021, we sold two funeral homes and one cemetery for $2.5 million and real property for $5.2 million, for a total net gain of $0.9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i w:val="1"/>
          <w:iCs w:val="1"/>
          <w:color w:val="auto"/>
        </w:rPr>
        <w:t xml:space="preserve">Chinchilla v. Carriage Services, Inc., et al., </w:t>
      </w:r>
      <w:r>
        <w:rPr>
          <w:rFonts w:ascii="Arial" w:cs="Arial" w:eastAsia="Arial" w:hAnsi="Arial"/>
          <w:sz w:val="16"/>
          <w:szCs w:val="16"/>
          <w:color w:val="auto"/>
        </w:rPr>
        <w:t>Superior Court of California, San Joaquin County, Case No. STK-CV-UOE-2021-0004661. On May 19, 2021,</w:t>
      </w:r>
      <w:r>
        <w:rPr>
          <w:rFonts w:ascii="Arial" w:cs="Arial" w:eastAsia="Arial" w:hAnsi="Arial"/>
          <w:sz w:val="16"/>
          <w:szCs w:val="16"/>
          <w:i w:val="1"/>
          <w:iCs w:val="1"/>
          <w:color w:val="auto"/>
        </w:rPr>
        <w:t xml:space="preserve"> </w:t>
      </w:r>
      <w:r>
        <w:rPr>
          <w:rFonts w:ascii="Arial" w:cs="Arial" w:eastAsia="Arial" w:hAnsi="Arial"/>
          <w:sz w:val="16"/>
          <w:szCs w:val="16"/>
          <w:color w:val="auto"/>
        </w:rPr>
        <w:t>a putative class action against the Company and several of our subsidiaries was filed. Plaintiff, a former employee, seeks monetary damages on behalf of himself and other similarly situated current and former non-exempt employees. Plaintiff claims that the Company failed to, among other things, pay minimum wages, provide meal and rest breaks, pay overtime, provide accurately itemized wage statements, reimburse employees for business expenses, and provide wages when due. On January 5, 2022, the parties mediated the matter and executed a Memorandum of Understanding for class settlement in the amount of $1.0 million. The parties will seek preliminary approval of the class settlement after executing a long-form class settlement agreement. At December 31, 2021, we accrued $1.1 million for the expected settlement amount and associated legal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Impact under the Macroeconomic Environment of COVID-19</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On March 11, 2020, COVID-19 was deemed a global pandemic and since then, the Company has continued to proactively monitor and assess the pandemic’s current and potential impact to the Company’s operations. Throughout the pandemic, the Company’s senior leadership team has taken steps to assist our businesses in appropriately adjusting and adapting to the conditions resulting from the COVID-19 pandemic.</w:t>
      </w:r>
    </w:p>
    <w:p>
      <w:pPr>
        <w:spacing w:after="0" w:line="4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businesses remain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took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The Company also implemented additional safety and precautionary measures as it concerns our businesses’ day-to-day interaction with the families and communities they serve.</w:t>
      </w:r>
    </w:p>
    <w:p>
      <w:pPr>
        <w:spacing w:after="0" w:line="9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overall impact of the macroeconomic environment to the deathcare industry from the pandemic may provide varying results as compared to other industries. Our industry’s revenues are impacted by various factors, including the number of funeral services performed, the average price for a service and the mix of traditional burial versus cremation contracts. During 2021, changes in the macroeconomic environment as a result of the pandemic have, to this point, led to an increase in funeral volumes and the services we provide. Our businesses have remained focused on being innovative and resourceful, providing families immediate service as part of the grieving process.</w:t>
      </w:r>
    </w:p>
    <w:p>
      <w:pPr>
        <w:spacing w:after="0" w:line="8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Within our financial reporting environment, we have considered various areas that could affect the results of our operations, though the scope, severity and duration of these impacts remain uncertain at this time because the ultimate impact of COVID-19 remains uncertain, including the potential impacts of new variants of COVID-19, such as the Delta and Omicron variants, and any resulting government responses to such variants. We do not believe we are particularly vulnerable to concentrations, with respect to geographic area, revenue for specific products or our relationships with our vendors. Our relationships with our vendors and suppliers have remained consistent and we continue to receive reliable service. To date, we have not experienced any material supply chain impacts or disruptions from our vendors. Remote working arrangements, when utilized, have not materially affected our ability to maintain and support operations, including financial reporting systems, internal controls over financial reporting, and disclosure controls and procedures.</w:t>
      </w:r>
    </w:p>
    <w:p>
      <w:pPr>
        <w:spacing w:after="0" w:line="6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believe our access to capital, the cost of our capital, or the sources and uses of our cash should be relatively consistent in the near term. While the expected duration of the pandemic is unknown, we have not currently experienced any material negative impacts to our liquidity position, access to capital, or cash flows as a result of COVID-19. See Part II, Item 7, Management's Discussion and Analysis of Financial Condition and Results of Operations, Liquidity and Capital Resources for additional information related to our liquidity position.</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latter half of 2021, we experienced a high growth rate in funeral home revenue due to elevated funeral volumes from broad market share gains and higher COVID-19 related deaths combined with incremental growth in the average revenue per funeral contract. We will continue to assess these impacts, including the potential impacts of new variants of COVID-19,</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such as the Delta and Omicron variants, and implement appropriate procedures, plans, strategy, and issue any disclosures that may be required, as the situation surrounding the pandemic and related regulatory mandates and restrictions, if any, evolves.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II, Item 8, Financial Statements and Supplementary Data, Note 21 for segment data related to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and Cemetery Operations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funeral home and cemetery operations are managed by a team of experienced industry and sales professionals with substantial leadership experience.</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Given the high fixed-cost structure associated with funeral home operations, we believe the following are key factors affecting our profitability:</w:t>
      </w:r>
    </w:p>
    <w:p>
      <w:pPr>
        <w:spacing w:after="0" w:line="79" w:lineRule="exact"/>
        <w:rPr>
          <w:sz w:val="20"/>
          <w:szCs w:val="20"/>
          <w:color w:val="auto"/>
        </w:rPr>
      </w:pPr>
    </w:p>
    <w:p>
      <w:pPr>
        <w:ind w:left="1180" w:hanging="62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market share positions supported by strong local heritage and relationships;</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effectively respond to the increasing trends towards cremation by bundling complimentary services and merchandise;</w:t>
      </w:r>
    </w:p>
    <w:p>
      <w:pPr>
        <w:spacing w:after="0" w:line="79" w:lineRule="exact"/>
        <w:rPr>
          <w:rFonts w:ascii="Arial" w:cs="Arial" w:eastAsia="Arial" w:hAnsi="Arial"/>
          <w:sz w:val="16"/>
          <w:szCs w:val="16"/>
          <w:color w:val="auto"/>
        </w:rPr>
      </w:pPr>
    </w:p>
    <w:p>
      <w:pPr>
        <w:ind w:left="1180" w:hanging="62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execute our Standards Operating Model;</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salary, merchandise and other controllable costs;</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exercise pricing leverage related to our atneed business to increase average revenue per contract;</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demographic trends in terms of population growth and average age, which impact death rates and number of deaths; and</w:t>
      </w:r>
    </w:p>
    <w:p>
      <w:pPr>
        <w:spacing w:after="0" w:line="56" w:lineRule="exact"/>
        <w:rPr>
          <w:rFonts w:ascii="Arial" w:cs="Arial" w:eastAsia="Arial" w:hAnsi="Arial"/>
          <w:sz w:val="18"/>
          <w:szCs w:val="18"/>
          <w:color w:val="auto"/>
        </w:rPr>
      </w:pPr>
    </w:p>
    <w:p>
      <w:pPr>
        <w:ind w:left="1180" w:hanging="622"/>
        <w:spacing w:after="0" w:line="261" w:lineRule="auto"/>
        <w:tabs>
          <w:tab w:leader="none" w:pos="1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response to fluctuations in capital markets and interest rates, which affect investment earnings on trust funds and our securities portfolio within the trust funds, which would offset lower pricing power as preneed contracts mature.</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cemetery operations are subject to many of the same profitability factors as our funeral home business, as well as the following key factors:</w:t>
      </w:r>
    </w:p>
    <w:p>
      <w:pPr>
        <w:spacing w:after="0" w:line="79" w:lineRule="exact"/>
        <w:rPr>
          <w:sz w:val="20"/>
          <w:szCs w:val="20"/>
          <w:color w:val="auto"/>
        </w:rPr>
      </w:pPr>
    </w:p>
    <w:p>
      <w:pPr>
        <w:ind w:left="1180" w:hanging="622"/>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size and success of our sales organization;</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perceptions and heritage of our cemeteries;</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adapt to changes in the economy and consumer confidence; and</w:t>
      </w:r>
    </w:p>
    <w:p>
      <w:pPr>
        <w:spacing w:after="0" w:line="56" w:lineRule="exact"/>
        <w:rPr>
          <w:rFonts w:ascii="Arial" w:cs="Arial" w:eastAsia="Arial" w:hAnsi="Arial"/>
          <w:sz w:val="18"/>
          <w:szCs w:val="18"/>
          <w:color w:val="auto"/>
        </w:rPr>
      </w:pPr>
    </w:p>
    <w:p>
      <w:pPr>
        <w:ind w:left="1180" w:hanging="622"/>
        <w:spacing w:after="0" w:line="261" w:lineRule="auto"/>
        <w:tabs>
          <w:tab w:leader="none" w:pos="11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response to fluctuations in capital markets and interest rates, which affect investment earnings on trust funds, finance charges on installment contracts and our securities portfolio within the trust funds.</w:t>
      </w:r>
    </w:p>
    <w:p>
      <w:pPr>
        <w:spacing w:after="0" w:line="7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Personalization and pre-planning continue to be two important trends in the funeral and cemetery industry, but the national trend toward more cremations may be the most significant. While this trend is expected to continue, other factors are expected to lead to rising industry revenue, including an increase in spending on additional or unique funeral and cremation services. Shifting preferences will likely continue to lead to a considerable rise in cremations; as such, we are focused on educating and providing our cremation customers with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the following are our key strengths for our funeral home and cemetery operations: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Market Leader. </w:t>
      </w:r>
      <w:r>
        <w:rPr>
          <w:rFonts w:ascii="Arial" w:cs="Arial" w:eastAsia="Arial" w:hAnsi="Arial"/>
          <w:sz w:val="18"/>
          <w:szCs w:val="18"/>
          <w:color w:val="auto"/>
        </w:rPr>
        <w:t>We compete with other publicly held funeral and cemetery companies and smaller, independent operators and believe we are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leader in most of our markets. We focus on markets that perform better than the industry average and are less subject to material economic and demographic changes.</w:t>
      </w:r>
    </w:p>
    <w:p>
      <w:pPr>
        <w:spacing w:after="0" w:line="8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i w:val="1"/>
          <w:iCs w:val="1"/>
          <w:color w:val="auto"/>
        </w:rPr>
        <w:t xml:space="preserve">High Performance, Decentralized, Partnership Culture. </w:t>
      </w:r>
      <w:r>
        <w:rPr>
          <w:rFonts w:ascii="Arial" w:cs="Arial" w:eastAsia="Arial" w:hAnsi="Arial"/>
          <w:sz w:val="16"/>
          <w:szCs w:val="16"/>
          <w:color w:val="auto"/>
        </w:rPr>
        <w:t>Our funeral homes and cemeteries are managed by entrepreneurially focused Managing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extensive funeral and cemetery industry experience, often within their local markets. They are responsible for day-to-day operations and for growing the business by hiring, training and developing highly motivated and productive local teams. Our businesses are supported by a broader team of High Performance leaders across multiple disciplines in our support center located in Houston, Texas. This promotes more cooperation and synergy between our funeral and cemetery operations and supports the goal of market-share and volume growth in our most significant markets. We believe our decentralized and partnership culture is very attractive to owners of premier independent businesses that fit our profile of suitable acquisition candidates.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i w:val="1"/>
          <w:iCs w:val="1"/>
          <w:color w:val="auto"/>
        </w:rPr>
        <w:t xml:space="preserve">Flexible Capital Structure and Strong Cash Flows. </w:t>
      </w:r>
      <w:r>
        <w:rPr>
          <w:rFonts w:ascii="Arial" w:cs="Arial" w:eastAsia="Arial" w:hAnsi="Arial"/>
          <w:sz w:val="18"/>
          <w:szCs w:val="18"/>
          <w:color w:val="auto"/>
        </w:rPr>
        <w:t>We believe our capital structure provides us with financial flexibility by allowing us to invest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 growth opportunities, such as business acquisitions and cemetery inventory projects. While we reassess our capital allocation strategy annually, we currently believe that our financial goals will best be achieved by continuing to improve the operating and financial performance of our existing portfolio of businesses while selectively investing our cash in growth opportunities that generate a return on invested capital in excess of our weighted average cost of capital. For additional information regarding our capital structure, please see Part II, Item 7, Management's Discussion and Analysis of Financial Condition and Results of Operations, Liquidity and Capital Resources.</w:t>
      </w:r>
    </w:p>
    <w:p>
      <w:pPr>
        <w:spacing w:after="0" w:line="9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i w:val="1"/>
          <w:iCs w:val="1"/>
          <w:color w:val="auto"/>
        </w:rPr>
        <w:t xml:space="preserve">Strong Field-Level Gross Profit Margins. </w:t>
      </w:r>
      <w:r>
        <w:rPr>
          <w:rFonts w:ascii="Arial" w:cs="Arial" w:eastAsia="Arial" w:hAnsi="Arial"/>
          <w:sz w:val="18"/>
          <w:szCs w:val="18"/>
          <w:color w:val="auto"/>
        </w:rPr>
        <w:t>We believe that we have strong field-level gross profit margins and that this performance is a testament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of our business strategies. Our strong margins and the ability to control costs are important advantages in a business such as ours that is characterized by a high fixed-cost structure. We will continue to seek ways to improve our financial performance, and we believe that our Standards Operating Model will continue to yield long-term improvement in our financial results.</w:t>
      </w:r>
    </w:p>
    <w:p>
      <w:pPr>
        <w:spacing w:after="0" w:line="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i w:val="1"/>
          <w:iCs w:val="1"/>
          <w:color w:val="auto"/>
        </w:rPr>
        <w:t xml:space="preserve">Integrated Information Systems. </w:t>
      </w:r>
      <w:r>
        <w:rPr>
          <w:rFonts w:ascii="Arial" w:cs="Arial" w:eastAsia="Arial" w:hAnsi="Arial"/>
          <w:sz w:val="16"/>
          <w:szCs w:val="16"/>
          <w:color w:val="auto"/>
        </w:rPr>
        <w:t>We have implemented information systems to support local business decisions and to monitor performance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compared to financial and performance standards. Additionally, we have innovative technological and digital tools that enhance our ability to serve our client families in a remote environment. To further enhance the services we provide to our client families, we have begun developing a multi-year strategy with a greater focus on leveraging technology, specifically with customer facing opportunities. All of our funeral homes and cemeteries are connected to our support center located in Houston, Texas, which allows us to monitor and assess critical operating and financial data and analyze the performance of individual locations on a timely basis. Furthermore, our information system infrastructure provides senior management with a critical tool for monitoring and adhering to our established internal controls, which is critical given our decentralized model and the sensitive nature of our business operations.</w:t>
      </w:r>
    </w:p>
    <w:p>
      <w:pPr>
        <w:spacing w:after="0" w:line="66"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i w:val="1"/>
          <w:iCs w:val="1"/>
          <w:color w:val="auto"/>
        </w:rPr>
        <w:t xml:space="preserve">Proven Leadership Team. </w:t>
      </w:r>
      <w:r>
        <w:rPr>
          <w:rFonts w:ascii="Arial" w:cs="Arial" w:eastAsia="Arial" w:hAnsi="Arial"/>
          <w:sz w:val="15"/>
          <w:szCs w:val="15"/>
          <w:color w:val="auto"/>
        </w:rPr>
        <w:t>Our leadership team, headed by our founder, Chairman and Chief Executive Officer, Melvin C. Payne, is characterized by a</w:t>
      </w:r>
      <w:r>
        <w:rPr>
          <w:rFonts w:ascii="Arial" w:cs="Arial" w:eastAsia="Arial" w:hAnsi="Arial"/>
          <w:sz w:val="15"/>
          <w:szCs w:val="15"/>
          <w:i w:val="1"/>
          <w:iCs w:val="1"/>
          <w:color w:val="auto"/>
        </w:rPr>
        <w:t xml:space="preserve"> </w:t>
      </w:r>
      <w:r>
        <w:rPr>
          <w:rFonts w:ascii="Arial" w:cs="Arial" w:eastAsia="Arial" w:hAnsi="Arial"/>
          <w:sz w:val="15"/>
          <w:szCs w:val="15"/>
          <w:color w:val="auto"/>
        </w:rPr>
        <w:t>dynamic culture that focuses on addressing changing market conditions and emerging trends in the funeral services industry. We believe our culture of emphasizing the 4E (Energy, Energize Others, Edge and Execution) leadership characteristics is critical and will provide an important advantage as the funeral and cemetery industry evolves. We are committed to continue operating an efficient organization and strengthening our corporate and local business leadership.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Preneed Programs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Funeral and cemetery arrangements sold prior to death occurring are referred to as preneed contracts. We market funeral and cemetery services and products on a preneed basis at the local level. We operate under a decentralized preneed sales strategy whereby each business location customizes its preneed program to its local needs.</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Preneed funeral or cemetery contracts enable families to establish, in advance, the type of service to be performed, the products to be used and the cost of such products and services. Preneed contracts permit families to eliminate the burden of making deathcare plans at the time of need and allow input from other family members before the death occurs. We guarantee the price and performance of the preneed contracts to the customer.</w:t>
      </w:r>
    </w:p>
    <w:p>
      <w:pPr>
        <w:spacing w:after="0" w:line="4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Approximately 15%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our local funeral directors with sales sourced by our own sales counselors and by third party sellers. We sold 7,525 and 9,563 preneed funeral contracts, net of cancellations, during the years ended December 31, 2020 and 2021, respectively. At December 31, 2021, we had a backlog of 97,203 preneed funeral contracts to be delivered in the future.</w:t>
      </w:r>
    </w:p>
    <w:p>
      <w:pPr>
        <w:spacing w:after="0" w:line="6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addition to preneed funeral contracts, we also offer “pre-planned” funeral arrangements whereby a customer determines in advance substantially all of the details of a funeral service without any financial commitment or other obligation on the part of the client until the actual time of need. Pre-planned funeral arrangements permit a family to avoid the burden of making deathcare plans at the time of need and enable a funeral home to establish relationships with a client that may eventually lead to an atneed sale.</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Approximately 50% of our cemetery operating revenue is derived from preneed property sales. Our preneed cemetery strategy is to build family heritage in our cemeteries by selling property and interment rights prior to death through full time, highly motivated and entrepreneurial local sales teams. Our goal is to build broader and deeper teams of sales leaders and counselors in our larger and more strategically located cemeteries, including the development of standardized sales systems across our portfolio of cemeteries, in order to focus on growth of our preneed property sales. For example, during 2021, we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continued to grow our cemetery sales and marketing team to develop and implement our standardized sales system.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 Cemetery revenue that originated from preneed contracts represented approximately 67% of our total cemetery revenue for both 2020 and 2021. At December 31, 2021, we had a backlog of 65,694 preneed cemetery contracts to be delivered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Funds and Insurance Contracts</w:t>
      </w:r>
    </w:p>
    <w:p>
      <w:pPr>
        <w:spacing w:after="0" w:line="10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that we select. Investment management and advisory services are provided either by our wholly-owned registered investment advisory firm (“CSV RIA”) or by independent financial advisors. As of December 31, 2021, CSV RIA provided these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provides guidance on asset allocation, investment requirements, investment manager selection and performance monitoring. The investment objectives are tailored to generate long-term investment returns without assuming undue risk, while ensuring the management of assets complies with applicable laws.</w:t>
      </w:r>
    </w:p>
    <w:p>
      <w:pPr>
        <w:spacing w:after="0" w:line="6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Preneed sales generally require deposits to a trust or purchase of a third-party insurance product. Trust fund income earned, along with the receipt and recognition of any insurance benefits, are not reflected in our revenue until the service is performed or the merchandise is delivered. Trust fund holdings and deferred revenue are reflected on our Consolidated Balance Sheet, while our insurance funded contracts are not reflected on our Consolidated Balance Sheet. In most states, we are not permitted to withdraw principal or investment income from such trusts until the service is performed. Additionally, in most states, regulations require a portion (generally 10%) of the sale amount of cemetery property and memorials to be placed in a perpetual care trust. The income from these perpetual care trusts provides funds necessary to maintain cemetery property and memorials in perpetuity.</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additional information with respect to our trusts, see Part II, Item 8, Financial Statements and Supplementary Data, Note 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business strategy is based on strong, local leadership with entrepreneurial principles that is focused on sustainable long-term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spacing w:after="0" w:line="84"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and our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state our core values, which are comprised of:</w:t>
      </w:r>
    </w:p>
    <w:p>
      <w:pPr>
        <w:spacing w:after="0" w:line="31" w:lineRule="exact"/>
        <w:rPr>
          <w:sz w:val="20"/>
          <w:szCs w:val="20"/>
          <w:color w:val="auto"/>
        </w:rPr>
      </w:pPr>
    </w:p>
    <w:p>
      <w:pPr>
        <w:ind w:left="1180" w:hanging="62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Honesty, integrity and quality in all that we do;</w:t>
      </w:r>
    </w:p>
    <w:p>
      <w:pPr>
        <w:spacing w:after="0" w:line="82" w:lineRule="exact"/>
        <w:rPr>
          <w:rFonts w:ascii="Arial" w:cs="Arial" w:eastAsia="Arial" w:hAnsi="Arial"/>
          <w:sz w:val="18"/>
          <w:szCs w:val="18"/>
          <w:color w:val="auto"/>
        </w:rPr>
      </w:pPr>
    </w:p>
    <w:p>
      <w:pPr>
        <w:ind w:left="1180" w:hanging="62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Hard work, pride of accomplishment and shared success through employee ownership;</w:t>
      </w:r>
    </w:p>
    <w:p>
      <w:pPr>
        <w:spacing w:after="0" w:line="69" w:lineRule="exact"/>
        <w:rPr>
          <w:rFonts w:ascii="Arial" w:cs="Arial" w:eastAsia="Arial" w:hAnsi="Arial"/>
          <w:sz w:val="18"/>
          <w:szCs w:val="18"/>
          <w:color w:val="auto"/>
        </w:rPr>
      </w:pPr>
    </w:p>
    <w:p>
      <w:pPr>
        <w:ind w:left="1180" w:hanging="62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Belief in the power of people through individual initiative and teamwork;</w:t>
      </w:r>
    </w:p>
    <w:p>
      <w:pPr>
        <w:spacing w:after="0" w:line="69" w:lineRule="exact"/>
        <w:rPr>
          <w:rFonts w:ascii="Arial" w:cs="Arial" w:eastAsia="Arial" w:hAnsi="Arial"/>
          <w:sz w:val="18"/>
          <w:szCs w:val="18"/>
          <w:color w:val="auto"/>
        </w:rPr>
      </w:pPr>
    </w:p>
    <w:p>
      <w:pPr>
        <w:ind w:left="1180" w:hanging="62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Outstanding service and profitability go hand-in-hand; and</w:t>
      </w:r>
    </w:p>
    <w:p>
      <w:pPr>
        <w:spacing w:after="0" w:line="82" w:lineRule="exact"/>
        <w:rPr>
          <w:rFonts w:ascii="Arial" w:cs="Arial" w:eastAsia="Arial" w:hAnsi="Arial"/>
          <w:sz w:val="18"/>
          <w:szCs w:val="18"/>
          <w:color w:val="auto"/>
        </w:rPr>
      </w:pPr>
    </w:p>
    <w:p>
      <w:pPr>
        <w:ind w:left="1180" w:hanging="622"/>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of the Company is driven by decentralization and partnership.</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Our five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collectively embody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high-performance culture and operating framework.</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operations and business strategy are built upon the execution of the following three models:</w:t>
      </w:r>
    </w:p>
    <w:p>
      <w:pPr>
        <w:spacing w:after="0" w:line="83" w:lineRule="exact"/>
        <w:rPr>
          <w:sz w:val="20"/>
          <w:szCs w:val="20"/>
          <w:color w:val="auto"/>
        </w:rPr>
      </w:pPr>
    </w:p>
    <w:p>
      <w:pPr>
        <w:ind w:left="1180" w:hanging="622"/>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Standards Operating Model;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80" w:hanging="622"/>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4E Leadership Model; and</w:t>
      </w:r>
    </w:p>
    <w:p>
      <w:pPr>
        <w:spacing w:after="0" w:line="82" w:lineRule="exact"/>
        <w:rPr>
          <w:rFonts w:ascii="Arial" w:cs="Arial" w:eastAsia="Arial" w:hAnsi="Arial"/>
          <w:sz w:val="18"/>
          <w:szCs w:val="18"/>
          <w:color w:val="auto"/>
        </w:rPr>
      </w:pPr>
    </w:p>
    <w:p>
      <w:pPr>
        <w:ind w:left="1180" w:hanging="622"/>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Acquisition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Operating Model</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Important elements of our Standards Operating Model include:</w:t>
      </w:r>
    </w:p>
    <w:p>
      <w:pPr>
        <w:spacing w:after="0" w:line="69" w:lineRule="exact"/>
        <w:rPr>
          <w:sz w:val="20"/>
          <w:szCs w:val="20"/>
          <w:color w:val="auto"/>
        </w:rPr>
      </w:pPr>
    </w:p>
    <w:p>
      <w:pPr>
        <w:jc w:val="both"/>
        <w:ind w:left="1180" w:hanging="622"/>
        <w:spacing w:after="0" w:line="250" w:lineRule="auto"/>
        <w:tabs>
          <w:tab w:leader="none" w:pos="11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Balanced Operating Model </w:t>
      </w:r>
      <w:r>
        <w:rPr>
          <w:rFonts w:ascii="Arial" w:cs="Arial" w:eastAsia="Arial" w:hAnsi="Arial"/>
          <w:sz w:val="18"/>
          <w:szCs w:val="18"/>
          <w:color w:val="auto"/>
        </w:rPr>
        <w:t>– We believe a decentralized structure works best in the funeral and cemetery industry. Successful execution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Operating Model is highly dependent on strong local leadership, intelligent risk taking, entrepreneurial drive and corporate support aligned with the key drivers of a successful operation organized around three primary areas - market share, high-value services and operating financial metrics.</w:t>
      </w:r>
    </w:p>
    <w:p>
      <w:pPr>
        <w:spacing w:after="0" w:line="45" w:lineRule="exact"/>
        <w:rPr>
          <w:rFonts w:ascii="Arial" w:cs="Arial" w:eastAsia="Arial" w:hAnsi="Arial"/>
          <w:sz w:val="18"/>
          <w:szCs w:val="18"/>
          <w:color w:val="auto"/>
        </w:rPr>
      </w:pPr>
    </w:p>
    <w:p>
      <w:pPr>
        <w:jc w:val="both"/>
        <w:ind w:left="1180" w:hanging="622"/>
        <w:spacing w:after="0" w:line="291" w:lineRule="auto"/>
        <w:tabs>
          <w:tab w:leader="none" w:pos="117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Incentives Aligned with Standards – </w:t>
      </w:r>
      <w:r>
        <w:rPr>
          <w:rFonts w:ascii="Arial" w:cs="Arial" w:eastAsia="Arial" w:hAnsi="Arial"/>
          <w:sz w:val="16"/>
          <w:szCs w:val="16"/>
          <w:color w:val="auto"/>
        </w:rPr>
        <w:t>Empowering local managers, who we call Managing Partners, to do the right things in their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local communities, and providing 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w:t>
      </w:r>
    </w:p>
    <w:p>
      <w:pPr>
        <w:spacing w:after="0" w:line="28" w:lineRule="exact"/>
        <w:rPr>
          <w:rFonts w:ascii="Arial" w:cs="Arial" w:eastAsia="Arial" w:hAnsi="Arial"/>
          <w:sz w:val="16"/>
          <w:szCs w:val="16"/>
          <w:i w:val="1"/>
          <w:iCs w:val="1"/>
          <w:color w:val="auto"/>
        </w:rPr>
      </w:pPr>
    </w:p>
    <w:p>
      <w:pPr>
        <w:jc w:val="both"/>
        <w:ind w:left="1180" w:hanging="622"/>
        <w:spacing w:after="0" w:line="252" w:lineRule="auto"/>
        <w:tabs>
          <w:tab w:leader="none" w:pos="117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Right Local Leadership </w:t>
      </w:r>
      <w:r>
        <w:rPr>
          <w:rFonts w:ascii="Arial" w:cs="Arial" w:eastAsia="Arial" w:hAnsi="Arial"/>
          <w:sz w:val="18"/>
          <w:szCs w:val="18"/>
          <w:color w:val="auto"/>
        </w:rPr>
        <w:t>– Successful execution of our operating model is highly dependent on strong local leadership as defined by our 4E</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Model, intelligent risk taking and entrepreneurial empowerment. A Managing Partner’s performance is judged according to achievement of the standards for that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4E Leadership Model</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high-performance culture: </w:t>
      </w:r>
      <w:r>
        <w:rPr>
          <w:rFonts w:ascii="Arial" w:cs="Arial" w:eastAsia="Arial" w:hAnsi="Arial"/>
          <w:sz w:val="18"/>
          <w:szCs w:val="18"/>
          <w:i w:val="1"/>
          <w:iCs w:val="1"/>
          <w:color w:val="auto"/>
        </w:rPr>
        <w:t>Energy</w:t>
      </w:r>
      <w:r>
        <w:rPr>
          <w:rFonts w:ascii="Arial" w:cs="Arial" w:eastAsia="Arial" w:hAnsi="Arial"/>
          <w:sz w:val="18"/>
          <w:szCs w:val="18"/>
          <w:color w:val="auto"/>
        </w:rPr>
        <w:t xml:space="preserve"> to get the job done; the ability to </w:t>
      </w:r>
      <w:r>
        <w:rPr>
          <w:rFonts w:ascii="Arial" w:cs="Arial" w:eastAsia="Arial" w:hAnsi="Arial"/>
          <w:sz w:val="18"/>
          <w:szCs w:val="18"/>
          <w:i w:val="1"/>
          <w:iCs w:val="1"/>
          <w:color w:val="auto"/>
        </w:rPr>
        <w:t>Energize</w:t>
      </w:r>
      <w:r>
        <w:rPr>
          <w:rFonts w:ascii="Arial" w:cs="Arial" w:eastAsia="Arial" w:hAnsi="Arial"/>
          <w:sz w:val="18"/>
          <w:szCs w:val="18"/>
          <w:color w:val="auto"/>
        </w:rPr>
        <w:t xml:space="preserve"> others; the </w:t>
      </w:r>
      <w:r>
        <w:rPr>
          <w:rFonts w:ascii="Arial" w:cs="Arial" w:eastAsia="Arial" w:hAnsi="Arial"/>
          <w:sz w:val="18"/>
          <w:szCs w:val="18"/>
          <w:i w:val="1"/>
          <w:iCs w:val="1"/>
          <w:color w:val="auto"/>
        </w:rPr>
        <w:t>Edge</w:t>
      </w:r>
      <w:r>
        <w:rPr>
          <w:rFonts w:ascii="Arial" w:cs="Arial" w:eastAsia="Arial" w:hAnsi="Arial"/>
          <w:sz w:val="18"/>
          <w:szCs w:val="18"/>
          <w:color w:val="auto"/>
        </w:rPr>
        <w:t xml:space="preserve"> necessary to make difficult decisions; and the ability to </w:t>
      </w:r>
      <w:r>
        <w:rPr>
          <w:rFonts w:ascii="Arial" w:cs="Arial" w:eastAsia="Arial" w:hAnsi="Arial"/>
          <w:sz w:val="18"/>
          <w:szCs w:val="18"/>
          <w:i w:val="1"/>
          <w:iCs w:val="1"/>
          <w:color w:val="auto"/>
        </w:rPr>
        <w:t>Execute</w:t>
      </w:r>
      <w:r>
        <w:rPr>
          <w:rFonts w:ascii="Arial" w:cs="Arial" w:eastAsia="Arial" w:hAnsi="Arial"/>
          <w:sz w:val="18"/>
          <w:szCs w:val="18"/>
          <w:color w:val="auto"/>
        </w:rPr>
        <w:t xml:space="preserve"> and produce results. To achieve a high level within our Standards in a business year after year, we require our Managing Partners that have the 4E Leadership skills to entrepreneurially grow the business by hiring, training and developing highly motivated and productive local teams.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 Model</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5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84" w:lineRule="exact"/>
        <w:rPr>
          <w:sz w:val="20"/>
          <w:szCs w:val="20"/>
          <w:color w:val="auto"/>
        </w:rPr>
      </w:pPr>
    </w:p>
    <w:p>
      <w:pPr>
        <w:jc w:val="both"/>
        <w:ind w:firstLine="395"/>
        <w:spacing w:after="0" w:line="293" w:lineRule="auto"/>
        <w:rPr>
          <w:sz w:val="20"/>
          <w:szCs w:val="20"/>
          <w:color w:val="auto"/>
        </w:rPr>
      </w:pPr>
      <w:r>
        <w:rPr>
          <w:rFonts w:ascii="Arial" w:cs="Arial" w:eastAsia="Arial" w:hAnsi="Arial"/>
          <w:sz w:val="16"/>
          <w:szCs w:val="16"/>
          <w:color w:val="auto"/>
        </w:rPr>
        <w:t xml:space="preserve">Our belief in our </w:t>
      </w:r>
      <w:r>
        <w:rPr>
          <w:rFonts w:ascii="Arial" w:cs="Arial" w:eastAsia="Arial" w:hAnsi="Arial"/>
          <w:sz w:val="16"/>
          <w:szCs w:val="16"/>
          <w:b w:val="1"/>
          <w:bCs w:val="1"/>
          <w:color w:val="auto"/>
        </w:rPr>
        <w:t>Mission Statement</w:t>
      </w:r>
      <w:r>
        <w:rPr>
          <w:rFonts w:ascii="Arial" w:cs="Arial" w:eastAsia="Arial" w:hAnsi="Arial"/>
          <w:sz w:val="16"/>
          <w:szCs w:val="16"/>
          <w:color w:val="auto"/>
        </w:rPr>
        <w:t xml:space="preserve"> and </w:t>
      </w:r>
      <w:r>
        <w:rPr>
          <w:rFonts w:ascii="Arial" w:cs="Arial" w:eastAsia="Arial" w:hAnsi="Arial"/>
          <w:sz w:val="16"/>
          <w:szCs w:val="16"/>
          <w:b w:val="1"/>
          <w:bCs w:val="1"/>
          <w:color w:val="auto"/>
        </w:rPr>
        <w:t>Guiding Principles</w:t>
      </w:r>
      <w:r>
        <w:rPr>
          <w:rFonts w:ascii="Arial" w:cs="Arial" w:eastAsia="Arial" w:hAnsi="Arial"/>
          <w:sz w:val="16"/>
          <w:szCs w:val="16"/>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operating environment in the funeral and cemetery industry has been highly competitive. The largest publicly held operators, in terms of revenue, of both funeral homes and cemeteries with operations in the United States are Service Corporation International (“SCI”), StoneMor, Inc. (“StoneMor”), Park Lawn Corporation (“Park Lawn”) and Carriage. We believe these four companies collectively represent approximately 25% of funeral and cemetery revenue in the United States Independent businesses, along with a few privately-owned consolidators, represent the remaining amount of industry revenue, accounting for an estimated 75% share of revenue.</w:t>
      </w:r>
    </w:p>
    <w:p>
      <w:pPr>
        <w:spacing w:after="0" w:line="8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9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business can be affected by seasonal fluctuations in the death rate and may be further affected by epidemics and pandemics, like COVID-19. Generally, the number of deaths is higher during the winter months because the incidences of death from influenza and pneumonia are higher during this period than other periods of the year. However, we have experienced fluctuations in the death rate due to COVID-19, although the duration of these impacts on the death rate remain uncertain at this time because the ultimate impact of COVID-19 remains uncertain.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operations are subject to regulations, supervision and licensing under numerous federal, state and local laws, ordinances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extensive regulations concerning 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spacing w:after="0" w:line="89"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i w:val="1"/>
          <w:iCs w:val="1"/>
          <w:color w:val="auto"/>
        </w:rPr>
        <w:t xml:space="preserve">Federal Trade Commission. </w:t>
      </w:r>
      <w:r>
        <w:rPr>
          <w:rFonts w:ascii="Arial" w:cs="Arial" w:eastAsia="Arial" w:hAnsi="Arial"/>
          <w:sz w:val="16"/>
          <w:szCs w:val="16"/>
          <w:color w:val="auto"/>
        </w:rPr>
        <w:t>Our funeral home operations are comprehensively regulated by the Federal Trade Commission (“FTC”) under Section 5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 (iii) 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On February 4, 2020, the FTC has announced that it is reviewing the Funeral Rule, which may result in changes to the Funeral Rule. Among the subjects under review by the FTC is whether the scope of the Funeral Rule should be expanded to cover cemetery sales and merchandise and mandated disclosure of online pricing. We cannot predict what changes, if any, may be made to the Funeral Rule or the impact of any such changes on our business.</w:t>
      </w:r>
    </w:p>
    <w:p>
      <w:pPr>
        <w:spacing w:after="0" w:line="6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i w:val="1"/>
          <w:iCs w:val="1"/>
          <w:color w:val="auto"/>
        </w:rPr>
        <w:t xml:space="preserve">State Trust Laws. </w:t>
      </w:r>
      <w:r>
        <w:rPr>
          <w:rFonts w:ascii="Arial" w:cs="Arial" w:eastAsia="Arial" w:hAnsi="Arial"/>
          <w:sz w:val="16"/>
          <w:szCs w:val="16"/>
          <w:color w:val="auto"/>
        </w:rPr>
        <w:t>We have established a variety of trusts in connection with funeral home and cemetery operations as required under applicable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Such trusts include (i) preneed funeral trusts; (ii) preneed cemetery merchandise and service trusts; and (iii) cemetery perpetual care trusts. These trusts are typically administered by independent financial institutions which we select. Under state trust laws, our wholly owned registered investment advisor is allowed to charge the trust a fee for advising on the investment of the trust assets and these fees are recognized as income in the period in which services are provided. Preneed funeral sales generally require deposits to a trust or purchase of a third-party insurance product. In most states, we are not permitted to withdraw principal or investment income from such trusts until the funeral service is performed. Some states, however, allow for the retention of a percentage (generally 10%) of the receipts to offset 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administrative and selling expenses. Additionally, we are generally required under applicable state laws to deposit a specified amount (which varies from state to state, generally 50% to 100% of the selling price) into a merchandise and service trust fund for preneed cemetery merchandise and services sales.</w:t>
      </w:r>
    </w:p>
    <w:p>
      <w:pPr>
        <w:spacing w:after="0" w:line="30"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Our operations are also subject to certain federal, regional, state and local laws and regulations relating to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 the federal Clean Water Act, and analogous state laws regulate discharges of pollutants to state and federal waters. Underground and above 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 operations, and we cannot assure that we will not incur 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compliance with existing environmental laws and regulations, we cannot assure that we will not incur substantial costs in the future.</w:t>
      </w:r>
    </w:p>
    <w:p>
      <w:pPr>
        <w:spacing w:after="0" w:line="6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Worker Health and Safety</w:t>
      </w:r>
      <w:r>
        <w:rPr>
          <w:rFonts w:ascii="Arial" w:cs="Arial" w:eastAsia="Arial" w:hAnsi="Arial"/>
          <w:sz w:val="16"/>
          <w:szCs w:val="16"/>
          <w:color w:val="auto"/>
        </w:rPr>
        <w:t>. We are subject to the requirements of the federal Occupational Safety and Health Act, as amended (“OSHA”), and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compliance with all applicable laws and regulations relating to worker health and safety.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Our funeral homes and cemeteries are managed by entrepreneurially focused Managing Partners with extensive funeral and cemetery industry experience. They have responsibility for day-to-day operations and follow operating and financial metrics called “Standards” within our Standards Operating Model. Standards Achievement is the measure by which we judge the Managing Partner's performance and how we incentivize our Managing Partners and their teams. To achieve a high level within our Standards in a business year after year, we require local Managing Partners that have the 4E Leadership skills to entrepreneurially grow the business by hiring, training and developing highly motivated and productive local teams. See Part I, Item 1, Business Strategy for additional details about our Standards Operating Model and 4E Leadership Model. Additionally, we utilize short-term and long-term incentive performance programs to attract and retain talent in critical positions, ranging from sales counselors and sales managers to Houston support center leaders and employees.</w:t>
      </w:r>
    </w:p>
    <w:p>
      <w:pPr>
        <w:spacing w:after="0" w:line="6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As of December 31, 2021, we and our subsidiaries employed 2,657 employees, of whom 1,139 were full-time and 1,518 were part-time. All of our funeral directors and embalmers possess licenses required by applicable regulatory agencies. None of our employees are represented by unions.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file annual, quarterly and other reports, and any amendments to those reports, and information with the United States Securities and Exchange Commission (“SEC”). The SEC maintains a website at </w:t>
      </w:r>
      <w:r>
        <w:rPr>
          <w:rFonts w:ascii="Arial" w:cs="Arial" w:eastAsia="Arial" w:hAnsi="Arial"/>
          <w:sz w:val="18"/>
          <w:szCs w:val="18"/>
          <w:b w:val="1"/>
          <w:bCs w:val="1"/>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b w:val="1"/>
          <w:bCs w:val="1"/>
          <w:i w:val="1"/>
          <w:iCs w:val="1"/>
          <w:color w:val="auto"/>
        </w:rPr>
        <w:t>www.carriageservices.com</w:t>
      </w:r>
      <w:r>
        <w:rPr>
          <w:rFonts w:ascii="Arial" w:cs="Arial" w:eastAsia="Arial" w:hAnsi="Arial"/>
          <w:sz w:val="18"/>
          <w:szCs w:val="18"/>
          <w:color w:val="auto"/>
        </w:rPr>
        <w:t>. Available on our website under “Investors – SEC Filings,” free of charge, are Carriage’s annual reports on Form 10-K, quarterly reports on Form 10-Q, proxy statements, current reports 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Form 8-K, insider reports on Forms 3, 4 and 5 filed on behalf of directors and officers and amendments to those reports as soon as reasonably practicable after such materials are electronically filed with or furnished to the SEC.</w:t>
      </w:r>
    </w:p>
    <w:p>
      <w:pPr>
        <w:spacing w:after="0" w:line="7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Within the time period required by the SEC and the New York Stock Exchange, we will post on our website any modifications to the charters and any waivers applicable to senior officers as defined in the applicable charters, as required by the Sarbanes-Oxley Act of 2002. Information contained on our website is not part of this Annual Report on Form 10-K.</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Employees and Compensation</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The success of our businesses is typically dependent upon one or a few key employees for success because of the localized and personal nature of our business.</w:t>
      </w:r>
    </w:p>
    <w:p>
      <w:pPr>
        <w:spacing w:after="0" w:line="7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Funeral home and cemetery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could have a material adverse effect on our financial condition, results of operations and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 To Great” incentive program could result in significant future payments to our Managing Partners.</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We believe this incentive program will result in improved field-level margins, market share and overall financial performance.</w:t>
      </w:r>
    </w:p>
    <w:p>
      <w:pPr>
        <w:spacing w:after="0" w:line="109" w:lineRule="exact"/>
        <w:rPr>
          <w:sz w:val="20"/>
          <w:szCs w:val="20"/>
          <w:color w:val="auto"/>
        </w:rPr>
      </w:pPr>
    </w:p>
    <w:p>
      <w:pPr>
        <w:ind w:right="2560"/>
        <w:spacing w:after="0" w:line="268" w:lineRule="auto"/>
        <w:rPr>
          <w:sz w:val="20"/>
          <w:szCs w:val="20"/>
          <w:color w:val="auto"/>
        </w:rPr>
      </w:pPr>
      <w:r>
        <w:rPr>
          <w:rFonts w:ascii="Arial" w:cs="Arial" w:eastAsia="Arial" w:hAnsi="Arial"/>
          <w:sz w:val="18"/>
          <w:szCs w:val="18"/>
          <w:b w:val="1"/>
          <w:bCs w:val="1"/>
          <w:color w:val="auto"/>
        </w:rPr>
        <w:t>Our “Good To Great II” incentive program could result in the issuance of a significant number of shares of common stock to certain critical employees.</w:t>
      </w:r>
    </w:p>
    <w:p>
      <w:pPr>
        <w:spacing w:after="0" w:line="70"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Good To Great II incentive program rewards certain employees who are not Managing Partners in alignment with the incentive programs for our Managing Partners. Specifically, the Good To Great II incentive program is tied to the future performance of the Company and requires the Company’s share price to reach one of five predetermined Common Stock Price Averages (as defined by the program) through a performance period ending December 31, 2024 in order for the award to be earned by the participants of the program. While the program aligns our incentives with long-term value creation, there is a potential risk of dilution to our shareholders if we achieve the highest performance tier under the Good To Great II incentive program, which equals a Common Stock Price Average (as defined by the program) of $77.34 per share. At December 31, 2021, under such a scenario, a total of 1,052,532 shares of common stock would be awarded to participants under the program. We believe this incentive program will result in improved overall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Business Execution and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Improved performance in our funeral and cemetery segments is dependent upon successful execution of our Standards Operating Model.</w:t>
      </w:r>
    </w:p>
    <w:p>
      <w:pPr>
        <w:spacing w:after="0" w:line="13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have implemented our Standards Operating Model to improve and better measure performance in our funeral and cemetery operations. We developed standards according to criteria, each with a different weighting, designed around market share, high-value services and operational and financial metrics. We also incentivize our location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is no assurance that these goals will be met. Failure to successfully implement our Standards Operating Model in our funeral and cemetery operations could have a material adverse effect on our financial condition, results of operations and cash flows.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Our ability to execute our growth strategy is highly dependent upon our ability to successfully identify suitable acquisition candidates and negotiate transactions on favorable terms.</w:t>
      </w:r>
    </w:p>
    <w:p>
      <w:pPr>
        <w:spacing w:after="0" w:line="70"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There is no assurance that we will be able to continue to identify acquisition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Divestitures could negatively impact our business and retained liabilities from businesses that we sell could adversely affect our financial results.</w:t>
      </w:r>
    </w:p>
    <w:p>
      <w:pPr>
        <w:spacing w:after="0" w:line="13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As part of our growth strategy, we periodically review our businesses which may no longer be aligned with our strategic business plan and long-term objectives and, as a result of these reviews of our businesses we may pursue additional divestitures. From time to time, we engage in discussions with third parties about potential divestitures of one or more of our businesses that, if fully consummated, could result in the divestiture of a material amount of assets and contribution to our results of operations that have historically contributed to our results of operations. Divestitures pose risks and challenges that could negatively impact our business, including disputes with buyers or potential impairment charges. For example, when we decide to sell a business, we may be unable to do so on our terms and within our anticipated time-frame, and even after reaching a definitive agreement to sell a business, the sale may be subject to satisfaction of pre-closing conditions, which may not be satisfied, as well as regulatory and governmental approvals, which may prevent us from completing a transaction on acceptable terms. If we do not realize the expected benefits of any divestiture transaction, our financial condition, results of operations, and cash flows could be materially adversely affected. For more information related to our divestitures, see Part II, Item 8, Financial Statements and Supplementary Data, Note 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Marketplace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funeral and cemetery industry is competitive.</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 funeral and cemetery industry is characterized by a large number of locally-owned, independent operations in the United States and a large number of operations owned by publicly and privately-held funeral home and cemetery consolidators.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providers, and other nontraditional providers of merchandise and services. If we are unable to successfully compete, our financial condition, results of operations, and cash flows could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and sales activities by existing and new competitors could cause us to lose market share and lead to lower revenue and margins.</w:t>
      </w:r>
    </w:p>
    <w:p>
      <w:pPr>
        <w:spacing w:after="0" w:line="13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for such services by our competitors may attract customers, causing us to lose market share and revenue as well as to incur costs in response to competition to vary the types or mix of products or services offered by us.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Price competition could also reduce our market share or cause us to reduce prices to retain or recapture market share, either of which could reduce revenue and margins.</w:t>
      </w:r>
    </w:p>
    <w:p>
      <w:pPr>
        <w:spacing w:after="0" w:line="7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have historically experienced price competition primarily from independent funeral home and cemetery operators, and from monument dealers, casket retailers, low-cost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reducing profit margins in order to retain or recapture market share. Increased price competition in the future could further reduce revenue, profits and our preneed backlog.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Preneed Sales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generate preneed sales depends on a number of factors, including sales incentives and local and general economic conditions.</w:t>
      </w:r>
    </w:p>
    <w:p>
      <w:pPr>
        <w:spacing w:after="0" w:line="138"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Significant declines in preneed sales would reduce our backlog and revenue and could reduce our future market share. On the other hand, a significant increase in preneed sales can have a negative impact on cash flow as a result of commissions and other costs incurred initially without corresponding revenue.</w:t>
      </w:r>
    </w:p>
    <w:p>
      <w:pPr>
        <w:spacing w:after="0" w:line="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near term.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preneed sales could have a negative impact on our cash flows.</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Preneed sales of funeral and cemetery products and services generally have an initial negative impact on our cash flows, as we are required in certain states to deposit a portion of the sales proceeds into trusts or escrow accounts and often incur other expenses at the time of sale. Furthermore, many preneed purchases are paid for in installments over a period of several years, further limiting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 in the near term.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Fund and Life Insurance Contracts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Our funeral and cemetery trust funds own investments in equity securities, fixed income securities, and mutual funds, which are affected by market conditions that are beyond our control.</w:t>
      </w:r>
    </w:p>
    <w:p>
      <w:pPr>
        <w:spacing w:after="0" w:line="7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investment returns (realized and unrealized), excluding certain fees, on our trust funds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2020 and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6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94"/>
              <w:spacing w:after="0"/>
              <w:rPr>
                <w:sz w:val="20"/>
                <w:szCs w:val="20"/>
                <w:color w:val="auto"/>
              </w:rPr>
            </w:pPr>
            <w:r>
              <w:rPr>
                <w:rFonts w:ascii="Arial" w:cs="Arial" w:eastAsia="Arial" w:hAnsi="Arial"/>
                <w:sz w:val="16"/>
                <w:szCs w:val="16"/>
                <w:b w:val="1"/>
                <w:bCs w:val="1"/>
                <w:color w:val="auto"/>
              </w:rPr>
              <w:t>2021</w:t>
            </w:r>
          </w:p>
        </w:tc>
      </w:tr>
      <w:tr>
        <w:trPr>
          <w:trHeight w:val="220"/>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funeral trust funds</w:t>
            </w:r>
          </w:p>
        </w:tc>
        <w:tc>
          <w:tcPr>
            <w:tcW w:w="10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21.2 %</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23"/>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Preneed cemetery trust funds</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26.0 %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15.5 %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224"/>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Perpetual care trust funds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r>
    </w:tbl>
    <w:p>
      <w:pPr>
        <w:spacing w:after="0" w:line="1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 7.</w:t>
      </w:r>
    </w:p>
    <w:p>
      <w:pPr>
        <w:spacing w:after="0" w:line="6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If the fair market value of these trusts, plus any other amount due to us upon delivery of the associated contracts, were to decline below the estimated costs to deliver the underlying products and services at maturity, we would record a charge to earnings for the expected losses on the delivery of the associated contracts. For additional information, see Part II, Item 7, Management’s Discussion and Analysis of Financial Condition and Results of Operations, Critical Accounting Policies and Estimates.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and principal of trust funds could be reduced by changes in financial markets and the mix of securities owned.</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may be required to replenish our funeral and cemetery trust funds in order to meet minimum funding requirements, which would have a negative effect on our earnings and cash flow.</w:t>
      </w:r>
    </w:p>
    <w:p>
      <w:pPr>
        <w:spacing w:after="0" w:line="7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Increasing death benefits related to preneed funeral contracts funded through life insurance contracts may not cover future increases in the cost of providing a price-guaranteed funeral service.</w:t>
      </w:r>
    </w:p>
    <w:p>
      <w:pPr>
        <w:spacing w:after="0" w:line="7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condition of third-party insurance companies that fund our preneed funeral contracts may impact our future revenue.</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Changes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7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make judgments regarding the utilization of existing income tax credits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our tax positions. Changes in federal, state, or local tax laws, adverse tax audit results, or adverse tax rulings on positions taken could have a material adverse effect on the results of our operations, financial condition,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revised tax regulations could have a material effect on our financial statements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amended, or applied in a manner that has a material effect on us, which could materially impact our business and financial condition. For example, on March 27, 2020, the CARES Act was enacted in response to the macroeconomic environment conditions posed by COVID-19. The CARES Act is a sweeping stimulus bill intended to bolster the U.S. economy, among other things, and provide emergency assistance to qualifying businesses and individuals. Under the CARES Act, the primary areas that should be considered for future earnings and cash impact are the changes to the interest expense limitation threshold and the technical correction to the Tax Cuts and Jobs Act regarding the qualified improvement property now being eligible for full expensing. Based on available guidance, we believe that the legislative changes will have a positive impact on our earnings and cash flow. As the enacted legislation includes provisions that would expire after certain periods of time, the fact that our business has the potential to change its operating situation, and the existence of potential changes by state tax authorities related to conformity with federal tax regulations, the possibility exists that the future benefit of the legislation could change. 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addition, it is uncertain if, and to what extent, various states will conform to the CARES Act, or any new or revised federal tax legislation will be enacted.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litigation could have a material adverse impact on our financial statements.</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FUNERAL AND CEMETERY INDUSTRY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Death Rates and Consumer Preferences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Declines in the number of deaths in our markets can cause a decrease in revenue. Changes in the number of deaths are not predictable from market to market or over the short term.</w:t>
      </w:r>
    </w:p>
    <w:p>
      <w:pPr>
        <w:spacing w:after="0" w:line="7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Declines in the number of deaths could cause atneed sales of funeral and cemetery services, property and merchandise to decline, which could decrease revenue. Although the United States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For example, we have seen the COVID-19 pandemic affect the death rate, with a result of increased deaths. These variations may cause our revenue to fluctuate and our results of operations to lack predictability.</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The increasing number of cremations in the United States could cause revenue to decline because we could lose market share to firms specializing in cremations and because our average revenue for cremations is lower than that for traditional burials.</w:t>
      </w:r>
    </w:p>
    <w:p>
      <w:pPr>
        <w:spacing w:after="0" w:line="70"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 Additionally, our average revenue for cremations is lower than that for traditional burials. If we are unable to continue to expand our cremation memorialization products and services, and cremations remain or increase as a significant percentage of our services, our financial condition, results of operations, and cash flows could be materially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respond effectively to changing consumer preferences, our market share, revenue and profitability could decrease.</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preferences, or we may identify them later than our competitors. In addition, any strategies we may implement to address these trends may prove incorrect or ineffective.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Because the funeral and cemetery businesses are high fixed-cost businesses, changes in revenue can have a disproportionately large effect on cash flow and profits.</w:t>
      </w:r>
    </w:p>
    <w:p>
      <w:pPr>
        <w:spacing w:after="0" w:line="7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Funeral home and cemetery businesses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those declines can cause margins, profits and cash flow to decrease at a greater rate than the decline in revenue.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increases in, or failure to comply with, regulations applicable to our business could increase costs or decrease cash flows.</w:t>
      </w:r>
    </w:p>
    <w:p>
      <w:pPr>
        <w:spacing w:after="0" w:line="13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funeral and cemetery industry is subject to extensive and evolving regulation and licensing requirements under federal, state and local laws. For example, the funeral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spacing w:after="0" w:line="6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spacing w:after="0" w:line="3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environmental and worker health and safety laws and regulations that may expose us to significant costs and liabilities.</w:t>
      </w:r>
    </w:p>
    <w:p>
      <w:pPr>
        <w:spacing w:after="0" w:line="138"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Our cemetery and funeral home operations are subject to certain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CREDIT FACILITY AND FINANCIAL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Debt Obligations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8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transactions with affiliates; enter into sale-leaseback transactions; sell or dispose assets; and acquire the assets of, or merge or consolidate with, other companies.</w:t>
      </w:r>
    </w:p>
    <w:p>
      <w:pPr>
        <w:spacing w:after="0" w:line="7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6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Pursuant to the terms of our Credit Facility, we must comply with, amongst other things, a maximum Total Leverage Ratio covenant that is measured quarterly. If we are unable to comply with the maximum Total Leverage Ratio, we will be in immediate default under the Credit Facility. For example, although we have not currently experienced any material negative impacts to our liquidity position, access to capital, or cash flows as a result of COVID-19, the expected duration of the pandemic is unknown and may have a future impact on our business that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8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level of indebtedness could adversely affect our financial condition and prevent us from fulfilling our debt obligations.</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indebtedness requires significant interest and principal payments. As of December 31, 2021, we had $559.9 million of total debt (excluding debt issuance costs, debt discounts and lease obligations), consisting of $4.5 million of acquisition debt (consisting of deferred purchase price and promissory notes payable to sellers of businesses we purchased), $400.0 million of our Senior Notes and $155.4 million of outstanding borrowings under our Credit Facility, with $42.3 million of availability under our Credit Facility after giving effect to $2.3 million of outstanding letters of credit.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and our subsidiaries’ level of indebtedness could have important consequences to us, including:</w:t>
      </w:r>
    </w:p>
    <w:p>
      <w:pPr>
        <w:spacing w:after="0" w:line="109" w:lineRule="exact"/>
        <w:rPr>
          <w:sz w:val="20"/>
          <w:szCs w:val="20"/>
          <w:color w:val="auto"/>
        </w:rPr>
      </w:pPr>
    </w:p>
    <w:p>
      <w:pPr>
        <w:ind w:left="1180" w:right="60" w:hanging="622"/>
        <w:spacing w:after="0" w:line="261"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require us and certain of our subsidiaries to dedicate a substantial portion of our cash flow from operations to the payment of our indebtedness, thereby reducing the funds available for operations and any future business opportunities;</w:t>
      </w:r>
    </w:p>
    <w:p>
      <w:pPr>
        <w:spacing w:after="0" w:line="23" w:lineRule="exact"/>
        <w:rPr>
          <w:rFonts w:ascii="Arial" w:cs="Arial" w:eastAsia="Arial" w:hAnsi="Arial"/>
          <w:sz w:val="18"/>
          <w:szCs w:val="18"/>
          <w:color w:val="auto"/>
        </w:rPr>
      </w:pPr>
    </w:p>
    <w:p>
      <w:pPr>
        <w:ind w:left="1180" w:hanging="622"/>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flexibility in planning for, or reacting to, changes in our business or the industry in which we operate;</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indebtedness;</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or industry conditions;</w:t>
      </w:r>
    </w:p>
    <w:p>
      <w:pPr>
        <w:spacing w:after="0" w:line="56" w:lineRule="exact"/>
        <w:rPr>
          <w:rFonts w:ascii="Arial" w:cs="Arial" w:eastAsia="Arial" w:hAnsi="Arial"/>
          <w:sz w:val="18"/>
          <w:szCs w:val="18"/>
          <w:color w:val="auto"/>
        </w:rPr>
      </w:pPr>
    </w:p>
    <w:p>
      <w:pPr>
        <w:ind w:left="1180" w:hanging="622"/>
        <w:spacing w:after="0"/>
        <w:tabs>
          <w:tab w:leader="none" w:pos="1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making us and our subsidiaries more vulnerable to increases in interest rates, as borrowings under our Credit Facility are at variable rates; and</w:t>
      </w:r>
    </w:p>
    <w:p>
      <w:pPr>
        <w:spacing w:after="0" w:line="90" w:lineRule="exact"/>
        <w:rPr>
          <w:rFonts w:ascii="Arial" w:cs="Arial" w:eastAsia="Arial" w:hAnsi="Arial"/>
          <w:sz w:val="15"/>
          <w:szCs w:val="15"/>
          <w:color w:val="auto"/>
        </w:rPr>
      </w:pPr>
    </w:p>
    <w:p>
      <w:pPr>
        <w:ind w:left="1180" w:right="660" w:hanging="622"/>
        <w:spacing w:after="0" w:line="261" w:lineRule="auto"/>
        <w:tabs>
          <w:tab w:leader="none" w:pos="1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capital expenditures, acquisitions or other general corporate requirements and increasing our cost of borrowing.</w:t>
      </w:r>
    </w:p>
    <w:p>
      <w:pPr>
        <w:spacing w:after="0" w:line="7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or dedicating an unsustainable level of our cash flow from operations to the payment of principal and interest 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Despite our current levels of indebtedness, we may still incur additional indebtedness. This could further exacerbate the risks associated with our indebtedness.</w:t>
      </w:r>
    </w:p>
    <w:p>
      <w:pPr>
        <w:spacing w:after="0" w:line="7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that do not constitute indebtedness as defined under our debt agreements. To the extent new debt is added to our current debt levels, the leverage risks associated with our indebtedness would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Natural Disasters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Unfavorable economic conditions, including those resulting from health and safety concerns, could adversely affect our business, financial condition or results of operations.</w:t>
      </w:r>
    </w:p>
    <w:p>
      <w:pPr>
        <w:spacing w:after="0" w:line="70"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Our business and operational results could be adversely affected by general conditions in the U.S. economy, including conditions that are outside of our control, such as the impact of health and safety concerns from the COVID-19 pandemic. The initial U.S. and global economic and financial conditions related to COVID-19 resulted in extreme volatility and disruptions in the capital and credit markets. A severe or prolonged economic downturn,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such as COVID-19, we may lose the services of a number of our key employees or experience system interruptions, which could lead to impacts to our regular business operations, inefficiencies and reputational harm. Due to the uncertainty around the ultimate impact of COVID-19 to our business and operations, the impact on our business and operational results cannot be reasonably estimated at this time. Any of the foregoing could harm our business and we cannot anticipate all the ways in which the current COVID-19 pandemic and financial market conditions could adversely impact our business.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Economic, financial and stock market fluctuations could affect future potential earnings and cash flows and could result in future goodwill, intangible assets and long-lived asset impairments.</w:t>
      </w:r>
    </w:p>
    <w:p>
      <w:pPr>
        <w:spacing w:after="0" w:line="7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intangible assets and other long-lived assets.</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Based on the results of our annual goodwill and intangible assets impairment test we performed as of August 31, 2021 and our annual review of long-lived assets and leases at December 31, 2021, we concluded that there were no impairments of our goodwill, intangible assets or other long-lived assets and leases.</w:t>
      </w:r>
    </w:p>
    <w:p>
      <w:pPr>
        <w:spacing w:after="0" w:line="8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During 2020, as a result of economic conditions caused by COVID-19, we performed a quantitative assessment of our goodwill and we recorded an impairment to goodwill of $13.6 million, as the carrying amount of our funeral homes in the Eastern Region Reporting Unit exceeded the fair value. We also performed a quantitative assessment of our tradenames and we recorded an impairment for certain of our tradenames of $1.1 million, as the carrying amount of these tradenames exceeded the fair value. In connection with the goodwill impairment recorded for the Eastern Region Reporting Unit, we also evaluated the long-lived assets and leases of our funeral homes in the Eastern Region Reporting Unit and concluded that there was no impairment to our long-lived assets and leases.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For our 2020 annual impairment test, we performed a qualitative assessment and determined that there were no factors that would indicate the need to perform additional quantitative goodwill and tradenames impairment tests. We concluded that there was no additional impairment to goodwill or tradenames.</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Additionally, if current economic conditions weaken causing deterioration in our operating revenue, operating margins and cash flows, we may have a triggering event that could result in a material impairment of our goodwill, intangible assets and/or long-lived assets and leases.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weather events, natural disasters, or catastrophic events could adversely affect our business, financial condition or results of operations.</w:t>
      </w:r>
    </w:p>
    <w:p>
      <w:pPr>
        <w:spacing w:after="0" w:line="14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Over thirty-five percent of the businesses we operate are located in California, Texas and Florida, areas where natural disasters are more prevalent. Significant weather events, natural disasters or catastrophic events in these states or other key areas where our operations are concentrated could disrupt our business through injury to our employees or client families, physical damage, closure or destruction of one or more of our locations, data centers or office facilities, or disrupt the delivery of goods or services by one or more of our vendors, any or all of which could adversely impact our operations or increase our costs, which would adversely affect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and Internal Controls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7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the ordinary course of our business, we receive certain personal information, in both physical and electronic formats, about our customers, their loved ones, our employees, and our vendors. We maintain security measures and data backup systems to protect, store, and prevent unauthorized access to such information. Nevertheless, it is possible that computer hackers and others (through increasingly sophisticated cyberattacks or by other means) might circumvent our security measures in the future and obtain the personal information of customers, their loved ones, our employees or our vendors.</w:t>
      </w:r>
    </w:p>
    <w:p>
      <w:pPr>
        <w:spacing w:after="0" w:line="5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For example, in January 2021, we detected that our information technology system was affected by a ransomware attack. Upon learning of the incident, we undertook immediate steps to address the incident, including engaging information technology security and forensics experts and working diligently with these experts to assess the impact on our information technology systems, implement additional and enhanced security measures to help prevent a similar incident in the future, and to restore any of our information technology systems that were impacted by the incident. The restoration of any impacted systems is complete. We maintain insurance coverage for various cybersecurity risks, which covered substantially all of the costs associated with the January 2021 ransomware attack, but it is possible that such insurance coverage may not fully insure all future costs or losses associated with other cybersecurity incidents.</w:t>
      </w:r>
    </w:p>
    <w:p>
      <w:pPr>
        <w:spacing w:after="0" w:line="6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While we determined, based on our assessment of the information known to us, that the January 2021 ransomware incident did not have, nor do we expect it will have, a material impact on our business, operations or financial results, if we fail to protect our own information from any future breaches in data security, we could experience significant costs and expenses as well as damage to our reputation. Additionally, as the sophistication and frequency of attacks increase, our information technology security costs, including cybersecurity insurance, which are significant, may rise.</w:t>
      </w:r>
    </w:p>
    <w:p>
      <w:pPr>
        <w:spacing w:after="0" w:line="5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Additionally, legislation relating to cybersecurity threats could impose additional requirements on our operations. Various state governments, notably California, New York and Nevada, have enacted or enhanced data privacy regulations, and other state governments are considering establishing similar or stronger protections. These regulations impose certain obligations for securing, and potentially removing, specified personal information in our systems, and for apprising individuals of the information we have collected about them. We have incurred costs in an effort to comply with these data privacy risks and requirements, and our costs may increase significantly as risks become increasingly complex or if new or changing requirements are enacted, and based on how individuals exercise their rights. For example, in November 2020, California voters approved Proposition 24 (Consumer Personal Information Law and Agency Initiative), which will increase data privacy requirements for our business when its provisions take effect in 2023. Despite our efforts, any noncompliance could result in our incurring substantial penalties and reputational damage.</w:t>
      </w:r>
    </w:p>
    <w:p>
      <w:pPr>
        <w:spacing w:after="0" w:line="6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Failure to maintain effective internal control over financial reporting could adversely affect our results of operations, investor confidence, and our stock price.</w:t>
      </w:r>
    </w:p>
    <w:p>
      <w:pPr>
        <w:spacing w:after="0" w:line="7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pacing w:after="0" w:line="19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At December 31, 2021, we operated 170 funeral homes in 26 states and 31 cemeteries in 11 states. We own the real estate and buildings for 149 of our funeral homes and lease 21 facilities. We own 30 cemeteries and operate one cemetery under a long-term contract with a municipality, which we refer to as a managed property. We operate 18 funeral homes in combination with cemeteries as these locations are physically located on the same property or in very close proximity and are under the same leadership.</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31 cemeteries that we operate have developed cemetery property of approximately 155,000 and 147,000 units available-for-sale at December 31, 2020 and 2021, respectively. In addition, we own approximately 500 acres that are available for future development or sale. We anticipate having a sufficient inventory of lots to maintain our property sales for the foreseeable future.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sets forth certain information as of December 31, 2021, regarding our properties used by the funeral home segment and by the cemetery segment identified by state:</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900" w:type="dxa"/>
            <w:vAlign w:val="bottom"/>
            <w:gridSpan w:val="3"/>
          </w:tcPr>
          <w:p>
            <w:pPr>
              <w:jc w:val="center"/>
              <w:ind w:left="894"/>
              <w:spacing w:after="0" w:line="141"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ind w:left="1140"/>
              <w:spacing w:after="0" w:line="141" w:lineRule="exact"/>
              <w:rPr>
                <w:sz w:val="20"/>
                <w:szCs w:val="20"/>
                <w:color w:val="auto"/>
              </w:rPr>
            </w:pPr>
            <w:r>
              <w:rPr>
                <w:rFonts w:ascii="Arial" w:cs="Arial" w:eastAsia="Arial" w:hAnsi="Arial"/>
                <w:sz w:val="14"/>
                <w:szCs w:val="14"/>
                <w:b w:val="1"/>
                <w:bCs w:val="1"/>
                <w:color w:val="auto"/>
              </w:rPr>
              <w:t>Number of</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900" w:type="dxa"/>
            <w:vAlign w:val="bottom"/>
            <w:gridSpan w:val="3"/>
          </w:tcPr>
          <w:p>
            <w:pPr>
              <w:jc w:val="center"/>
              <w:ind w:left="894"/>
              <w:spacing w:after="0"/>
              <w:rPr>
                <w:sz w:val="20"/>
                <w:szCs w:val="20"/>
                <w:color w:val="auto"/>
              </w:rPr>
            </w:pPr>
            <w:r>
              <w:rPr>
                <w:rFonts w:ascii="Arial" w:cs="Arial" w:eastAsia="Arial" w:hAnsi="Arial"/>
                <w:sz w:val="14"/>
                <w:szCs w:val="14"/>
                <w:b w:val="1"/>
                <w:bCs w:val="1"/>
                <w:color w:val="auto"/>
                <w:w w:val="90"/>
              </w:rPr>
              <w:t>Funeral Homes</w:t>
            </w:r>
          </w:p>
        </w:tc>
        <w:tc>
          <w:tcPr>
            <w:tcW w:w="9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w w:val="81"/>
              </w:rPr>
              <w:t>Leased</w:t>
            </w:r>
            <w:r>
              <w:rPr>
                <w:rFonts w:ascii="Arial" w:cs="Arial" w:eastAsia="Arial" w:hAnsi="Arial"/>
                <w:sz w:val="22"/>
                <w:szCs w:val="22"/>
                <w:b w:val="1"/>
                <w:bCs w:val="1"/>
                <w:color w:val="auto"/>
                <w:w w:val="81"/>
                <w:vertAlign w:val="superscript"/>
              </w:rPr>
              <w:t>(1)</w:t>
            </w:r>
          </w:p>
        </w:tc>
        <w:tc>
          <w:tcPr>
            <w:tcW w:w="160" w:type="dxa"/>
            <w:vAlign w:val="bottom"/>
          </w:tcPr>
          <w:p>
            <w:pPr>
              <w:spacing w:after="0"/>
              <w:rPr>
                <w:sz w:val="15"/>
                <w:szCs w:val="15"/>
                <w:color w:val="auto"/>
              </w:rPr>
            </w:pPr>
          </w:p>
        </w:tc>
        <w:tc>
          <w:tcPr>
            <w:tcW w:w="188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7"/>
              </w:rPr>
              <w:t>Cemeteries</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State</w:t>
            </w:r>
          </w:p>
        </w:tc>
        <w:tc>
          <w:tcPr>
            <w:tcW w:w="1900" w:type="dxa"/>
            <w:vAlign w:val="bottom"/>
            <w:gridSpan w:val="3"/>
          </w:tcPr>
          <w:p>
            <w:pPr>
              <w:ind w:left="460"/>
              <w:spacing w:after="0" w:line="139" w:lineRule="exact"/>
              <w:rPr>
                <w:sz w:val="20"/>
                <w:szCs w:val="20"/>
                <w:color w:val="auto"/>
              </w:rPr>
            </w:pPr>
            <w:r>
              <w:rPr>
                <w:rFonts w:ascii="Arial" w:cs="Arial" w:eastAsia="Arial" w:hAnsi="Arial"/>
                <w:sz w:val="14"/>
                <w:szCs w:val="14"/>
                <w:b w:val="1"/>
                <w:bCs w:val="1"/>
                <w:color w:val="auto"/>
              </w:rPr>
              <w:t>Owned</w:t>
            </w: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ind w:left="480"/>
              <w:spacing w:after="0" w:line="139" w:lineRule="exact"/>
              <w:rPr>
                <w:sz w:val="20"/>
                <w:szCs w:val="20"/>
                <w:color w:val="auto"/>
              </w:rPr>
            </w:pPr>
            <w:r>
              <w:rPr>
                <w:rFonts w:ascii="Arial" w:cs="Arial" w:eastAsia="Arial" w:hAnsi="Arial"/>
                <w:sz w:val="14"/>
                <w:szCs w:val="14"/>
                <w:b w:val="1"/>
                <w:bCs w:val="1"/>
                <w:color w:val="auto"/>
              </w:rPr>
              <w:t>Owned</w:t>
            </w:r>
          </w:p>
        </w:tc>
        <w:tc>
          <w:tcPr>
            <w:tcW w:w="1040" w:type="dxa"/>
            <w:vAlign w:val="bottom"/>
          </w:tcPr>
          <w:p>
            <w:pPr>
              <w:jc w:val="right"/>
              <w:ind w:right="313"/>
              <w:spacing w:after="0" w:line="139" w:lineRule="exact"/>
              <w:rPr>
                <w:sz w:val="20"/>
                <w:szCs w:val="20"/>
                <w:color w:val="auto"/>
              </w:rPr>
            </w:pPr>
            <w:r>
              <w:rPr>
                <w:rFonts w:ascii="Arial" w:cs="Arial" w:eastAsia="Arial" w:hAnsi="Arial"/>
                <w:sz w:val="14"/>
                <w:szCs w:val="14"/>
                <w:b w:val="1"/>
                <w:bCs w:val="1"/>
                <w:color w:val="auto"/>
              </w:rPr>
              <w:t>Managed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California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Idaho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Montana</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Ohio</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4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-4010025</wp:posOffset>
            </wp:positionV>
            <wp:extent cx="1830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007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108585</wp:posOffset>
            </wp:positionV>
            <wp:extent cx="7102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2475" cy="8255"/>
                    </a:xfrm>
                    <a:prstGeom prst="rect">
                      <a:avLst/>
                    </a:prstGeom>
                    <a:noFill/>
                  </pic:spPr>
                </pic:pic>
              </a:graphicData>
            </a:graphic>
          </wp:anchor>
        </w:drawing>
      </w:r>
    </w:p>
    <w:p>
      <w:pPr>
        <w:spacing w:after="0" w:line="167" w:lineRule="exact"/>
        <w:rPr>
          <w:sz w:val="20"/>
          <w:szCs w:val="20"/>
          <w:color w:val="auto"/>
        </w:rPr>
      </w:pPr>
    </w:p>
    <w:p>
      <w:pPr>
        <w:ind w:left="400" w:right="40" w:hanging="351"/>
        <w:spacing w:after="0" w:line="182" w:lineRule="auto"/>
        <w:tabs>
          <w:tab w:leader="none" w:pos="400" w:val="left"/>
        </w:tabs>
        <w:numPr>
          <w:ilvl w:val="0"/>
          <w:numId w:val="12"/>
        </w:numPr>
        <w:rPr>
          <w:rFonts w:ascii="Arial" w:cs="Arial" w:eastAsia="Arial" w:hAnsi="Arial"/>
          <w:sz w:val="26"/>
          <w:szCs w:val="26"/>
          <w:color w:val="auto"/>
          <w:vertAlign w:val="superscript"/>
        </w:rPr>
      </w:pPr>
      <w:r>
        <w:rPr>
          <w:rFonts w:ascii="Arial" w:cs="Arial" w:eastAsia="Arial" w:hAnsi="Arial"/>
          <w:sz w:val="15"/>
          <w:szCs w:val="15"/>
          <w:color w:val="auto"/>
        </w:rPr>
        <w:t>The leases, with respect to these funeral homes, generally have remaining terms ranging from one to twenty years, and generally, we have the right to renew past the initial terms and have a right of first refusal on any proposed sale of the property where these funeral homes are located.</w:t>
      </w:r>
    </w:p>
    <w:p>
      <w:pPr>
        <w:spacing w:after="0" w:line="18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Our support center occupies approximately 48,000 square feet of leased office space in Houston, Texas. At December 31, 2021, we owned and operated 427 vehicles.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number of funeral homes and cemeteries owned and operated by us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152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Funeral homes at beginning of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Mergers of funeral homes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Funeral homes at end of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57"/>
        </w:trPr>
        <w:tc>
          <w:tcPr>
            <w:tcW w:w="6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Cemeteries at beginning of period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Cemeteries at end of period</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more information regarding legal proceedings see Part II, Item 8, Financial Statements and Supplementary Data, Notes 16 and 24.</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38" w:lineRule="exact"/>
        <w:rPr>
          <w:sz w:val="20"/>
          <w:szCs w:val="20"/>
          <w:color w:val="auto"/>
        </w:rPr>
      </w:pPr>
    </w:p>
    <w:p>
      <w:pPr>
        <w:jc w:val="both"/>
        <w:ind w:left="980" w:hanging="1262"/>
        <w:spacing w:after="0" w:line="268"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common stock is traded on the New York Stock Exchange under the symbol “CSV.” At February 25, 2022, there were 15,326,738 shares of our common stock outstanding. The shares of common stock outstanding are held by approximately 330 stockholders of record. Each share is entitled to one vote on matters requiring the vote of stockholders. We believe there are approximately 8,700 beneficial owners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year ended December 31, 2021, we did not have any sales of securities in transactions that were not registered under the Securities Act of 1933 (as amended, the “Securities Act”) that have not been reported in a Form 8-K or Form 10-Q.</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While we intend to pay regular quarterly cash dividends for the foreseeable future, covenant restrictions under our Credit Facility and the Indenture governing our Senior Notes may limit our ability to pay dividends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information regarding securities authorized for issuance under our equity compensation plans, see Part III, Item 12, Security Ownership of Certain Beneficial Owners and Management and Related Stockholder Matters.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02"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w:t>
      </w:r>
    </w:p>
    <w:p>
      <w:pPr>
        <w:spacing w:after="0" w:line="68"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On May 18, 2021, July 26, 2021 and October 27, 2021, our Board increased our share repurchase authorization by an additional $25.0 million, $25.0 million and $75.0 million, respectively, that including amounts previously authorized and outstanding, totaled up to $190.0 million in share repurchase authorizations.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repurchase activity is as follows (dollar value of shares repurchased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Years Ended December 31,</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2021</w:t>
            </w:r>
          </w:p>
        </w:tc>
      </w:tr>
      <w:tr>
        <w:trPr>
          <w:trHeight w:val="220"/>
        </w:trPr>
        <w:tc>
          <w:tcPr>
            <w:tcW w:w="516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Number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400,000</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2,906,983</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1200" w:type="dxa"/>
            <w:vAlign w:val="bottom"/>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19.39</w:t>
            </w:r>
          </w:p>
        </w:tc>
        <w:tc>
          <w:tcPr>
            <w:tcW w:w="5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49.01</w:t>
            </w:r>
          </w:p>
        </w:tc>
      </w:tr>
      <w:tr>
        <w:trPr>
          <w:trHeight w:val="224"/>
        </w:trPr>
        <w:tc>
          <w:tcPr>
            <w:tcW w:w="5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Dollar Value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7,756</w:t>
            </w:r>
          </w:p>
        </w:tc>
        <w:tc>
          <w:tcPr>
            <w:tcW w:w="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8" w:lineRule="exact"/>
        <w:rPr>
          <w:sz w:val="20"/>
          <w:szCs w:val="20"/>
          <w:color w:val="auto"/>
        </w:rPr>
      </w:pPr>
    </w:p>
    <w:p>
      <w:pPr>
        <w:ind w:left="400" w:right="180" w:hanging="377"/>
        <w:spacing w:after="0" w:line="182" w:lineRule="auto"/>
        <w:tabs>
          <w:tab w:leader="none" w:pos="400" w:val="left"/>
        </w:tabs>
        <w:numPr>
          <w:ilvl w:val="0"/>
          <w:numId w:val="13"/>
        </w:numPr>
        <w:rPr>
          <w:rFonts w:ascii="Arial" w:cs="Arial" w:eastAsia="Arial" w:hAnsi="Arial"/>
          <w:sz w:val="24"/>
          <w:szCs w:val="24"/>
          <w:color w:val="auto"/>
          <w:vertAlign w:val="superscript"/>
        </w:rPr>
      </w:pPr>
      <w:r>
        <w:rPr>
          <w:rFonts w:ascii="Arial" w:cs="Arial" w:eastAsia="Arial" w:hAnsi="Arial"/>
          <w:sz w:val="13"/>
          <w:szCs w:val="13"/>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17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2021, we had $8.1 million remaining available for repurchase under our authorized program.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certain information with respect to repurchases of our common stock during the quarter ended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w:t>
            </w:r>
          </w:p>
        </w:tc>
        <w:tc>
          <w:tcPr>
            <w:tcW w:w="320" w:type="dxa"/>
            <w:vAlign w:val="bottom"/>
          </w:tcPr>
          <w:p>
            <w:pPr>
              <w:spacing w:after="0"/>
              <w:rPr>
                <w:sz w:val="16"/>
                <w:szCs w:val="16"/>
                <w:color w:val="auto"/>
              </w:rPr>
            </w:pPr>
          </w:p>
        </w:tc>
        <w:tc>
          <w:tcPr>
            <w:tcW w:w="1300" w:type="dxa"/>
            <w:vAlign w:val="bottom"/>
          </w:tcPr>
          <w:p>
            <w:pPr>
              <w:jc w:val="right"/>
              <w:ind w:right="136"/>
              <w:spacing w:after="0"/>
              <w:rPr>
                <w:sz w:val="20"/>
                <w:szCs w:val="20"/>
                <w:color w:val="auto"/>
              </w:rPr>
            </w:pPr>
            <w:r>
              <w:rPr>
                <w:rFonts w:ascii="Arial" w:cs="Arial" w:eastAsia="Arial" w:hAnsi="Arial"/>
                <w:sz w:val="16"/>
                <w:szCs w:val="16"/>
                <w:b w:val="1"/>
                <w:bCs w:val="1"/>
                <w:color w:val="auto"/>
                <w:w w:val="94"/>
              </w:rPr>
              <w:t>Dollar Value of</w:t>
            </w: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46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97"/>
              </w:rPr>
              <w:t>Total 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 Price</w:t>
            </w:r>
          </w:p>
        </w:tc>
        <w:tc>
          <w:tcPr>
            <w:tcW w:w="14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Shares Purchased as</w:t>
            </w:r>
          </w:p>
        </w:tc>
        <w:tc>
          <w:tcPr>
            <w:tcW w:w="16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w w:val="90"/>
              </w:rPr>
              <w:t>Shares That May Yet</w:t>
            </w:r>
          </w:p>
        </w:tc>
        <w:tc>
          <w:tcPr>
            <w:tcW w:w="0" w:type="dxa"/>
            <w:vAlign w:val="bottom"/>
          </w:tcPr>
          <w:p>
            <w:pPr>
              <w:spacing w:after="0"/>
              <w:rPr>
                <w:sz w:val="1"/>
                <w:szCs w:val="1"/>
                <w:color w:val="auto"/>
              </w:rPr>
            </w:pPr>
          </w:p>
        </w:tc>
      </w:tr>
      <w:tr>
        <w:trPr>
          <w:trHeight w:val="158"/>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Part of Publicly</w:t>
            </w:r>
          </w:p>
        </w:tc>
        <w:tc>
          <w:tcPr>
            <w:tcW w:w="162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w w:val="88"/>
              </w:rPr>
              <w:t>Be Purchased Under</w:t>
            </w:r>
          </w:p>
        </w:tc>
        <w:tc>
          <w:tcPr>
            <w:tcW w:w="0" w:type="dxa"/>
            <w:vAlign w:val="bottom"/>
          </w:tcPr>
          <w:p>
            <w:pPr>
              <w:spacing w:after="0"/>
              <w:rPr>
                <w:sz w:val="1"/>
                <w:szCs w:val="1"/>
                <w:color w:val="auto"/>
              </w:rPr>
            </w:pPr>
          </w:p>
        </w:tc>
      </w:tr>
      <w:tr>
        <w:trPr>
          <w:trHeight w:val="211"/>
        </w:trPr>
        <w:tc>
          <w:tcPr>
            <w:tcW w:w="5180" w:type="dxa"/>
            <w:vAlign w:val="bottom"/>
            <w:vMerge w:val="continue"/>
          </w:tcPr>
          <w:p>
            <w:pPr>
              <w:spacing w:after="0"/>
              <w:rPr>
                <w:sz w:val="18"/>
                <w:szCs w:val="18"/>
                <w:color w:val="auto"/>
              </w:rPr>
            </w:pPr>
          </w:p>
        </w:tc>
        <w:tc>
          <w:tcPr>
            <w:tcW w:w="1460" w:type="dxa"/>
            <w:vAlign w:val="bottom"/>
          </w:tcPr>
          <w:p>
            <w:pPr>
              <w:ind w:left="200"/>
              <w:spacing w:after="0"/>
              <w:rPr>
                <w:sz w:val="20"/>
                <w:szCs w:val="20"/>
                <w:color w:val="auto"/>
              </w:rPr>
            </w:pPr>
            <w:r>
              <w:rPr>
                <w:rFonts w:ascii="Arial" w:cs="Arial" w:eastAsia="Arial" w:hAnsi="Arial"/>
                <w:sz w:val="16"/>
                <w:szCs w:val="16"/>
                <w:b w:val="1"/>
                <w:bCs w:val="1"/>
                <w:color w:val="auto"/>
                <w:w w:val="88"/>
              </w:rPr>
              <w:t>Shares Purchased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Paid Per Share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Program</w:t>
            </w:r>
          </w:p>
        </w:tc>
        <w:tc>
          <w:tcPr>
            <w:tcW w:w="320" w:type="dxa"/>
            <w:vAlign w:val="bottom"/>
          </w:tcPr>
          <w:p>
            <w:pPr>
              <w:spacing w:after="0"/>
              <w:rPr>
                <w:sz w:val="18"/>
                <w:szCs w:val="18"/>
                <w:color w:val="auto"/>
              </w:rPr>
            </w:pPr>
          </w:p>
        </w:tc>
        <w:tc>
          <w:tcPr>
            <w:tcW w:w="1300" w:type="dxa"/>
            <w:vAlign w:val="bottom"/>
          </w:tcPr>
          <w:p>
            <w:pPr>
              <w:jc w:val="right"/>
              <w:ind w:right="136"/>
              <w:spacing w:after="0" w:line="210" w:lineRule="exact"/>
              <w:rPr>
                <w:sz w:val="20"/>
                <w:szCs w:val="20"/>
                <w:color w:val="auto"/>
              </w:rPr>
            </w:pPr>
            <w:r>
              <w:rPr>
                <w:rFonts w:ascii="Arial" w:cs="Arial" w:eastAsia="Arial" w:hAnsi="Arial"/>
                <w:sz w:val="16"/>
                <w:szCs w:val="16"/>
                <w:b w:val="1"/>
                <w:bCs w:val="1"/>
                <w:color w:val="auto"/>
                <w:w w:val="92"/>
              </w:rPr>
              <w:t xml:space="preserve">the Program </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85"/>
        </w:trPr>
        <w:tc>
          <w:tcPr>
            <w:tcW w:w="5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85,061,552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November 1, 2021 - November 30, 2021</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531,417</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57,594,459</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847,369</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8,132,056</w:t>
            </w:r>
          </w:p>
        </w:tc>
        <w:tc>
          <w:tcPr>
            <w:tcW w:w="0" w:type="dxa"/>
            <w:vAlign w:val="bottom"/>
          </w:tcPr>
          <w:p>
            <w:pPr>
              <w:spacing w:after="0"/>
              <w:rPr>
                <w:sz w:val="1"/>
                <w:szCs w:val="1"/>
                <w:color w:val="auto"/>
              </w:rPr>
            </w:pPr>
          </w:p>
        </w:tc>
      </w:tr>
      <w:tr>
        <w:trPr>
          <w:trHeight w:val="216"/>
        </w:trPr>
        <w:tc>
          <w:tcPr>
            <w:tcW w:w="5180" w:type="dxa"/>
            <w:vAlign w:val="bottom"/>
          </w:tcPr>
          <w:p>
            <w:pPr>
              <w:ind w:left="540"/>
              <w:spacing w:after="0"/>
              <w:rPr>
                <w:sz w:val="20"/>
                <w:szCs w:val="20"/>
                <w:color w:val="auto"/>
              </w:rPr>
            </w:pPr>
            <w:r>
              <w:rPr>
                <w:rFonts w:ascii="Arial" w:cs="Arial" w:eastAsia="Arial" w:hAnsi="Arial"/>
                <w:sz w:val="18"/>
                <w:szCs w:val="18"/>
                <w:color w:val="auto"/>
              </w:rPr>
              <w:t>Total for quarter ended December 31, 2021</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1,378,786</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142240</wp:posOffset>
            </wp:positionV>
            <wp:extent cx="70942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18" w:lineRule="exact"/>
        <w:rPr>
          <w:sz w:val="20"/>
          <w:szCs w:val="20"/>
          <w:color w:val="auto"/>
        </w:rPr>
      </w:pPr>
    </w:p>
    <w:p>
      <w:pPr>
        <w:ind w:left="440" w:hanging="384"/>
        <w:spacing w:after="0"/>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See the first paragraph under the caption </w:t>
      </w:r>
      <w:r>
        <w:rPr>
          <w:rFonts w:ascii="Arial" w:cs="Arial" w:eastAsia="Arial" w:hAnsi="Arial"/>
          <w:sz w:val="15"/>
          <w:szCs w:val="15"/>
          <w:color w:val="auto"/>
        </w:rPr>
        <w:t>“</w:t>
      </w:r>
      <w:r>
        <w:rPr>
          <w:rFonts w:ascii="Arial" w:cs="Arial" w:eastAsia="Arial" w:hAnsi="Arial"/>
          <w:sz w:val="14"/>
          <w:szCs w:val="14"/>
          <w:color w:val="auto"/>
        </w:rPr>
        <w:t>Purchases of Equity Securities by the Issuer</w:t>
      </w:r>
      <w:r>
        <w:rPr>
          <w:rFonts w:ascii="Arial" w:cs="Arial" w:eastAsia="Arial" w:hAnsi="Arial"/>
          <w:sz w:val="15"/>
          <w:szCs w:val="15"/>
          <w:color w:val="auto"/>
        </w:rPr>
        <w:t>”</w:t>
      </w:r>
      <w:r>
        <w:rPr>
          <w:rFonts w:ascii="Arial" w:cs="Arial" w:eastAsia="Arial" w:hAnsi="Arial"/>
          <w:sz w:val="14"/>
          <w:szCs w:val="14"/>
          <w:color w:val="auto"/>
        </w:rPr>
        <w:t xml:space="preserve"> for more information on our publicly announced share repurchase program.</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6"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w:t>
      </w:r>
    </w:p>
    <w:p>
      <w:pPr>
        <w:spacing w:after="0" w:line="115"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The following graph compares the cumulative 5-year total shareholder return on our common stock relative to the cumulative total returns of the Russell 3000 Index, and a peer group selected by the Company comprising of SCI and StoneMor (the “Peer Group”). The returns of each member of the Peer Group are weighted according to their respective stock market capitalization as of the beginning of each period measured. The graph assumes that the value of the investment in our common stock, the Russell 3000 Index and the Peer Group was $100 on the last trading day of December 2016, and that all dividends were reinvested. Performance data for Carriage, the Russell 3000 Index and the Peer Group is provided as of the last trading day of each of our last five fiscal years.</w:t>
      </w:r>
    </w:p>
    <w:p>
      <w:pPr>
        <w:spacing w:after="0" w:line="4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following graph and related information shall not be deemed “soliciting material” or “filed” with the SEC, nor shall such information be incorporated by reference into any future filing under the Securities or the Exchange Act except to the extent that we specifically incorporate it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22"/>
          <w:szCs w:val="22"/>
          <w:color w:val="auto"/>
          <w:vertAlign w:val="superscript"/>
        </w:rPr>
        <w:t>(1)</w:t>
      </w:r>
    </w:p>
    <w:p>
      <w:pPr>
        <w:jc w:val="center"/>
        <w:spacing w:after="0"/>
        <w:rPr>
          <w:sz w:val="20"/>
          <w:szCs w:val="20"/>
          <w:color w:val="auto"/>
        </w:rPr>
      </w:pPr>
      <w:r>
        <w:rPr>
          <w:rFonts w:ascii="Arial" w:cs="Arial" w:eastAsia="Arial" w:hAnsi="Arial"/>
          <w:sz w:val="18"/>
          <w:szCs w:val="18"/>
          <w:color w:val="auto"/>
        </w:rPr>
        <w:t>Among Carriage, the Russell 3000 Index and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1270</wp:posOffset>
            </wp:positionV>
            <wp:extent cx="4671060" cy="3367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1060" cy="336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12/16</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12/17</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12/19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12/20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12/21</w:t>
            </w: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Carriage Services, Inc.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90.56</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Russell 3000</w:t>
            </w:r>
          </w:p>
        </w:tc>
        <w:tc>
          <w:tcPr>
            <w:tcW w:w="2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121.12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228.33</w:t>
            </w: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129.84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108585</wp:posOffset>
            </wp:positionV>
            <wp:extent cx="7110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67" w:lineRule="exact"/>
        <w:rPr>
          <w:sz w:val="20"/>
          <w:szCs w:val="20"/>
          <w:color w:val="auto"/>
        </w:rPr>
      </w:pPr>
    </w:p>
    <w:p>
      <w:pPr>
        <w:ind w:left="480" w:right="40" w:hanging="438"/>
        <w:spacing w:after="0" w:line="182" w:lineRule="auto"/>
        <w:tabs>
          <w:tab w:leader="none" w:pos="480" w:val="left"/>
        </w:tabs>
        <w:numPr>
          <w:ilvl w:val="0"/>
          <w:numId w:val="15"/>
        </w:numPr>
        <w:rPr>
          <w:rFonts w:ascii="Arial" w:cs="Arial" w:eastAsia="Arial" w:hAnsi="Arial"/>
          <w:sz w:val="26"/>
          <w:szCs w:val="26"/>
          <w:color w:val="auto"/>
          <w:vertAlign w:val="superscript"/>
        </w:rPr>
      </w:pPr>
      <w:r>
        <w:rPr>
          <w:rFonts w:ascii="Arial" w:cs="Arial" w:eastAsia="Arial" w:hAnsi="Arial"/>
          <w:sz w:val="15"/>
          <w:szCs w:val="15"/>
          <w:color w:val="auto"/>
        </w:rPr>
        <w:t>Fiscal year ending December 31. $100 invested on December 31, 2016 in stock or index, including reinvestment of dividends. The Peer Group above includes SCI and StoneMor.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Trends</w:t>
      </w:r>
    </w:p>
    <w:p>
      <w:pPr>
        <w:spacing w:after="0" w:line="10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During the initial phase of the COVID-19 pandemic, we experienced an increase in volume that corresponded with the initial increase in COVID-related deaths. While we have seen the trend in COVID-related deaths begin to significantly decrease during the last half of 2021, we have not seen an adverse impact to our overall financial performance. However, we continue to closely monitor these death rates. Historically cremation trends have increased year over year and while that continues to be the case, we view this an opportunity to put greater focus on educating our client families on available cremation memorialization options.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operate in two business segments: funeral home operations, which accounts for approximately 70% of our revenue, and cemetery operations, which accounts for approximately 30% of our revenue. 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9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we operated 170 funeral homes in 26 states and 31 cemeteries in 11 states within the United States. For additional discussion about our overall business strategy, see Part I, Item 1, Business – Business Strategy.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Home Operations</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related to our atneed business to increase average revenue per contract. In simple terms, volume and price are the two variables that affect funeral revenue.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Operations</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Factors affecting our cemetery operating results include: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primary sources of liquidity and capital resources are internally generated cash flows from operating activities and availability under our Credit Facility.</w:t>
      </w:r>
    </w:p>
    <w:p>
      <w:pPr>
        <w:spacing w:after="0" w:line="76"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Please read Part I, Item 1A, Risk Factors.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For 2022, our plan is to remain focused on integrating our recently acquired businesses and to use cash on hand and borrowings under our Credit Facility primarily for general corporate purposes, payment of dividends and debt obligations, strategic acquisitions, internal growth capital expenditures, share repurchases, dividend increases and further debt repayments. We also expect continued divestiture activity for the next three-six months, which could yield an aggregate of approximately $3-4 million of cash from the proceeds of the sale. From time to time we may also use available cash resources (including borrowings under our Credit Facility) to repurchase shares of our common stock, subject to satisfying certain financial covenants in our Credit Facility and in the Indenture governing our Senior Notes. We believe that our existing and anticipated cash resources will be sufficient to meet our anticipated working capital requirements, capital expenditures, scheduled debt payments, commitments and dividends for the next 12 months as well as our long-term financial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began 2021 with $0.9 million in cash and ended the year with $1.1 million in cash. At December 31, 2021, we had borrowings of $155.4 million outstanding on our Credit Facility compared to $47.2 million on our Former Credit Facility as of December 31, 2020 and $83.8 million as of December 31, 2019.</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elements of cash flow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11"/>
        </w:trPr>
        <w:tc>
          <w:tcPr>
            <w:tcW w:w="6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84,246</w:t>
            </w:r>
          </w:p>
        </w:tc>
      </w:tr>
      <w:tr>
        <w:trPr>
          <w:trHeight w:val="211"/>
        </w:trPr>
        <w:tc>
          <w:tcPr>
            <w:tcW w:w="6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and real estate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Deposit on pending acquisition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divestiture and sale of other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Proceeds from insurance reimbursements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(24,883)</w:t>
            </w:r>
          </w:p>
        </w:tc>
      </w:tr>
      <w:tr>
        <w:trPr>
          <w:trHeight w:val="217"/>
        </w:trPr>
        <w:tc>
          <w:tcPr>
            <w:tcW w:w="6240" w:type="dxa"/>
            <w:vAlign w:val="bottom"/>
          </w:tcPr>
          <w:p>
            <w:pPr>
              <w:ind w:left="220"/>
              <w:spacing w:after="0" w:line="203" w:lineRule="exact"/>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(158,886)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(34,420)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(12,535)</w:t>
            </w:r>
          </w:p>
        </w:tc>
      </w:tr>
      <w:tr>
        <w:trPr>
          <w:trHeight w:val="211"/>
        </w:trPr>
        <w:tc>
          <w:tcPr>
            <w:tcW w:w="6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w w:val="90"/>
              </w:rPr>
              <w:t>Net borrowings on our Credit Facility, acquisition debt and finance lease obligations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54,413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(38,345)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106,869</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to redeem the Original Senior Notes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Payment of call premium related to the Original Senior Notes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(19,876)</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issuance of the Senior Notes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395,500</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Payment of debt issuance costs for the Credit Facility and Senior Notes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(2,197)</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and maturity of the Convertible Notes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Proceeds from the issuance of the Senior Notes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76,688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employee equity plans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Dividends paid on common stock</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(7,264)</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(140,040)</w:t>
            </w:r>
          </w:p>
        </w:tc>
      </w:tr>
      <w:tr>
        <w:trPr>
          <w:trHeight w:val="223"/>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costs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17"/>
        </w:trPr>
        <w:tc>
          <w:tcPr>
            <w:tcW w:w="624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(71,452)</w:t>
            </w:r>
          </w:p>
        </w:tc>
      </w:tr>
      <w:tr>
        <w:trPr>
          <w:trHeight w:val="211"/>
        </w:trPr>
        <w:tc>
          <w:tcPr>
            <w:tcW w:w="6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3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at end of year</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the year ended December 31, 2021, cash provided by operating activities was $84.2 million compared to $82.9 million for the year ended December 31, 2020 and $43.2 million for the year ended December 31, 2019. The increase of $1.3 million for the year ended December 31, 2021 compared to the year ended December 31, 2020 is primarily due to the increase in net income, offset by unfavorable working capital changes in income tax receivables, accounts payable and accrued liabilities.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increase of $39.7 million for the year ended December 31, 2020 compared to the year ended December 31, 2019 was primarily due to the increase in operating income (excluding the non-cash impact of the divestitures and impairment charges) of $26.4 million in addition to other favorable working capital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investing activities resulted in a net cash outflow of $12.5 million for the year ended December 31, 2021 compared to $34.4 million for the year ended December 31, 2020 and $158.9 million for the year ended December 31, 2019.</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and Divestiture Activity</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 ended December 31, 2021, we sold two funeral homes and one cemetery for $2.5 million, sold real property for $5.2 million and purchased real property for $3.3 million. We also received proceeds of $7.8 million from our property insurance policy for the reimbursement of renovation costs for our funeral and cemetery businesses that were damaged by Hurricane Ida.</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 ended December 31, 2020, we acquired one funeral home and cemetery combination business in Lafayette, California for $33.0 million in cash, of which $5.0 million was deposited in escrow in 2019 and $28.0 million was paid at closing in 2020. In addition, we sold eight funeral homes for $8.4 million and we sold real property for $0.1 million.</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During the year ended December 31, 2019, we acquired, in three separate transactions, two funeral home and cemetery combination businesses, seven funeral home businesses and three ancillary service businesses for an aggregate purchase price of $140.9 million. In addition, we also paid a $5.0 million deposit for a funeral home and cemetery combination business that we acquired in January 2020. In addition, we sold a funeral home business for $0.9 million and we sold real property for $0.1 million related to a funeral home we merged with another business in an existing market.</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 Expenditures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year ended December 31, 2021, our capital expenditures (comprising of growth and maintenance spend) totaled $24.9 million compared to $15.2 million for the year ended December 31, 2020, and $15.4 million for the year ended December 31, 2019.</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present our growth and maintenance capital expenditures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Growth</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Cemetery development</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4,111</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5,845</w:t>
            </w:r>
          </w:p>
        </w:tc>
      </w:tr>
      <w:tr>
        <w:trPr>
          <w:trHeight w:val="224"/>
        </w:trPr>
        <w:tc>
          <w:tcPr>
            <w:tcW w:w="6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Renovations at certain businesses</w:t>
            </w:r>
            <w:r>
              <w:rPr>
                <w:rFonts w:ascii="Arial" w:cs="Arial" w:eastAsia="Arial" w:hAnsi="Arial"/>
                <w:sz w:val="22"/>
                <w:szCs w:val="22"/>
                <w:color w:val="auto"/>
                <w:vertAlign w:val="superscript"/>
              </w:rPr>
              <w:t>(1)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Streaming equipment and cemetery sales software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7"/>
        </w:trPr>
        <w:tc>
          <w:tcPr>
            <w:tcW w:w="6240" w:type="dxa"/>
            <w:vAlign w:val="bottom"/>
          </w:tcPr>
          <w:p>
            <w:pPr>
              <w:ind w:left="140"/>
              <w:spacing w:after="0"/>
              <w:rPr>
                <w:sz w:val="20"/>
                <w:szCs w:val="20"/>
                <w:color w:val="auto"/>
              </w:rPr>
            </w:pPr>
            <w:r>
              <w:rPr>
                <w:rFonts w:ascii="Arial" w:cs="Arial" w:eastAsia="Arial" w:hAnsi="Arial"/>
                <w:sz w:val="18"/>
                <w:szCs w:val="18"/>
                <w:color w:val="auto"/>
              </w:rPr>
              <w:t>Total Growth</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6,584</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6,436</w:t>
            </w:r>
          </w:p>
        </w:tc>
        <w:tc>
          <w:tcPr>
            <w:tcW w:w="2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11,568</w:t>
            </w: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108585</wp:posOffset>
            </wp:positionV>
            <wp:extent cx="7118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67" w:lineRule="exact"/>
        <w:rPr>
          <w:sz w:val="20"/>
          <w:szCs w:val="20"/>
          <w:color w:val="auto"/>
        </w:rPr>
      </w:pPr>
    </w:p>
    <w:p>
      <w:pPr>
        <w:jc w:val="both"/>
        <w:ind w:left="400" w:right="40" w:hanging="364"/>
        <w:spacing w:after="0" w:line="189" w:lineRule="auto"/>
        <w:tabs>
          <w:tab w:leader="none" w:pos="400" w:val="left"/>
        </w:tabs>
        <w:numPr>
          <w:ilvl w:val="0"/>
          <w:numId w:val="16"/>
        </w:numPr>
        <w:rPr>
          <w:rFonts w:ascii="Arial" w:cs="Arial" w:eastAsia="Arial" w:hAnsi="Arial"/>
          <w:sz w:val="27"/>
          <w:szCs w:val="27"/>
          <w:color w:val="auto"/>
          <w:vertAlign w:val="superscript"/>
        </w:rPr>
      </w:pPr>
      <w:r>
        <w:rPr>
          <w:rFonts w:ascii="Arial" w:cs="Arial" w:eastAsia="Arial" w:hAnsi="Arial"/>
          <w:sz w:val="15"/>
          <w:szCs w:val="15"/>
          <w:color w:val="auto"/>
        </w:rPr>
        <w:t>During the year ended December 31, 2021, we spent $2.0 million for renovations on four businesses that were affected by Hurricane Ida, all of which was reimbursed by our property insurance. During the year ended December 31, 2019, we spent $1.6 million for renovations on four businesses that were affected by Hurricane Michael, of which $1.4 million was reimbursed by our property insurance policy.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Maintenance</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Facility repairs and improvements</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1,820</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equipment and furniture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Vehicles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Paving roads and parking lots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Information technology infrastructure improvements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7"/>
        </w:trPr>
        <w:tc>
          <w:tcPr>
            <w:tcW w:w="6240" w:type="dxa"/>
            <w:vAlign w:val="bottom"/>
          </w:tcPr>
          <w:p>
            <w:pPr>
              <w:ind w:left="140"/>
              <w:spacing w:after="0"/>
              <w:rPr>
                <w:sz w:val="20"/>
                <w:szCs w:val="20"/>
                <w:color w:val="auto"/>
              </w:rPr>
            </w:pPr>
            <w:r>
              <w:rPr>
                <w:rFonts w:ascii="Arial" w:cs="Arial" w:eastAsia="Arial" w:hAnsi="Arial"/>
                <w:sz w:val="18"/>
                <w:szCs w:val="18"/>
                <w:color w:val="auto"/>
              </w:rPr>
              <w:t>Total Maintenance</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8,795</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8,762</w:t>
            </w:r>
          </w:p>
        </w:tc>
        <w:tc>
          <w:tcPr>
            <w:tcW w:w="2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Our financing activities resulted in a net cash outflow of $71.5 million for the year ended December 31, 2021 compared to a net cash outflow of $48.3 million for the year ended December 31, 2020 and a net cash inflow of $115.7 million for the year ended December 31, 2019.</w:t>
      </w:r>
    </w:p>
    <w:p>
      <w:pPr>
        <w:spacing w:after="0" w:line="3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 ended December 31, 2021, we had net borrowings on our Credit Facility, acquisition debt and finance leases of $106.9 million, offset by the following payments: i) $19.9 million for the call premium to redeem our Original Senior Notes; ii) $140.0 million for the purchase of treasury stock; iii) $2.2 million for debt issuance and transactions costs related to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Senior Notes and Credit Facility; iv) $4.0 million for the conversions and maturity of our Convertible Notes; and v) $7.3 million in dividends.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year ended December 31, 2020, we had net payments on our Credit Facility, acquisition debt and finance leases of $38.3 million. In addition, we paid $6.0 million in dividends and $4.6 million for the repurchase of a portion of our Convertibles Notes.</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 ended December 31, 2019, we had net proceeds related to the additional issuance of our Original Senior Notes of $75.7 million and net borrowing on our long-term debt obligations of $53.5 million. In addition, we purchased treasury stock for $9.2 million and paid $5.4 million in dividends on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October 27, 2021, our Board approved an increase of $0.05 per share for a total annual dividend of $0.45 per share beginning with the dividend declaration in the fourth quarter.</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Board declared the following dividends payable on the dates below (in thousands,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4"/>
                <w:szCs w:val="14"/>
                <w:color w:val="auto"/>
              </w:rPr>
            </w:pPr>
          </w:p>
        </w:tc>
        <w:tc>
          <w:tcPr>
            <w:tcW w:w="1280" w:type="dxa"/>
            <w:vAlign w:val="bottom"/>
          </w:tcPr>
          <w:p>
            <w:pPr>
              <w:jc w:val="right"/>
              <w:ind w:right="296"/>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0.1000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June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0.1000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24"/>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0.1000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December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0.1125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11"/>
        </w:trPr>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45"/>
        </w:trPr>
        <w:tc>
          <w:tcPr>
            <w:tcW w:w="79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320" w:type="dxa"/>
            <w:vAlign w:val="bottom"/>
          </w:tcPr>
          <w:p>
            <w:pPr>
              <w:jc w:val="right"/>
              <w:ind w:right="456"/>
              <w:spacing w:after="0" w:line="145" w:lineRule="exact"/>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2"/>
                <w:szCs w:val="12"/>
                <w:color w:val="auto"/>
              </w:rPr>
            </w:pPr>
          </w:p>
        </w:tc>
        <w:tc>
          <w:tcPr>
            <w:tcW w:w="1280" w:type="dxa"/>
            <w:vAlign w:val="bottom"/>
          </w:tcPr>
          <w:p>
            <w:pPr>
              <w:jc w:val="right"/>
              <w:ind w:right="296"/>
              <w:spacing w:after="0" w:line="145" w:lineRule="exact"/>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June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24"/>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0.0875</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December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0.1000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1,797</w:t>
            </w:r>
          </w:p>
        </w:tc>
      </w:tr>
      <w:tr>
        <w:trPr>
          <w:trHeight w:val="211"/>
        </w:trPr>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45"/>
        </w:trPr>
        <w:tc>
          <w:tcPr>
            <w:tcW w:w="79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320" w:type="dxa"/>
            <w:vAlign w:val="bottom"/>
          </w:tcPr>
          <w:p>
            <w:pPr>
              <w:jc w:val="right"/>
              <w:ind w:right="456"/>
              <w:spacing w:after="0" w:line="145" w:lineRule="exact"/>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2"/>
                <w:szCs w:val="12"/>
                <w:color w:val="auto"/>
              </w:rPr>
            </w:pPr>
          </w:p>
        </w:tc>
        <w:tc>
          <w:tcPr>
            <w:tcW w:w="1280" w:type="dxa"/>
            <w:vAlign w:val="bottom"/>
          </w:tcPr>
          <w:p>
            <w:pPr>
              <w:jc w:val="right"/>
              <w:ind w:right="296"/>
              <w:spacing w:after="0" w:line="145" w:lineRule="exact"/>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June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4"/>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December 1st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0.0750</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9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6"/>
          <w:szCs w:val="16"/>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On May 18, 2021, July 26, 2021 and October 27, 2021, our Board increased our share repurchase authorization by an additional $25.0 million, $25.0 million and $75.0 million, respectively, that including amounts previously authorized and outstanding, totaled up to $190.0 million in share repurchase authorizations.</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repurchase activity is as follows (dollar value of shares repurchased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Years Ended December 31,</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2021</w:t>
            </w:r>
          </w:p>
        </w:tc>
      </w:tr>
      <w:tr>
        <w:trPr>
          <w:trHeight w:val="220"/>
        </w:trPr>
        <w:tc>
          <w:tcPr>
            <w:tcW w:w="516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Number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400,000</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2,906,983</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1200" w:type="dxa"/>
            <w:vAlign w:val="bottom"/>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19.39</w:t>
            </w:r>
          </w:p>
        </w:tc>
        <w:tc>
          <w:tcPr>
            <w:tcW w:w="5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49.01</w:t>
            </w:r>
          </w:p>
        </w:tc>
      </w:tr>
      <w:tr>
        <w:trPr>
          <w:trHeight w:val="224"/>
        </w:trPr>
        <w:tc>
          <w:tcPr>
            <w:tcW w:w="5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Dollar Value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7,756</w:t>
            </w:r>
          </w:p>
        </w:tc>
        <w:tc>
          <w:tcPr>
            <w:tcW w:w="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10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85" w:lineRule="exact"/>
        <w:rPr>
          <w:sz w:val="20"/>
          <w:szCs w:val="20"/>
          <w:color w:val="auto"/>
        </w:rPr>
      </w:pPr>
    </w:p>
    <w:p>
      <w:pPr>
        <w:ind w:left="400" w:right="60" w:hanging="377"/>
        <w:spacing w:after="0" w:line="185" w:lineRule="auto"/>
        <w:tabs>
          <w:tab w:leader="none" w:pos="400" w:val="left"/>
        </w:tabs>
        <w:numPr>
          <w:ilvl w:val="0"/>
          <w:numId w:val="17"/>
        </w:numPr>
        <w:rPr>
          <w:rFonts w:ascii="Arial" w:cs="Arial" w:eastAsia="Arial" w:hAnsi="Arial"/>
          <w:sz w:val="23"/>
          <w:szCs w:val="23"/>
          <w:color w:val="auto"/>
          <w:vertAlign w:val="superscript"/>
        </w:rPr>
      </w:pPr>
      <w:r>
        <w:rPr>
          <w:rFonts w:ascii="Arial" w:cs="Arial" w:eastAsia="Arial" w:hAnsi="Arial"/>
          <w:sz w:val="12"/>
          <w:szCs w:val="12"/>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15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2021, we had $8.1 million remaining available for repurchase under our authorized program.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Lease Obligations and Acquisition Debt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outstanding principal of our long-term debt and lease obligations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155,400</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5,532</w:t>
            </w: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debt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80,947</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At December 31, 2020, our senior secured revolving credit facility (the "Former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Former Credit Facility was to occur on May 31, 2023.</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May 13, 2021, in connection with the issuance of the Senior Notes (defined in Senior Notes section below), we entered into an amended and restated $150.0 million senior secured revolving credit facility (the “Credit Facility”) with the Subsidiary Guarantors (as defined below), the financial institutions party thereto, as lenders, and Bank of America, N.A., as administrative agent. We incurred $0.8 million in transactions costs related to the Credit Facility, which were capitalized and will be amortized over the remaining term of the related debt using the straight-line method.</w:t>
      </w:r>
    </w:p>
    <w:p>
      <w:pPr>
        <w:spacing w:after="0" w:line="5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 xml:space="preserve">On May 13, 2021, we used $21.4 million of the availability under the Credit Facility to repay the then outstanding balances under our Former Credit Facility and all commitments thereunder were terminated. In connection with the repayment in full of all amounts due thereunder, the Former Credit Facility was retired and $2.1 million of letters of credit previously issued under the Former Credit Facility were deemed issued under (and remain outstanding under) the Credit Facility. In connection with the termination of the Former Credit Facility, we recognized a loss on the write-off of $0.1 million in unamortized debt issuance costs, which was recorded in </w:t>
      </w: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w:t>
      </w:r>
    </w:p>
    <w:p>
      <w:pPr>
        <w:spacing w:after="0" w:line="8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November 22, 2021, we entered into a first amendment and commitment increase to the Credit Facility with the financial institutions party thereto, as lenders, and Bank of America, N.A., as administrative agent. Pursuant to this amendment, the revolving credit commitment was increased from $150.0 million to $200.0 million. We incurred $0.1 million in transactions costs related to this amendment, which were capitalized and will be amortized over the remaining term of the related debt using the straight-line method.</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obligations under the Credit Facility are unconditionally guaranteed on a joint and several basis by the same subsidiaries which guarantee the Senior Notes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 The final maturity of the Credit Facility will occur on May 13, 2026.</w:t>
      </w:r>
    </w:p>
    <w:p>
      <w:pPr>
        <w:spacing w:after="0" w:line="5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5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8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2021, we were subject to the following financial covenants under our Credit Facility: (A) a Total Leverage Ratio not to exceed, (i)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were in compliance with all of the covenants contained in our Credit Facility at December 31, 2021.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At December 31, 2021, we had outstanding borrowings under the Credit Facility of $155.4 million. We also had one letter of credit for $2.1 million under the Credit Facility, which was increased to $2.3 million on September 1, 2021. The letter of credit will expire on November 25, 2022 and is expected to automatically renew annually and secures our obligations under our various self-insured policies. At December 31, 2021, we had $42.3 million of availability under the Credit Facility.</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Outstanding borrowings under our Credit Facility bear interest at either a prime rate or a LIBOR rate, plus an applicable margin based upon our leverage ratio. At December 31, 2021, the prime rate margin was equivalent to 0.75% and the LIBOR rate margin was 1.75%. The weighted average interest rate on our Credit Facility for the year ended December 31, 2021 was 2.4%. The weighted average interest rate on our Former Credit Facility for the year ended December 31, 2020 was 3.8%.</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have no material assets or operations independent of the Subsidiary Guarantors, as all of our assets and operations are held and conducted by Subsidiary Guarantors. Additionally, we do not currently have any significant restrictions on our ability to receive dividends or loans from any Subsidiary Guarantors.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interest expense and amortization of debt issuance costs related to our Credit Facility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interest expense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Credit Facility amortization of debt issuance costs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18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interest payments on our remaining borrowings under the Credit Facility will be determined based on the average outstanding balance of our borrowings and the prevailing interest rate during that time. See Part II, Item 8, Financial Statements and Supplementary Data, Note 12 to our Consolidated Financial Statements for further detail of our debt and interest payments.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w:t>
      </w:r>
    </w:p>
    <w:p>
      <w:pPr>
        <w:spacing w:after="0" w:line="4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lease cost related to our operating leases and short-term leases and depreciation expense and interest expense related to our finance leases are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1"/>
        </w:trPr>
        <w:tc>
          <w:tcPr>
            <w:tcW w:w="6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Depreciation of leased assets</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bl>
    <w:p>
      <w:pPr>
        <w:spacing w:after="0" w:line="17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At December 31, 2021, operating and finance lease obligations were $48.3 million, with $6.0 million payable within 12 months. See Part II, Item 8, Financial Statements and Supplementary Data, Note 15 to our Consolidated Financial Statements for further detail of our lease payments.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Debt</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typically range from five to twenty years. Acquisition debt obligations were $4.5 million, with $0.5 million payable within 12 months.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imputed interest expense related to our acquisition debt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w w:val="84"/>
              </w:rPr>
              <w:t>2020</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89"/>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debt imputed interest expense</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622</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489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364</w:t>
            </w:r>
          </w:p>
        </w:tc>
      </w:tr>
    </w:tbl>
    <w:p>
      <w:pPr>
        <w:spacing w:after="0" w:line="1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acquisition debt obligations were $4.5 million, with $0.5 million payable within 12 months. See Part II, Item 8, Financial Statements and Supplementary Data, Note 12 to our Consolidated Financial Statements for further detail of our debt payments.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2021</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March 19, 2014, we issued $143.75 million aggregate principal amount of our 2.75% convertible subordinated notes due 2021 (the “Convertible Notes”). The Convertible Notes were due on March 15, 2021 and bear interest at 2.75% per year, which was payable semi-annually in arrears on March 15 and September 15 of each year.</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May 2018, we exchanged $115.0 million in aggregate principal amount of Convertible Notes in a privately-negotiated exchange with a limited number of convertible noteholders. We completed privately-negotiated repurchases of $22.4 million, $25,000 and $3.8 million in aggregate principal amount of Convertible Notes in December 2018, April 2019 and September 2020, respectively.</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the year ended December 31, 2021, we converted $2.4 million in aggregate principal amount of our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2021.</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accretion of debt discount and debt issuance costs related to our Convertible Notes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interest expense</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Convertible Notes accretion of debt discount</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amortization of debt issuance costs</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1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effective interest rate on the unamortized debt discount and debt issuance costs for both years ended December 31, 2020 and 2021 was 11.4% and 3.1%,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May 13, 2021, we issued $400.0 million in aggregate principal amount of 4.25% Senior Notes due in May 2029 (the “Senior Notes”) and related guarantees by the Subsidiary Guarantors in a private offering under Rule 144A and Regulation S of the Securities Act.</w:t>
      </w:r>
    </w:p>
    <w:p>
      <w:pPr>
        <w:spacing w:after="0" w:line="7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used the proceeds of $395.5 million from the offering of the Senior Notes, which are net of a 1.125% debt discount of $4.5 million, together with cash on hand and borrowings under the Credit Facility, to redeem all of our existing $400.0 million in aggregate principal amount of 6.625% senior notes due 2026 (the “Original Senior Notes”). We paid a premium of $19.9 million to redeem the Original Senior Notes on June 1, 2021 at a redemption price of 104.97% of the principal amount thereof, plus accrued and unpaid interest of $13.25 million. During the year ended December 31, 2021, we incurred $1.3 million in transaction costs related to the Senior Notes.</w:t>
      </w:r>
    </w:p>
    <w:p>
      <w:pPr>
        <w:spacing w:after="0" w:line="8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For the year ended December 31, 2021, we recognized a net loss of $23.7 million related to the redemption of the Original Senior Notes,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4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Senior Notes were issued under an indenture, dated as of May 13, 2021 (the “Indenture”), among the Company, the Subsidiary Guarantors (as defined therein) and Wilmington Trust, National Association, as trustee (“Collateral Trustee”).</w:t>
      </w:r>
    </w:p>
    <w:p>
      <w:pPr>
        <w:spacing w:after="0" w:line="7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Senior Notes bear interest at 4.25% per year. Interest on the Senior Notes is payable semi-annually in arrears on May 15 and November 15 of each year, beginning on November 15, 2021. The Senior Notes mature on May 15, 2029, unless earlier redeemed or purchased. The Senior Notes are unsecured, senior obligations and are fully and unconditionally guaranteed on a senior unsecured basis, jointly and severally by each of the Subsidiary Guarantors.</w:t>
      </w:r>
    </w:p>
    <w:p>
      <w:pPr>
        <w:spacing w:after="0" w:line="4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concurrently), and (2) each such redemption must occur within 180 days of the date of the consummation of any such equity offering.</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5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debt discount and the debt issuance costs are being amortized using the effective interest method over the remaining term of 89 months of the Senior Notes. The effective interest rate on the unamortized debt discount and the unamortized debt issuance costs for the Senior Notes for the year ended December 31, 2021 was 4.42% and 4.30%, respectively.</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effective interest rate on the unamortized debt discount and the unamortized debt issuance costs for the Original Senior Notes, issued in May 2018, for the year ended December 31, 2020 was 6.69%. The effective interest rate on the unamortized debt premium and the unamortized debt issuance costs for the additional Original Senior Notes, issued in December 2019, for year ended December 31, 2020 was 6.90%.</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of the Senior Notes, which are Level 2 measurements, was $401.6 million at December 31, 2021.</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Senior Notes amortization of debt discount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amortization of debt premium</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Senior Notes amortization of debt issuance costs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18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have future interest payments on our outstanding balance of $125.3 million, with $17.0 million payable within 12 months. See Part II, Item 8, Financial Statements and Supplementary Data, Note 14 to our Consolidated Financial Statements for further detail of our debt and interest payments.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December 31, 2021, our off-balance sheet arrangements were as follows: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b w:val="1"/>
          <w:bCs w:val="1"/>
          <w:i w:val="1"/>
          <w:iCs w:val="1"/>
          <w:color w:val="auto"/>
        </w:rPr>
        <w:t xml:space="preserve">Non-compete agreements </w:t>
      </w:r>
      <w:r>
        <w:rPr>
          <w:rFonts w:ascii="Arial" w:cs="Arial" w:eastAsia="Arial" w:hAnsi="Arial"/>
          <w:sz w:val="18"/>
          <w:szCs w:val="18"/>
          <w:color w:val="auto"/>
        </w:rPr>
        <w:t>- We have various non-compete agreements with former owners and employees of businesses we have acquired.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are generally for one to ten years and provide for periodic payments over the term of the agreements. We have future payments on our non-compete agreements of $6.8 million, with $2.3 million payable within 12 months.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b w:val="1"/>
          <w:bCs w:val="1"/>
          <w:i w:val="1"/>
          <w:iCs w:val="1"/>
          <w:color w:val="auto"/>
        </w:rPr>
        <w:t xml:space="preserve">Consulting agreements </w:t>
      </w:r>
      <w:r>
        <w:rPr>
          <w:rFonts w:ascii="Arial" w:cs="Arial" w:eastAsia="Arial" w:hAnsi="Arial"/>
          <w:sz w:val="18"/>
          <w:szCs w:val="18"/>
          <w:color w:val="auto"/>
        </w:rPr>
        <w:t>- We have various consulting agreements with former owners of businesses we have acquired. Payments for such agreements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made in advance. These agreements are generally for one to five years and provide for bi-weekly or monthly payments. We have future payments on our consulting agreements of $1.2 million, with $0.7 million payable within 12 months.</w:t>
      </w:r>
    </w:p>
    <w:p>
      <w:pPr>
        <w:spacing w:after="0" w:line="85"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b w:val="1"/>
          <w:bCs w:val="1"/>
          <w:i w:val="1"/>
          <w:iCs w:val="1"/>
          <w:color w:val="auto"/>
        </w:rPr>
        <w:t xml:space="preserve">Employment agreements </w:t>
      </w:r>
      <w:r>
        <w:rPr>
          <w:rFonts w:ascii="Arial" w:cs="Arial" w:eastAsia="Arial" w:hAnsi="Arial"/>
          <w:sz w:val="15"/>
          <w:szCs w:val="15"/>
          <w:color w:val="auto"/>
        </w:rPr>
        <w:t>- We have employment agreements with our executive officers and certain senior leadership. These agreements are generally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to five years and provide for participation in various incentive compensation arrangements. These agreements generally renew automatically on an annual basis after their initial term has expired, with the exception of our Chairman of the Board and Chief Executive Officer, which does not renew after the current term expiring in February 2028. We have future payments on our employment agreements of $8.3 million, with $3.3 million payable within 12 months.</w:t>
      </w:r>
    </w:p>
    <w:p>
      <w:pPr>
        <w:spacing w:after="0" w:line="3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 We have one letter of credit for $2.3 million under the Credit Facility, which secures our obligations under our various self-insurance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in the event we are unable to meet the self-insurance portion of our claim payment obligations. As we already have reserves recorded for our self-insurance claims costs, these do not represent additional liabilities. The letter of credit will expire on November 25, 2022 and is expected to automatically renew annually.</w:t>
      </w:r>
    </w:p>
    <w:p>
      <w:pPr>
        <w:spacing w:after="0" w:line="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 See Part II, Item 8, Financial Statements and Supplementary Data, Notes 12 and 16 to our Consolidated Financial Statements for further detail of our letter of credit and off-balance sheet agreements,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are our financial highlights (in thousands except for volumes and averages):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274,107</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329,448</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375,886</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Funeral contracts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38,940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47,190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49,249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funeral contract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Preneed interment rights (property) sold</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interment right sold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79,585</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105,923</w:t>
            </w:r>
          </w:p>
        </w:tc>
        <w:tc>
          <w:tcPr>
            <w:tcW w:w="2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129,516</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33,159</w:t>
            </w:r>
          </w:p>
        </w:tc>
      </w:tr>
    </w:tbl>
    <w:p>
      <w:pPr>
        <w:spacing w:after="0" w:line="1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Revenue in 2021 increased $46.4 million compared to 2020, as we experienced a 20.0% increase in the number of preneed interment rights (property) sold, as well as a 17.0% increase in the average price per interment right sold, primarily due to (1) our sales personnel being less impacted by social distancing restrictions that were in place in 2020 due to COVID-19; (2) the full integration of the cemetery acquisitions made in the fourth quarter of 2019 and first quarter of 2020; and (3) the execution of our innovative cemetery sales strategy of building high performance sales teams and standardized sales systems across our portfolio of cemeteries.</w:t>
      </w:r>
    </w:p>
    <w:p>
      <w:pPr>
        <w:spacing w:after="0" w:line="89"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color w:val="auto"/>
        </w:rPr>
        <w:t>We also experienced a 4.4% increase in total funeral contracts and a 4.2% increase in the average revenue per funeral contract for 2021 compared to 2020. We believe the increase in volume during 2021 is due not only to COVID-19 deaths, but also due to a result of our ability to adapt to the continued changing consumer environment with new and innovative ways to serve families. We believe the increase in the average revenue per contract is a further reflection of our ability to creatively serve our families, as the number of contracts for which we provided memorial services in 2021 began to return to pre-COVID-19 levels.</w:t>
      </w:r>
    </w:p>
    <w:p>
      <w:pPr>
        <w:spacing w:after="0" w:line="3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Revenue in 2020 increased $55.3 million compared to 2019, as we experienced a 21.2% increase in total funeral contracts primarily due to the funeral home acquisitions made in the fourth quarter of 2019 and first quarter of 2020, as well as increases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from broad market share gains and increases in the number of deaths related to the COVID-19 pandemic. Volume growth was offset by a decrease in the average revenue per funeral contract of 6.4% primarily due to the decrease in services performed as restrictions mandated by state and local governments were placed on social gatherings. In addition, we experienced an increase of 31.9% in the number of preneed interment rights (property) sold primarily due to the cemetery acquisitions made in the fourth quarter of 2019 and first quarter of 2020, as well as an increase of 10.4% in the average price per interment right sold. Further discussion of Revenue for our funeral home and cemetery segments is presented herein under “Results of Operations.”</w:t>
      </w:r>
    </w:p>
    <w:p>
      <w:pPr>
        <w:spacing w:after="0" w:line="5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Gross profit in 2021 increased $23.6 million compared to 2020, primarily due to the increase in revenue from both our funeral home and cemetery segments, as well as decreases in funeral home and cemetery operating expenses as a percent of operating revenue primarily in salaries and benefits expense as we increased revenue without adding extra personnel.</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Gross profit in 2020 increased $26.3 million compared to 2019, primarily due to the increase in revenue from both our funeral home and cemetery segments due to the acquisitions made in the fourth quarter of 2019 and first quarter of 2020, as well as disciplined expense and cost management by leaders at each business. Further discussion of the components of Gross profit for our funeral home and cemetery segments, is presented herein under “Results of Operations.”</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Net income for the 2021 increased $17.1 million compared to 2020, primarily due to (1) the increase in gross profit of $23.6 million; (2) a $20.8 million decrease in net loss on divestitures, disposals and impairments charges and (3) a $7.1 million decrease in interest expense; offset by (4) a $23.8 million loss on extinguishment of debt; (5) a $8.1 million increase in general, administrative and other expenses and (6) a $2.6 million increase in tax expense.</w:t>
      </w:r>
    </w:p>
    <w:p>
      <w:pPr>
        <w:spacing w:after="0" w:line="4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Net income in 2020 increased $1.6 million compared to 2019 primarily due to the increase in gross profit, offset by the $16.6 million increase in charges related to the net loss on divestitures and impairments and $7.0 million increase in interest expense related to our Senior Notes and Credit Facility.</w:t>
      </w:r>
    </w:p>
    <w:p>
      <w:pPr>
        <w:spacing w:after="0" w:line="3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Further discussion of General, administrative and other expenses, Home office depreciation and amortization expense, Net loss on divestitures, disposals and impairment charges, Interest expense, Income taxes and other components of income and expenses are presented herein under “Other Financial Statement Items.”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NON-GAAP FINANCIAL MEASURES</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also present our financial performance in our “Operating and Financial Trend Report” (“Trend Report”) as reported in our earnings release for the year ending December 31, 2021, dated February 23, 2022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reconciliation of Net income, a GAAP measure to Adjusted net income, a non-GAAP measure,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33,159</w:t>
            </w:r>
          </w:p>
        </w:tc>
      </w:tr>
      <w:tr>
        <w:trPr>
          <w:trHeight w:val="224"/>
        </w:trPr>
        <w:tc>
          <w:tcPr>
            <w:tcW w:w="6240" w:type="dxa"/>
            <w:vAlign w:val="bottom"/>
          </w:tcPr>
          <w:p>
            <w:pPr>
              <w:ind w:left="20"/>
              <w:spacing w:after="0" w:line="224" w:lineRule="exact"/>
              <w:rPr>
                <w:sz w:val="20"/>
                <w:szCs w:val="20"/>
                <w:color w:val="auto"/>
              </w:rPr>
            </w:pPr>
            <w:r>
              <w:rPr>
                <w:rFonts w:ascii="Arial" w:cs="Arial" w:eastAsia="Arial" w:hAnsi="Arial"/>
                <w:sz w:val="18"/>
                <w:szCs w:val="18"/>
                <w:color w:val="auto"/>
              </w:rPr>
              <w:t>Special items</w:t>
            </w:r>
            <w:r>
              <w:rPr>
                <w:rFonts w:ascii="Arial" w:cs="Arial" w:eastAsia="Arial" w:hAnsi="Arial"/>
                <w:sz w:val="22"/>
                <w:szCs w:val="22"/>
                <w:color w:val="auto"/>
                <w:vertAlign w:val="superscript"/>
              </w:rPr>
              <w:t>(1)</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expenses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tcPr>
          <w:p>
            <w:pPr>
              <w:ind w:left="220"/>
              <w:spacing w:after="0" w:line="224" w:lineRule="exact"/>
              <w:rPr>
                <w:sz w:val="20"/>
                <w:szCs w:val="20"/>
                <w:color w:val="auto"/>
              </w:rPr>
            </w:pPr>
            <w:r>
              <w:rPr>
                <w:rFonts w:ascii="Arial" w:cs="Arial" w:eastAsia="Arial" w:hAnsi="Arial"/>
                <w:sz w:val="18"/>
                <w:szCs w:val="18"/>
                <w:color w:val="auto"/>
              </w:rPr>
              <w:t>Severance and separation costs</w:t>
            </w:r>
            <w:r>
              <w:rPr>
                <w:rFonts w:ascii="Arial" w:cs="Arial" w:eastAsia="Arial" w:hAnsi="Arial"/>
                <w:sz w:val="22"/>
                <w:szCs w:val="22"/>
                <w:color w:val="auto"/>
                <w:vertAlign w:val="superscript"/>
              </w:rPr>
              <w:t>(2)</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awards cancellation and exchange</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tcPr>
          <w:p>
            <w:pPr>
              <w:ind w:left="220"/>
              <w:spacing w:after="0" w:line="224" w:lineRule="exact"/>
              <w:rPr>
                <w:sz w:val="20"/>
                <w:szCs w:val="20"/>
                <w:color w:val="auto"/>
              </w:rPr>
            </w:pPr>
            <w:r>
              <w:rPr>
                <w:rFonts w:ascii="Arial" w:cs="Arial" w:eastAsia="Arial" w:hAnsi="Arial"/>
                <w:sz w:val="18"/>
                <w:szCs w:val="18"/>
                <w:color w:val="auto"/>
              </w:rPr>
              <w:t>Accretion of discount on Convertible Notes</w:t>
            </w:r>
            <w:r>
              <w:rPr>
                <w:rFonts w:ascii="Arial" w:cs="Arial" w:eastAsia="Arial" w:hAnsi="Arial"/>
                <w:sz w:val="22"/>
                <w:szCs w:val="22"/>
                <w:color w:val="auto"/>
                <w:vertAlign w:val="superscript"/>
              </w:rPr>
              <w:t>(1)</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624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Loss on early extinguishment of debt</w:t>
            </w:r>
            <w:r>
              <w:rPr>
                <w:rFonts w:ascii="Arial" w:cs="Arial" w:eastAsia="Arial" w:hAnsi="Arial"/>
                <w:sz w:val="22"/>
                <w:szCs w:val="22"/>
                <w:color w:val="auto"/>
                <w:vertAlign w:val="superscript"/>
              </w:rPr>
              <w:t>(3)</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Net (gain) loss on divestitures and other costs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impact of impairment of goodwill and other intangibles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4"/>
        </w:trPr>
        <w:tc>
          <w:tcPr>
            <w:tcW w:w="6240" w:type="dxa"/>
            <w:vAlign w:val="bottom"/>
          </w:tcPr>
          <w:p>
            <w:pPr>
              <w:ind w:left="220"/>
              <w:spacing w:after="0" w:line="224" w:lineRule="exact"/>
              <w:rPr>
                <w:sz w:val="20"/>
                <w:szCs w:val="20"/>
                <w:color w:val="auto"/>
              </w:rPr>
            </w:pPr>
            <w:r>
              <w:rPr>
                <w:rFonts w:ascii="Arial" w:cs="Arial" w:eastAsia="Arial" w:hAnsi="Arial"/>
                <w:sz w:val="18"/>
                <w:szCs w:val="18"/>
                <w:color w:val="auto"/>
              </w:rPr>
              <w:t>Litigation reserve</w:t>
            </w:r>
            <w:r>
              <w:rPr>
                <w:rFonts w:ascii="Arial" w:cs="Arial" w:eastAsia="Arial" w:hAnsi="Arial"/>
                <w:sz w:val="22"/>
                <w:szCs w:val="22"/>
                <w:color w:val="auto"/>
                <w:vertAlign w:val="superscript"/>
              </w:rPr>
              <w:t>(4)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24"/>
        </w:trPr>
        <w:tc>
          <w:tcPr>
            <w:tcW w:w="624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Tax expense related to divested business</w:t>
            </w:r>
            <w:r>
              <w:rPr>
                <w:rFonts w:ascii="Arial" w:cs="Arial" w:eastAsia="Arial" w:hAnsi="Arial"/>
                <w:sz w:val="22"/>
                <w:szCs w:val="22"/>
                <w:color w:val="auto"/>
                <w:vertAlign w:val="superscript"/>
              </w:rPr>
              <w:t>(1)</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Gain on insurance reimbursements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Disaster recovery and pandemic costs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r>
      <w:tr>
        <w:trPr>
          <w:trHeight w:val="224"/>
        </w:trPr>
        <w:tc>
          <w:tcPr>
            <w:tcW w:w="6240" w:type="dxa"/>
            <w:vAlign w:val="bottom"/>
          </w:tcPr>
          <w:p>
            <w:pPr>
              <w:ind w:left="220"/>
              <w:spacing w:after="0" w:line="224" w:lineRule="exact"/>
              <w:rPr>
                <w:sz w:val="20"/>
                <w:szCs w:val="20"/>
                <w:color w:val="auto"/>
              </w:rPr>
            </w:pPr>
            <w:r>
              <w:rPr>
                <w:rFonts w:ascii="Arial" w:cs="Arial" w:eastAsia="Arial" w:hAnsi="Arial"/>
                <w:sz w:val="18"/>
                <w:szCs w:val="18"/>
                <w:color w:val="auto"/>
              </w:rPr>
              <w:t>Other special items</w:t>
            </w:r>
            <w:r>
              <w:rPr>
                <w:rFonts w:ascii="Arial" w:cs="Arial" w:eastAsia="Arial" w:hAnsi="Arial"/>
                <w:sz w:val="22"/>
                <w:szCs w:val="22"/>
                <w:color w:val="auto"/>
                <w:vertAlign w:val="superscript"/>
              </w:rPr>
              <w:t>(5)</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24"/>
        </w:trPr>
        <w:tc>
          <w:tcPr>
            <w:tcW w:w="624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Tax adjustment related to certain discrete items</w:t>
            </w:r>
            <w:r>
              <w:rPr>
                <w:rFonts w:ascii="Arial" w:cs="Arial" w:eastAsia="Arial" w:hAnsi="Arial"/>
                <w:sz w:val="22"/>
                <w:szCs w:val="22"/>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Sum of special items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9,821</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25,579</w:t>
            </w:r>
          </w:p>
        </w:tc>
        <w:tc>
          <w:tcPr>
            <w:tcW w:w="2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30,607</w:t>
            </w:r>
          </w:p>
        </w:tc>
      </w:tr>
      <w:tr>
        <w:trPr>
          <w:trHeight w:val="224"/>
        </w:trPr>
        <w:tc>
          <w:tcPr>
            <w:tcW w:w="6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Tax effect on special items</w:t>
            </w:r>
            <w:r>
              <w:rPr>
                <w:rFonts w:ascii="Arial" w:cs="Arial" w:eastAsia="Arial" w:hAnsi="Arial"/>
                <w:sz w:val="22"/>
                <w:szCs w:val="22"/>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w:t>
            </w:r>
          </w:p>
        </w:tc>
      </w:tr>
      <w:tr>
        <w:trPr>
          <w:trHeight w:val="217"/>
        </w:trPr>
        <w:tc>
          <w:tcPr>
            <w:tcW w:w="6240" w:type="dxa"/>
            <w:vAlign w:val="bottom"/>
          </w:tcPr>
          <w:p>
            <w:pPr>
              <w:ind w:left="20"/>
              <w:spacing w:after="0" w:line="217"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(6)</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22,532</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33,683</w:t>
            </w:r>
          </w:p>
        </w:tc>
        <w:tc>
          <w:tcPr>
            <w:tcW w:w="22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55,263</w:t>
            </w:r>
          </w:p>
        </w:tc>
      </w:tr>
      <w:tr>
        <w:trPr>
          <w:trHeight w:val="20"/>
        </w:trPr>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108585</wp:posOffset>
            </wp:positionV>
            <wp:extent cx="7110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4" w:lineRule="exact"/>
        <w:rPr>
          <w:sz w:val="20"/>
          <w:szCs w:val="20"/>
          <w:color w:val="auto"/>
        </w:rPr>
      </w:pPr>
    </w:p>
    <w:p>
      <w:pPr>
        <w:jc w:val="both"/>
        <w:ind w:left="420" w:right="40" w:hanging="378"/>
        <w:spacing w:after="0" w:line="217"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Special items are defined as charges or credits included in our GAAP financial statements that can vary from period to period and are not reflective of costs incurred in the ordinary course of our operations. In 2019 and 2020, Special items are taxed at the federal statutory rate of 21.0%, except the Net (gain) loss on divestitures and other costs and the Net impact of impairment of goodwill and other intangibles, which are taxed at the operating tax rate for the period. In 2021, Special items are taxed at the operating tax rate for the period. The Accretion of discount on Convertible Notes, the Tax expense related to divested business and the Tax adjustment related to certain discrete items are not tax effected.</w:t>
      </w:r>
    </w:p>
    <w:p>
      <w:pPr>
        <w:spacing w:after="0" w:line="23" w:lineRule="exact"/>
        <w:rPr>
          <w:rFonts w:ascii="Arial" w:cs="Arial" w:eastAsia="Arial" w:hAnsi="Arial"/>
          <w:sz w:val="16"/>
          <w:szCs w:val="16"/>
          <w:color w:val="auto"/>
        </w:rPr>
      </w:pPr>
    </w:p>
    <w:p>
      <w:pPr>
        <w:ind w:left="420" w:hanging="378"/>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related to the termination or resignation of certain key members of leadership.</w:t>
      </w:r>
    </w:p>
    <w:p>
      <w:pPr>
        <w:spacing w:after="0" w:line="26" w:lineRule="exact"/>
        <w:rPr>
          <w:rFonts w:ascii="Arial" w:cs="Arial" w:eastAsia="Arial" w:hAnsi="Arial"/>
          <w:sz w:val="16"/>
          <w:szCs w:val="16"/>
          <w:color w:val="auto"/>
        </w:rPr>
      </w:pPr>
    </w:p>
    <w:p>
      <w:pPr>
        <w:ind w:left="420" w:hanging="378"/>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 on the redemption of our Original Senior Notes during the second quarter of 2021.</w:t>
      </w:r>
    </w:p>
    <w:p>
      <w:pPr>
        <w:spacing w:after="0" w:line="26" w:lineRule="exact"/>
        <w:rPr>
          <w:rFonts w:ascii="Arial" w:cs="Arial" w:eastAsia="Arial" w:hAnsi="Arial"/>
          <w:sz w:val="16"/>
          <w:szCs w:val="16"/>
          <w:color w:val="auto"/>
        </w:rPr>
      </w:pPr>
    </w:p>
    <w:p>
      <w:pPr>
        <w:ind w:left="420" w:hanging="378"/>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related to litigation matters.</w:t>
      </w:r>
    </w:p>
    <w:p>
      <w:pPr>
        <w:spacing w:after="0" w:line="26" w:lineRule="exact"/>
        <w:rPr>
          <w:rFonts w:ascii="Arial" w:cs="Arial" w:eastAsia="Arial" w:hAnsi="Arial"/>
          <w:sz w:val="16"/>
          <w:szCs w:val="16"/>
          <w:color w:val="auto"/>
        </w:rPr>
      </w:pPr>
    </w:p>
    <w:p>
      <w:pPr>
        <w:jc w:val="both"/>
        <w:ind w:left="420" w:right="40" w:hanging="378"/>
        <w:spacing w:after="0" w:line="219"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2019, the amount is related to costs associated with recruitment of a former member of the senior leadership team. In 2020, this is related to the costs associated with a state audit assessment. In, 2021, this is related to (1) write-off of certain fixed assets; (2) a one-time $1.0 million payment in September 2021 for residual insurance claims; and (3) interest paid on our Original Senior Notes for the two-week period during which our Senior Notes were issued prior to the redemption of our Original Senior Notes.</w:t>
      </w:r>
    </w:p>
    <w:p>
      <w:pPr>
        <w:spacing w:after="0" w:line="12" w:lineRule="exact"/>
        <w:rPr>
          <w:rFonts w:ascii="Arial" w:cs="Arial" w:eastAsia="Arial" w:hAnsi="Arial"/>
          <w:sz w:val="16"/>
          <w:szCs w:val="16"/>
          <w:color w:val="auto"/>
        </w:rPr>
      </w:pPr>
    </w:p>
    <w:p>
      <w:pPr>
        <w:ind w:left="420" w:right="40" w:hanging="378"/>
        <w:spacing w:after="0" w:line="23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7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Below is a reconciliation of Gross profit (a GAAP measure) to Operating profit (a non-GAAP measure)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79,585</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129,516</w:t>
            </w:r>
          </w:p>
        </w:tc>
      </w:tr>
      <w:tr>
        <w:trPr>
          <w:trHeight w:val="250"/>
        </w:trPr>
        <w:tc>
          <w:tcPr>
            <w:tcW w:w="6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Cemetery property amortization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Field depreciation expense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and unallocated funeral and cemetery costs</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25,846</w:t>
            </w:r>
          </w:p>
        </w:tc>
      </w:tr>
      <w:tr>
        <w:trPr>
          <w:trHeight w:val="217"/>
        </w:trPr>
        <w:tc>
          <w:tcPr>
            <w:tcW w:w="6240" w:type="dxa"/>
            <w:vAlign w:val="bottom"/>
          </w:tcPr>
          <w:p>
            <w:pPr>
              <w:ind w:left="20"/>
              <w:spacing w:after="0" w:line="217" w:lineRule="exact"/>
              <w:rPr>
                <w:sz w:val="20"/>
                <w:szCs w:val="20"/>
                <w:color w:val="auto"/>
              </w:rPr>
            </w:pPr>
            <w:r>
              <w:rPr>
                <w:rFonts w:ascii="Arial" w:cs="Arial" w:eastAsia="Arial" w:hAnsi="Arial"/>
                <w:sz w:val="18"/>
                <w:szCs w:val="18"/>
                <w:color w:val="auto"/>
              </w:rPr>
              <w:t>Operating profit</w:t>
            </w:r>
            <w:r>
              <w:rPr>
                <w:rFonts w:ascii="Arial" w:cs="Arial" w:eastAsia="Arial" w:hAnsi="Arial"/>
                <w:sz w:val="22"/>
                <w:szCs w:val="22"/>
                <w:color w:val="auto"/>
                <w:vertAlign w:val="superscript"/>
              </w:rPr>
              <w:t>(1)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109,767</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141,942</w:t>
            </w:r>
          </w:p>
        </w:tc>
        <w:tc>
          <w:tcPr>
            <w:tcW w:w="22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174,641</w:t>
            </w:r>
          </w:p>
        </w:tc>
      </w:tr>
      <w:tr>
        <w:trPr>
          <w:trHeight w:val="20"/>
        </w:trPr>
        <w:tc>
          <w:tcPr>
            <w:tcW w:w="6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108585</wp:posOffset>
            </wp:positionV>
            <wp:extent cx="7110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67" w:lineRule="exact"/>
        <w:rPr>
          <w:sz w:val="20"/>
          <w:szCs w:val="20"/>
          <w:color w:val="auto"/>
        </w:rPr>
      </w:pPr>
    </w:p>
    <w:p>
      <w:pPr>
        <w:ind w:left="420" w:hanging="378"/>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operations are reported in two business segments: Funeral Home and Cemetery. Below is a breakdown of Operating profit (a non-GAAP measure)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Segment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Funeral Home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104,998</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119,007</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Cemetery</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24,030</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36,944</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55,634</w:t>
            </w:r>
          </w:p>
        </w:tc>
      </w:tr>
      <w:tr>
        <w:trPr>
          <w:trHeight w:val="23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profit</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109,767</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141,942</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6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profit margin</w:t>
            </w:r>
            <w:r>
              <w:rPr>
                <w:rFonts w:ascii="Arial" w:cs="Arial" w:eastAsia="Arial" w:hAnsi="Arial"/>
                <w:sz w:val="22"/>
                <w:szCs w:val="22"/>
                <w:color w:val="auto"/>
                <w:vertAlign w:val="superscript"/>
              </w:rPr>
              <w:t>(1)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108585</wp:posOffset>
            </wp:positionV>
            <wp:extent cx="7110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67" w:lineRule="exact"/>
        <w:rPr>
          <w:sz w:val="20"/>
          <w:szCs w:val="20"/>
          <w:color w:val="auto"/>
        </w:rPr>
      </w:pPr>
    </w:p>
    <w:p>
      <w:pPr>
        <w:ind w:left="420" w:hanging="378"/>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profit margin is defined as Operating profit as a percentage of Revenue.</w:t>
      </w:r>
    </w:p>
    <w:p>
      <w:pPr>
        <w:spacing w:after="0" w:line="195"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Further discussion of Operating profit for our funeral home and cemetery segments is presented herein under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discussion of our results of operations for the year ended December 31, 2021 compared to the year ended December 31, 2020.</w:t>
      </w:r>
    </w:p>
    <w:p>
      <w:pPr>
        <w:spacing w:after="0" w:line="13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term “same store” refers to funeral homes and cemeteries acquired prior to January 1, 2017 and owned and operated for the entirety of each period being presented, excluding certain funeral home and cemetery businesses that we intend to divest in the near future.</w:t>
      </w:r>
    </w:p>
    <w:p>
      <w:pPr>
        <w:spacing w:after="0" w:line="7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term “acquired” refers to funeral homes and cemeteries purchased after December 31, 2016,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4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term “divested” when discussed in the Funeral Home Segment, refers to two funeral homes we sold and six funeral homes we merged with other businesses we own in existing markets during the year ended December 31, 2021 and eight funeral homes we sold during the year ended December 31, 2020. The term “divested” when discussed in the Cemetery Segment, refers to one cemetery we sold during the year ended December 31, 2021.</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“Planned divested” refers to the funeral home businesses that we intend to divest.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“Ancillary” in the Funeral Home Segment represents our flower shop, pet cremation business and online cremation business.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Segment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certain information regarding our Revenue and Operating profit from our funeral home operations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Same store operating revenue</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191,757</w:t>
            </w:r>
          </w:p>
        </w:tc>
        <w:tc>
          <w:tcPr>
            <w:tcW w:w="2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215,039</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operating revenue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38,031</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Divested/planned divested revenue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Ancillary revenue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Preneed funeral insurance commissions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Preneed funeral trust and insurance</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2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17"/>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249,138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270,087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Same store operating profit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93,025</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Acquired operating profit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13,628</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16,017</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Divested/planned divested operating profit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Ancillary operating profit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Preneed funeral insurance commissions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Preneed funeral trust and insurance</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104,998</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119,007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 store:</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Contract volume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37,802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41,307</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5,258</w:t>
            </w:r>
          </w:p>
        </w:tc>
        <w:tc>
          <w:tcPr>
            <w:tcW w:w="2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Burial rate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Cremation rate</w:t>
            </w:r>
          </w:p>
        </w:tc>
        <w:tc>
          <w:tcPr>
            <w:tcW w:w="4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63"/>
        </w:trPr>
        <w:tc>
          <w:tcPr>
            <w:tcW w:w="7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Acquired:</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volume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4,913</w:t>
            </w:r>
          </w:p>
        </w:tc>
        <w:tc>
          <w:tcPr>
            <w:tcW w:w="2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Burial rate</w:t>
            </w:r>
          </w:p>
        </w:tc>
        <w:tc>
          <w:tcPr>
            <w:tcW w:w="4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Cremation rate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Funeral home same store operating revenue increased $23.3 million for the year ended December 31, 2021 compared to the year ended December 31, 2020. The increase in operating revenue is primarily driven by a 9.3% increase in same store contract volume, as well as a 2.6% increase in the average revenue per contract excluding preneed interest. The increase in volume is not only due to COVID-19 deaths during 2021, but also a result of our ability to adapt to the continued changing environment with new and innovative ways to serve families. We believe the increase in the average revenue per contract is a further reflection of our ability to creatively serve our families, as the number of contracts for which we provided memorial services in 2021 began to return to pre-COVID-19 levels.</w:t>
      </w:r>
    </w:p>
    <w:p>
      <w:pPr>
        <w:spacing w:after="0" w:line="9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Funeral home same store operating profit for the year ended December 31, 2021 increased $13.2 million when compared to the year ended December 31, 2020. The comparable operating profit margin increased 170 basis points to 43.3%.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increase in operating profit is primarily due to the increase in same store operating revenue along with disciplined expense and cost management by leaders at each business. Overall same store operating expenses as a percent of operating revenue decreased 1.7% with the largest decrease in salaries and benefits expense of 1.2% as a percent of operating revenue, as we focused on optimizing the inherent operating leverage in each business by increasing revenue without adding extra personnel.</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Funeral home acquired operating revenue for the year ended December 31, 2021 increased $2.6 million compared to the year ended December 31, 2020. The increase in operating revenue is primarily driven by a 6.9% increase in the average revenue per contract excluding preneed interest, while the acquired contract volume was relatively flat. We believe the increase in the average revenue per contract is a further reflection of our ability to creatively serve our families, as the number of contracts for which we provided memorial services in 2021 began to return to pre-COVID-19 levels.</w:t>
      </w:r>
    </w:p>
    <w:p>
      <w:pPr>
        <w:spacing w:after="0" w:line="5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Acquired operating profit for the year ended December 31, 2021, increased $2.4 million when compared to the year ended December 31, 2020. The comparable operating profit margin increased 370 basis points to 42.1%. The increase in operating profit is primarily due to the increase in acquired operating revenue along with disciplined expense and cost management by leaders at each business. Overall acquired operating expenses as a percent of operating revenue decreased 3.7% with the largest decrease in salaries and benefits expense of 3.2% as a percent of operating revenue, as we focused on optimizing the inherent operating leverage in each business by increasing revenue without adding extra personnel.</w:t>
      </w:r>
    </w:p>
    <w:p>
      <w:pPr>
        <w:spacing w:after="0" w:line="5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 xml:space="preserve">Ancillary revenue, which is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represents revenue from our flower shop, pet cremation and online cremation businesses and Ancillary operating profit both decreased $0.2 million for the year ended December 31, 2021 compared to the year ended December 31, 2020.</w:t>
      </w:r>
    </w:p>
    <w:p>
      <w:pPr>
        <w:spacing w:after="0" w:line="34" w:lineRule="exact"/>
        <w:rPr>
          <w:sz w:val="20"/>
          <w:szCs w:val="20"/>
          <w:color w:val="auto"/>
        </w:rPr>
      </w:pPr>
    </w:p>
    <w:p>
      <w:pPr>
        <w:jc w:val="both"/>
        <w:ind w:firstLine="395"/>
        <w:spacing w:after="0" w:line="264" w:lineRule="auto"/>
        <w:rPr>
          <w:sz w:val="20"/>
          <w:szCs w:val="20"/>
          <w:color w:val="auto"/>
        </w:rPr>
      </w:pPr>
      <w:r>
        <w:rPr>
          <w:rFonts w:ascii="Arial" w:cs="Arial" w:eastAsia="Arial" w:hAnsi="Arial"/>
          <w:sz w:val="17"/>
          <w:szCs w:val="17"/>
          <w:color w:val="auto"/>
        </w:rPr>
        <w:t xml:space="preserve">Preneed funeral insurance commissions and preneed funeral trust and insurance (recorded in </w:t>
      </w:r>
      <w:r>
        <w:rPr>
          <w:rFonts w:ascii="Arial" w:cs="Arial" w:eastAsia="Arial" w:hAnsi="Arial"/>
          <w:sz w:val="17"/>
          <w:szCs w:val="17"/>
          <w:i w:val="1"/>
          <w:iCs w:val="1"/>
          <w:color w:val="auto"/>
        </w:rPr>
        <w:t>Other revenue</w:t>
      </w:r>
      <w:r>
        <w:rPr>
          <w:rFonts w:ascii="Arial" w:cs="Arial" w:eastAsia="Arial" w:hAnsi="Arial"/>
          <w:sz w:val="20"/>
          <w:szCs w:val="20"/>
          <w:i w:val="1"/>
          <w:iCs w:val="1"/>
          <w:color w:val="auto"/>
        </w:rPr>
        <w:t>)</w:t>
      </w:r>
      <w:r>
        <w:rPr>
          <w:rFonts w:ascii="Arial" w:cs="Arial" w:eastAsia="Arial" w:hAnsi="Arial"/>
          <w:sz w:val="17"/>
          <w:szCs w:val="17"/>
          <w:color w:val="auto"/>
        </w:rPr>
        <w:t xml:space="preserve"> on a combined basis, increased $0.2 million for the year ended December 31, 2021 compared to the year ended December 31, 2020. The increase is primarily from trust and insurance earnings on preneed contracts. Recognition of trust and insurance earnings is triggered at the time a preneed contract matures to atneed. For the year ended December 31, 2021, the average trust and insurance earnings per preneed contract increased 7.8% compared to the year ended December 31, 2020. Operating profit for preneed funeral insurance commissions and preneed trust and insurance, on a combined basis, increased $0.1 million for the year ended December 31, 2021 compared to the year ended December 31, 2020 primarily due to the increase in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Segment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certain information regarding our Revenue and Operating profit from our cemetery operations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Same store operating revenue</w:t>
            </w:r>
          </w:p>
        </w:tc>
        <w:tc>
          <w:tcPr>
            <w:tcW w:w="4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51,767</w:t>
            </w:r>
          </w:p>
        </w:tc>
        <w:tc>
          <w:tcPr>
            <w:tcW w:w="2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64,171</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operating revenue</w:t>
            </w:r>
          </w:p>
        </w:tc>
        <w:tc>
          <w:tcPr>
            <w:tcW w:w="3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Divested revenue</w:t>
            </w:r>
          </w:p>
        </w:tc>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Preneed cemetery trust earnings</w:t>
            </w:r>
          </w:p>
        </w:tc>
        <w:tc>
          <w:tcPr>
            <w:tcW w:w="3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Preneed cemetery finance charges</w:t>
            </w:r>
          </w:p>
        </w:tc>
        <w:tc>
          <w:tcPr>
            <w:tcW w:w="3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7"/>
        </w:trPr>
        <w:tc>
          <w:tcPr>
            <w:tcW w:w="4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80,310</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105,799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Same store operating profit</w:t>
            </w:r>
          </w:p>
        </w:tc>
        <w:tc>
          <w:tcPr>
            <w:tcW w:w="4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19,501</w:t>
            </w:r>
          </w:p>
        </w:tc>
        <w:tc>
          <w:tcPr>
            <w:tcW w:w="2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operating profit</w:t>
            </w:r>
          </w:p>
        </w:tc>
        <w:tc>
          <w:tcPr>
            <w:tcW w:w="3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Divested operating profit</w:t>
            </w:r>
          </w:p>
        </w:tc>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Preneed cemetery trust operating profit</w:t>
            </w:r>
          </w:p>
        </w:tc>
        <w:tc>
          <w:tcPr>
            <w:tcW w:w="3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Preneed cemetery finance charges</w:t>
            </w:r>
          </w:p>
        </w:tc>
        <w:tc>
          <w:tcPr>
            <w:tcW w:w="3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7"/>
        </w:trPr>
        <w:tc>
          <w:tcPr>
            <w:tcW w:w="4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36,944</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172"/>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2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measures reflect the significant metrics over this comparative period: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r>
      <w:tr>
        <w:trPr>
          <w:trHeight w:val="204"/>
        </w:trPr>
        <w:tc>
          <w:tcPr>
            <w:tcW w:w="7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7"/>
        </w:trPr>
        <w:tc>
          <w:tcPr>
            <w:tcW w:w="79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Same store:</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Preneed revenue as a percentage of operating revenue</w:t>
            </w:r>
          </w:p>
        </w:tc>
        <w:tc>
          <w:tcPr>
            <w:tcW w:w="4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61%</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revenue (in thousands)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Atneed revenue (in thousands)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20,360</w:t>
            </w:r>
          </w:p>
        </w:tc>
        <w:tc>
          <w:tcPr>
            <w:tcW w:w="2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24,880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preneed interment rights sold</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Average price per interment right sold</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3,771</w:t>
            </w:r>
          </w:p>
        </w:tc>
        <w:tc>
          <w:tcPr>
            <w:tcW w:w="2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50"/>
        </w:trPr>
        <w:tc>
          <w:tcPr>
            <w:tcW w:w="7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Acquired:</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revenue as a percentage of operating revenue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Preneed revenue (in thousands)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11,552</w:t>
            </w:r>
          </w:p>
        </w:tc>
        <w:tc>
          <w:tcPr>
            <w:tcW w:w="2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18,536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Atneed revenue (in thousands)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Number of preneed interment rights sold</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interment right sold</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r>
    </w:tbl>
    <w:p>
      <w:pPr>
        <w:spacing w:after="0" w:line="1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Cemetery same store preneed revenue increased $7.9 million for the year ended December 31, 2021 compared to the year ended December 31, 2020, as we experienced a 17.3% increase in the number of interments rights sold, as well as an 11.6% increase in the average price per interment right sold. The increase is primarily due to (1) our sales personnel being less impacted by social distancing restrictions that were in place in 2020 due to COVID-19; and (2) the continuous execution of our innovative cemetery sales strategy of building high performance sales teams and standardized sales systems across our portfolio of cemeteries. Cemetery same store atneed revenue, which represents 39% of our same store operating revenue, increased $4.5 million for the year ended December 31, 2021 compared to the year ended December 31, 2020. The increase was a result of a 12.6% increase in same store atneed contracts and an 8.5% increase in the average sale per contract, primarily due to the increased deaths in 2021 related to COVID-19.</w:t>
      </w:r>
    </w:p>
    <w:p>
      <w:pPr>
        <w:spacing w:after="0" w:line="6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Cemetery same store operating profit increased $7.5 million for the year ended December 31, 2021 compared to the year ended December 31, 2020. The comparable operating profit margin increased 440 basis points to 42.1% primarily as a result of the increase in operating revenue, along with disciplined expense and cost management by leaders at each business. Operating expenses as a percent of operating revenue decreased 4.4% with the largest decreases in the following areas: (1) salaries and benefits expense decreased 2.6%, as we increased revenue without adding extra personnel; and (2) facilities and grounds expenses decreased 1.0%.</w:t>
      </w:r>
    </w:p>
    <w:p>
      <w:pPr>
        <w:spacing w:after="0" w:line="8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There are three businesses in our acquired cemetery portfolio, two of which were acquired in the fourth quarter of 2019 and one acquired in the first quarter of 2020. In the first quarter of 2020, we hired new sales leadership at two of our recently acquired cemeteries and continue to build their respective sales teams as we execute our innovative cemetery sales strategy of building high performance sales teams and standardized sales systems across our portfolio of cemeteries. As a result, our acquired cemetery portfolio experienced a $7.0 million increase in preneed revenue and a $3.3 million increase in atneed revenue for the year ended December 31, 2021 compared to the year ended December 31, 2020.</w:t>
      </w:r>
    </w:p>
    <w:p>
      <w:pPr>
        <w:spacing w:after="0" w:line="5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Cemetery acquired operating profit increased $8.4 million for the year ended December 31, 2021 compared to the year ended December 31, 2020. The comparable operating profit margin increased 1,530 basis points to 55.8% primarily as a result of the increase in operating revenue, along with disciplined expense and cost management by leaders at each business. Operating expenses as a percent of operating revenue decreased 15.2% with the largest decreases in the following areas: (1) salaries and benefits expense decreased 7.1%, as we increased revenue without adding extra personnel; (2) promotional costs decreased 3.4%; (3) preneed merchandise and service costs decreased 1.9%; and (4) facilities and grounds expenses decreased 1.2%.</w:t>
      </w:r>
    </w:p>
    <w:p>
      <w:pPr>
        <w:spacing w:after="0" w:line="5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 xml:space="preserve">Preneed cemetery trust revenue and preneed cemetery finance charges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on a combined basis increased $2.8 million for the year ended December 31, 2021 compared to the year ended December 31, 2020. The increase in our trust fund income is primarily due to our execution of a major repositioning strategy beginning at the height of the COVID-19 market crisis in March 2020, substantially increasing our preneed cemetery trust revenue and operating profit. We experienced a $1.9 million increase in income and a $0.3 million increase in realized capital gains within our perpetual care trusts for the year ended December 31, 2021 compared to the year ended December 31, 2020. Additionally, income from delivered merchandise and service contracts increased $0.3 million. Operating profit for the two categories of </w:t>
      </w:r>
      <w:r>
        <w:rPr>
          <w:rFonts w:ascii="Arial" w:cs="Arial" w:eastAsia="Arial" w:hAnsi="Arial"/>
          <w:sz w:val="16"/>
          <w:szCs w:val="16"/>
          <w:i w:val="1"/>
          <w:iCs w:val="1"/>
          <w:color w:val="auto"/>
        </w:rPr>
        <w:t>Other revenue</w:t>
      </w:r>
      <w:r>
        <w:rPr>
          <w:rFonts w:ascii="Arial" w:cs="Arial" w:eastAsia="Arial" w:hAnsi="Arial"/>
          <w:sz w:val="16"/>
          <w:szCs w:val="16"/>
          <w:color w:val="auto"/>
        </w:rPr>
        <w:t>, on a combined basis, increased $2.7 million for the year ended December 31, 2021 compared to the year ended December 31, 2020 primarily due to the increase in revenue.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i w:val="1"/>
          <w:iCs w:val="1"/>
          <w:color w:val="auto"/>
        </w:rPr>
        <w:t xml:space="preserve">Cemetery property amortization. </w:t>
      </w:r>
      <w:r>
        <w:rPr>
          <w:rFonts w:ascii="Arial" w:cs="Arial" w:eastAsia="Arial" w:hAnsi="Arial"/>
          <w:sz w:val="16"/>
          <w:szCs w:val="16"/>
          <w:color w:val="auto"/>
        </w:rPr>
        <w:t>Cemetery property amortization totaled $6.7 million for the year ended December 31, 2021, an increase of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2020, primarily due to the increase in property sold across our cemetery portfolio.</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i w:val="1"/>
          <w:iCs w:val="1"/>
          <w:color w:val="auto"/>
        </w:rPr>
        <w:t xml:space="preserve">Field depreciation. </w:t>
      </w:r>
      <w:r>
        <w:rPr>
          <w:rFonts w:ascii="Arial" w:cs="Arial" w:eastAsia="Arial" w:hAnsi="Arial"/>
          <w:sz w:val="16"/>
          <w:szCs w:val="16"/>
          <w:color w:val="auto"/>
        </w:rPr>
        <w:t>Depreciation expense for our field businesses totaled $12.6 million for the year ended December 31, 2021, a decrease of $0.4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2020, primarily due to building structures and older vehicles becoming fully depreciated.</w:t>
      </w:r>
    </w:p>
    <w:p>
      <w:pPr>
        <w:spacing w:after="0" w:line="3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i w:val="1"/>
          <w:iCs w:val="1"/>
          <w:color w:val="auto"/>
        </w:rPr>
        <w:t xml:space="preserve">Regional and unallocated funeral and cemetery costs. </w:t>
      </w:r>
      <w:r>
        <w:rPr>
          <w:rFonts w:ascii="Arial" w:cs="Arial" w:eastAsia="Arial" w:hAnsi="Arial"/>
          <w:sz w:val="16"/>
          <w:szCs w:val="16"/>
          <w:color w:val="auto"/>
        </w:rPr>
        <w:t>Regional and unallocated funeral and cemetery costs consist of salaries and benefits for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field incentive compensation and other related costs for field infrastructure. Regional and unallocated funeral and cemetery costs totaled $25.8 million for the year ended December 31, 2021, an increase of $7.8 million compared to the year ended December 31, 2020, primarily due to the following: (1) a $5.3 million increase in cash and other incentives and equity compensation, as a result of our improved performance, which reinforces our strategy of aligning incentives with long-term value creation; (2) $1.0 million increase in compensation expenses, which includes our Chief Operating Officer hired in June 2020 and six additional cemetery sales employees hired in 2021 and the latter half of 2020; (3) a $0.9 million increase in other general administrative costs, which includes higher travel costs; (4) a $0.7 million increase in natural disaster costs due to Hurricane Ida impacting several Louisiana businesses; and (5) a $0.2 million increase in health and safety expenses related to the COVID-19 pandemic; offset by (6) a $0.3 million decrease in state audit assessments.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Statement Items</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General, administrative and other expenses totaled $33.9 million for the year ended December 31, 2021,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$8.1 million compared to the year ended December 31, 2020, primarily due to the following: (1) a $3.6 million increase in cash incentives and equity compensation, as a result of our improved performance, which reinforces our strategy of aligning incentives with long-term value creation; (2) a $1.7 million increase in other general administrative costs, which includes higher online marketing and advertising costs and software license fees for new technology; (3) a $1.2 million increase in separation expenses related to the resignation of two members of senior leadership; (4) a $1.2 million increase in insurance claims expense, which includes a one-time $1.0 million payment for residual insurance claims; and (5) a $0.4 million increase in acquisition costs.</w:t>
      </w:r>
    </w:p>
    <w:p>
      <w:pPr>
        <w:spacing w:after="0" w:line="6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Home office depreciation and amortization. </w:t>
      </w:r>
      <w:r>
        <w:rPr>
          <w:rFonts w:ascii="Arial" w:cs="Arial" w:eastAsia="Arial" w:hAnsi="Arial"/>
          <w:sz w:val="18"/>
          <w:szCs w:val="18"/>
          <w:color w:val="auto"/>
        </w:rPr>
        <w:t>Home office depreciation and amortization expense totaled $1.2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 decrease of $0.2 million compared to the year ended December 31, 2020, primarily due to equipment at the home office becoming fully depreciated in the latter half of the prior year.</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Net loss on divestitures, disposals and impairment charges. </w:t>
      </w:r>
      <w:r>
        <w:rPr>
          <w:rFonts w:ascii="Arial" w:cs="Arial" w:eastAsia="Arial" w:hAnsi="Arial"/>
          <w:sz w:val="18"/>
          <w:szCs w:val="18"/>
          <w:color w:val="auto"/>
        </w:rPr>
        <w:t>The components of</w:t>
      </w:r>
      <w:r>
        <w:rPr>
          <w:rFonts w:ascii="Arial" w:cs="Arial" w:eastAsia="Arial" w:hAnsi="Arial"/>
          <w:sz w:val="18"/>
          <w:szCs w:val="18"/>
          <w:i w:val="1"/>
          <w:iCs w:val="1"/>
          <w:color w:val="auto"/>
        </w:rPr>
        <w:t xml:space="preserve"> Net loss on divestitures, disposals and impairment charges </w:t>
      </w:r>
      <w:r>
        <w:rPr>
          <w:rFonts w:ascii="Arial" w:cs="Arial" w:eastAsia="Arial" w:hAnsi="Arial"/>
          <w:sz w:val="18"/>
          <w:szCs w:val="18"/>
          <w:color w:val="auto"/>
        </w:rPr>
        <w:t>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Years Ended December 31,</w:t>
            </w:r>
          </w:p>
        </w:tc>
        <w:tc>
          <w:tcPr>
            <w:tcW w:w="600" w:type="dxa"/>
            <w:vAlign w:val="bottom"/>
            <w:tcBorders>
              <w:bottom w:val="single" w:sz="8" w:color="auto"/>
            </w:tcBorders>
          </w:tcPr>
          <w:p>
            <w:pPr>
              <w:spacing w:after="0"/>
              <w:rPr>
                <w:sz w:val="18"/>
                <w:szCs w:val="18"/>
                <w:color w:val="auto"/>
              </w:rPr>
            </w:pPr>
          </w:p>
        </w:tc>
      </w:tr>
      <w:tr>
        <w:trPr>
          <w:trHeight w:val="204"/>
        </w:trPr>
        <w:tc>
          <w:tcPr>
            <w:tcW w:w="7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Tradenames impairment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 impairment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(gain) loss on divestitures and real property</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6,749</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disposals of fixed assets</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7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 ended December 31, 2021, we divested two funeral homes and one cemetery and sold real property for a net gain of $0.9 million. In addition, we recognized an impairment loss of $0.5 million related to property, plant and equipment assets held for sale</w:t>
      </w:r>
      <w:r>
        <w:rPr>
          <w:rFonts w:ascii="Arial" w:cs="Arial" w:eastAsia="Arial" w:hAnsi="Arial"/>
          <w:sz w:val="18"/>
          <w:szCs w:val="18"/>
          <w:i w:val="1"/>
          <w:iCs w:val="1"/>
          <w:color w:val="auto"/>
        </w:rPr>
        <w:t>.</w:t>
      </w:r>
      <w:r>
        <w:rPr>
          <w:rFonts w:ascii="Arial" w:cs="Arial" w:eastAsia="Arial" w:hAnsi="Arial"/>
          <w:sz w:val="18"/>
          <w:szCs w:val="18"/>
          <w:color w:val="auto"/>
        </w:rPr>
        <w:t xml:space="preserve"> We also disposed of damaged and obsolete property, plant and equipment that had a carrying value of $1.0 million.</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During the year ended December 31, 2020, as a result of economic conditions caused by COVID-19, we performed a quantitative assessment of our goodwill and we recorded an impairment to goodwill of $13.6 million, as the carrying amount of our funeral homes in the Eastern Region Reporting Unit exceeded the fair value. We also performed a quantitative assessment of our tradenames and we recorded an impairment for certain of our tradenames of $1.1 million, as the carrying amount of these tradenames exceeded the fair value. In addition, we divested eight funeral homes for a net loss of $6.7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related to its respective debt arrangement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95"/>
              <w:spacing w:after="0"/>
              <w:rPr>
                <w:sz w:val="20"/>
                <w:szCs w:val="20"/>
                <w:color w:val="auto"/>
              </w:rPr>
            </w:pPr>
            <w:r>
              <w:rPr>
                <w:rFonts w:ascii="Arial" w:cs="Arial" w:eastAsia="Arial" w:hAnsi="Arial"/>
                <w:sz w:val="16"/>
                <w:szCs w:val="16"/>
                <w:b w:val="1"/>
                <w:bCs w:val="1"/>
                <w:color w:val="auto"/>
                <w:w w:val="84"/>
              </w:rPr>
              <w:t>2020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debt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The components of</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are as follows (in thousands):</w:t>
            </w: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6"/>
                <w:szCs w:val="16"/>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9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75"/>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insurance reimbursements related to Hurricane Michael</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Loss on land donation</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3"/>
          </w:tcPr>
          <w:p>
            <w:pPr>
              <w:jc w:val="center"/>
              <w:ind w:left="475"/>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79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provision was $11.1 million for the year ended December 31, 2021, compared to our income tax provision of $8.6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Our operating tax rate before discrete items was 27.8% and 32.4% for the years ended December 31, 2021 and 2020, respectively.</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recorded a net discrete tax benefit of $1.2 million and a discrete tax expense of $0.6 million for the years ended December 31, 2021 and 2020, respectively. The net discrete tax benefit for the year ended December 31, 2021, includes benefit related to equity compensation and other adjustments including return to provision analysis and state legislative changes. Our effective tax rate was 25.2% and 34.7% for years ended December 31, 2021 and 2020, respectively.</w:t>
      </w:r>
    </w:p>
    <w:p>
      <w:pPr>
        <w:spacing w:after="0" w:line="8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connection with the CARES Act, we filed a claim for a refund on June 30, 2020, to carryback the NOLs generated in the tax year ended December 31, 2018. The refund claim for $7.0 million from the 2018 tax year was received on August 7, 2020. As our refund claim filed for tax year 2018 exceeded $5.0 million, our 2018 federal return is under audit by the Internal Revenue Service (“IRS”), as required in order to receive Joint Committee approval. An additional carryback claim for a refund was filed on November 3, 2020 for the tax year ended December 31, 2019, which has not yet been received. On December 4, 2020, we filed an amended federal return for the tax year ended December 31, 2018, in order to take full advantage of the CARES Act legislative changes. The changes reported in the amended return resulted in additional $2.3 million of losses. The additional losses generated from the amended filing will be administratively carried back and processed as part of the Joint Committee review of the 2018 carryback claim.</w:t>
      </w:r>
    </w:p>
    <w:p>
      <w:pPr>
        <w:spacing w:after="0" w:line="6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majority of the NOLs generated in tax years 2018 and 2019 are the result of filing non-automatic accounting method changes relating to the recognition of revenue from our cemetery property and merchandise and services sales. Our unrecognized tax benefit reserve for the years ended December 31, 2020 and 2021 was $3.7 million and $3.8 million, respectively.</w:t>
      </w:r>
    </w:p>
    <w:p>
      <w:pPr>
        <w:spacing w:after="0" w:line="8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October 11, 2021, we received an adverse ruling from the IRS for the accounting method change filed in 2018 for revenue recognition of cemetery property. Approval is still pending for the accounting method change filed for revenue recognition of cemetery merchandise and services. Upon receiving the adverse ruling on the revenue recognition of cemetery property accounting method change, we filed an automatic method change on Form 3115, to adopt the IRS’ preferred revenue recognition method for cemetery property. The accounting method change application was submitted under the “three-month window” rule, which would grant audit protection for the cumulative effect of the adverse ruling for revenue recognition of cemetery property, at the discretion of the IRS agent conducting the audit.</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II, Item 8, Financial Statements and Supplementary Data, Note 17 for additional information regarding income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Note 1.</w:t>
      </w:r>
    </w:p>
    <w:p>
      <w:pPr>
        <w:spacing w:after="0" w:line="8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have identified the following accounting policies as those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quantitative goodwill impairment test involves estimates and management judgment. In the quantitative analysis, we compare the fair value of each reporting unit to its carrying value, including goodwill. We determine fair value for each reporting unit using both an income approach, weighted 90%, and a market approach, weighted 10%. Our methodology for determining an income-based fair value is based on discounting projected future cash flows. The discounted cash flow valuation uses projections of future cash flows and includes assumptions concerning future operating performance and economic conditions that may differ from actual future cash flows.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II, Item 8, Financial Statements and Supplementary Data, Note 4 for additional information related to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Determining the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To the extent that information not available to us at the closing date subsequently becomes available during the allocation period, we may adjust goodwill, intangible assets, assets or liabilities associated with the acquisition.</w:t>
      </w:r>
    </w:p>
    <w:p>
      <w:pPr>
        <w:spacing w:after="0" w:line="85"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II, Item 8, Financial Statements and Supplementary Data, Note 3 for additional information related to business combinations.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ACCOUNTING CHANGES AND OTHER REGULATIONS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discussion of recent accounting pronouncements and accounting changes, see Note 2 in Part II, Item 8. Financial Statements and Supplementary Data.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at a reasonable price. We are not exposed to any other significant market risks other than those related to COVID-19 which are described in more detail in Part 1, Item 1A “Risk Factors” in our Annual Report on Form 10-K for the year ended December 31, 2021.</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December 31, 2021 and from which we may incur future gains or losses from changes in market conditions. We do not enter into derivative or other financial instruments for speculative or trading purposes.</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December 31, 2021 are presented in Part II, Item 8, Financial Statements and Supplementary Data, Note 7. The sensitivity of the fixed income securities is such that a 0.25% change in interest rates causes an approximate 1.26% change in the value of the fixed income securities.</w:t>
      </w:r>
    </w:p>
    <w:p>
      <w:pPr>
        <w:spacing w:after="0" w:line="5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monitor current and forecasted interest rate risk in the ordinary course of business and seek to maintain optimal financial flexibility, quality and solvency. As of December 31, 2021, we had outstanding borrowings under the Credit Facility of $155.4 million. Any further borrowings or voluntary prepayments against the Credit Facility or any change in the floating rate would cause a change in interest expense. We have the option to pay interest under our Credit Facility at either the prime rate or the LIBOR rate plus a margin. At December 31, 2021, the prime rate margin was equivalent to 0.75% and the LIBOR rate margin was 1.75%. Assuming the outstanding balance remains unchanged, a change of 100 basis points in our borrowing rate would result in a change in income before taxes of $1.6 million. We have not entered into interest rate hedging arrangements in the past. Management continually evaluates the cost and potential benefits of interest rate hedging arrangements.</w:t>
      </w:r>
    </w:p>
    <w:p>
      <w:pPr>
        <w:spacing w:after="0" w:line="66"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December 31, 2021, the carrying value of the Senior Notes on our Consolidated Balance Sheet was $394.6 million and the fair value of the Senior Notes was $401.6 million based on the last traded or broker quoted price as reported by FINRA. Increases in market interest rates may cause the value of the Senior Notes to decrease, but such changes will not affect our interest costs.</w:t>
      </w:r>
    </w:p>
    <w:p>
      <w:pPr>
        <w:spacing w:after="0" w:line="4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r>
      <w:tr>
        <w:trPr>
          <w:trHeight w:val="210"/>
        </w:trPr>
        <w:tc>
          <w:tcPr>
            <w:tcW w:w="1060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0"/>
        </w:trPr>
        <w:tc>
          <w:tcPr>
            <w:tcW w:w="320" w:type="dxa"/>
            <w:vAlign w:val="bottom"/>
          </w:tcPr>
          <w:p>
            <w:pPr>
              <w:spacing w:after="0"/>
              <w:rPr>
                <w:sz w:val="24"/>
                <w:szCs w:val="24"/>
                <w:color w:val="auto"/>
              </w:rPr>
            </w:pPr>
          </w:p>
        </w:tc>
        <w:tc>
          <w:tcPr>
            <w:tcW w:w="10280" w:type="dxa"/>
            <w:vAlign w:val="bottom"/>
            <w:gridSpan w:val="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Number 248)</w:t>
            </w:r>
          </w:p>
        </w:tc>
        <w:tc>
          <w:tcPr>
            <w:tcW w:w="600" w:type="dxa"/>
            <w:vAlign w:val="bottom"/>
            <w:gridSpan w:val="3"/>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320" w:type="dxa"/>
            <w:vAlign w:val="bottom"/>
          </w:tcPr>
          <w:p>
            <w:pPr>
              <w:spacing w:after="0"/>
              <w:rPr>
                <w:sz w:val="24"/>
                <w:szCs w:val="24"/>
                <w:color w:val="auto"/>
              </w:rPr>
            </w:pPr>
          </w:p>
        </w:tc>
        <w:tc>
          <w:tcPr>
            <w:tcW w:w="446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48">
              <w:r>
                <w:rPr>
                  <w:rFonts w:ascii="Arial" w:cs="Arial" w:eastAsia="Arial" w:hAnsi="Arial"/>
                  <w:sz w:val="18"/>
                  <w:szCs w:val="18"/>
                  <w:color w:val="0000FF"/>
                  <w:w w:val="86"/>
                </w:rPr>
                <w:t>Consolidated Balance Sheet as of December 31, 2020 and 2021</w:t>
              </w:r>
            </w:hyperlink>
          </w:p>
        </w:tc>
        <w:tc>
          <w:tcPr>
            <w:tcW w:w="582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c>
          <w:tcPr>
            <w:tcW w:w="20" w:type="dxa"/>
            <w:vAlign w:val="bottom"/>
          </w:tcPr>
          <w:p>
            <w:pPr>
              <w:spacing w:after="0"/>
              <w:rPr>
                <w:sz w:val="24"/>
                <w:szCs w:val="24"/>
                <w:color w:val="auto"/>
              </w:rPr>
            </w:pPr>
          </w:p>
        </w:tc>
      </w:tr>
      <w:tr>
        <w:trPr>
          <w:trHeight w:val="348"/>
        </w:trPr>
        <w:tc>
          <w:tcPr>
            <w:tcW w:w="320" w:type="dxa"/>
            <w:vAlign w:val="bottom"/>
          </w:tcPr>
          <w:p>
            <w:pPr>
              <w:spacing w:after="0"/>
              <w:rPr>
                <w:sz w:val="24"/>
                <w:szCs w:val="24"/>
                <w:color w:val="auto"/>
              </w:rPr>
            </w:pPr>
          </w:p>
        </w:tc>
        <w:tc>
          <w:tcPr>
            <w:tcW w:w="1028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Statements of Operations for the Years Ended December 31, 2019, 2020 and 2021</w:t>
              </w:r>
            </w:hyperlink>
          </w:p>
        </w:tc>
        <w:tc>
          <w:tcPr>
            <w:tcW w:w="600" w:type="dxa"/>
            <w:vAlign w:val="bottom"/>
            <w:gridSpan w:val="3"/>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320" w:type="dxa"/>
            <w:vAlign w:val="bottom"/>
          </w:tcPr>
          <w:p>
            <w:pPr>
              <w:spacing w:after="0"/>
              <w:rPr>
                <w:sz w:val="24"/>
                <w:szCs w:val="24"/>
                <w:color w:val="auto"/>
              </w:rPr>
            </w:pPr>
          </w:p>
        </w:tc>
        <w:tc>
          <w:tcPr>
            <w:tcW w:w="828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Consolidated Statements of Changes in Stockholders’ Equity for the Years Ended December 31, 2019, 2020 and 2021</w:t>
              </w:r>
            </w:hyperlink>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c>
          <w:tcPr>
            <w:tcW w:w="20" w:type="dxa"/>
            <w:vAlign w:val="bottom"/>
          </w:tcPr>
          <w:p>
            <w:pPr>
              <w:spacing w:after="0"/>
              <w:rPr>
                <w:sz w:val="24"/>
                <w:szCs w:val="24"/>
                <w:color w:val="auto"/>
              </w:rPr>
            </w:pPr>
          </w:p>
        </w:tc>
      </w:tr>
      <w:tr>
        <w:trPr>
          <w:trHeight w:val="348"/>
        </w:trPr>
        <w:tc>
          <w:tcPr>
            <w:tcW w:w="320" w:type="dxa"/>
            <w:vAlign w:val="bottom"/>
          </w:tcPr>
          <w:p>
            <w:pPr>
              <w:spacing w:after="0"/>
              <w:rPr>
                <w:sz w:val="24"/>
                <w:szCs w:val="24"/>
                <w:color w:val="auto"/>
              </w:rPr>
            </w:pPr>
          </w:p>
        </w:tc>
        <w:tc>
          <w:tcPr>
            <w:tcW w:w="10280" w:type="dxa"/>
            <w:vAlign w:val="bottom"/>
            <w:gridSpan w:val="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Cash Flows for the Years Ended December 31, 2019, 2020 and 2021</w:t>
              </w:r>
            </w:hyperlink>
          </w:p>
        </w:tc>
        <w:tc>
          <w:tcPr>
            <w:tcW w:w="600" w:type="dxa"/>
            <w:vAlign w:val="bottom"/>
            <w:gridSpan w:val="3"/>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348"/>
        </w:trPr>
        <w:tc>
          <w:tcPr>
            <w:tcW w:w="320" w:type="dxa"/>
            <w:vAlign w:val="bottom"/>
          </w:tcPr>
          <w:p>
            <w:pPr>
              <w:spacing w:after="0"/>
              <w:rPr>
                <w:sz w:val="24"/>
                <w:szCs w:val="24"/>
                <w:color w:val="auto"/>
              </w:rPr>
            </w:pPr>
          </w:p>
        </w:tc>
        <w:tc>
          <w:tcPr>
            <w:tcW w:w="6780" w:type="dxa"/>
            <w:vAlign w:val="bottom"/>
            <w:tcBorders>
              <w:top w:val="single" w:sz="8" w:color="0000FF"/>
            </w:tcBorders>
            <w:gridSpan w:val="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35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50</w:t>
              </w:r>
            </w:hyperlink>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audited the accompanying consolidated balance sheets of Carriage Services, Inc. (a Delaware corporation) and subsidiaries (the “Company”) as of December 31, 2021 and 2020, the related consolidated statements of operations, changes in stockholders’ equity, and cash flows for each of the three years in the period ended December 31, 2021, and the related notes and financial statement schedule included under Item 15(a)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2, 2022 expressed an unqualified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have audited the internal control over financial reporting of Carriage Services, Inc., (a Delaware corporation) and subsidiaries (the “Company”)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March 2, 2022 expressed an unqualified opinion on those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4"/>
        </w:trPr>
        <w:tc>
          <w:tcPr>
            <w:tcW w:w="7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193"/>
        </w:trPr>
        <w:tc>
          <w:tcPr>
            <w:tcW w:w="7980" w:type="dxa"/>
            <w:vAlign w:val="bottom"/>
            <w:shd w:val="clear" w:color="auto" w:fill="CCEEFF"/>
          </w:tcPr>
          <w:p>
            <w:pPr>
              <w:ind w:left="3700"/>
              <w:spacing w:after="0"/>
              <w:rPr>
                <w:sz w:val="20"/>
                <w:szCs w:val="20"/>
                <w:color w:val="auto"/>
              </w:rPr>
            </w:pPr>
            <w:r>
              <w:rPr>
                <w:rFonts w:ascii="Arial" w:cs="Arial" w:eastAsia="Arial" w:hAnsi="Arial"/>
                <w:sz w:val="16"/>
                <w:szCs w:val="16"/>
                <w:color w:val="auto"/>
              </w:rPr>
              <w:t>ASSETS</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25,103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25,314</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r>
      <w:tr>
        <w:trPr>
          <w:trHeight w:val="207"/>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w:t>
            </w:r>
          </w:p>
        </w:tc>
      </w:tr>
      <w:tr>
        <w:trPr>
          <w:trHeight w:val="207"/>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40,212</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Preneed cemetery trust investments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86,604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100,903</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Preneed funeral trust investments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113,658</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Preneed cemetery receivables, net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21,081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23,150</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preneed funeral trusts, net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19,009</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269,051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269,367</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Cemetery property, net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101,134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100,701</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392,978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391,972</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and other non-current assets, net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29,378</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21,201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17,881</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Cemetery perpetual care trust investments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70,828</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72,400</w:t>
            </w:r>
          </w:p>
        </w:tc>
      </w:tr>
      <w:tr>
        <w:trPr>
          <w:trHeight w:val="200"/>
        </w:trPr>
        <w:tc>
          <w:tcPr>
            <w:tcW w:w="7980" w:type="dxa"/>
            <w:vAlign w:val="bottom"/>
          </w:tcPr>
          <w:p>
            <w:pPr>
              <w:ind w:left="108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1,145,825</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1,178,631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7980" w:type="dxa"/>
            <w:vAlign w:val="bottom"/>
            <w:shd w:val="clear" w:color="auto" w:fill="CCEEFF"/>
          </w:tcPr>
          <w:p>
            <w:pPr>
              <w:ind w:left="2360"/>
              <w:spacing w:after="0" w:line="181" w:lineRule="exact"/>
              <w:rPr>
                <w:sz w:val="20"/>
                <w:szCs w:val="20"/>
                <w:color w:val="auto"/>
              </w:rPr>
            </w:pPr>
            <w:r>
              <w:rPr>
                <w:rFonts w:ascii="Arial" w:cs="Arial" w:eastAsia="Arial" w:hAnsi="Arial"/>
                <w:sz w:val="16"/>
                <w:szCs w:val="16"/>
                <w:color w:val="auto"/>
              </w:rPr>
              <w:t>LIABILITIES AND STOCKHOLDERS’ EQUITY</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debt and lease obligations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11,259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14,205</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other liabilities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43,773</w:t>
            </w:r>
          </w:p>
        </w:tc>
      </w:tr>
      <w:tr>
        <w:trPr>
          <w:trHeight w:val="207"/>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Convertible notes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48,367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60,787</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Acquisition debt, net of current portion</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3,979</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153,857</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395,968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394,610</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finance leases, net of current portion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Obligations under operating leases, net of current portion</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20,302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18,520</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preneed cemetery revenue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50,202</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Deferred preneed funeral revenue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27,992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30,584</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45,784</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1,419</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preneed cemetery receipts held in trust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86,604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100,903</w:t>
            </w: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Deferred preneed funeral receipts held in trust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101,235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113,658</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Care trusts’ corpus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69,707</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71,156</w:t>
            </w:r>
          </w:p>
        </w:tc>
      </w:tr>
      <w:tr>
        <w:trPr>
          <w:trHeight w:val="200"/>
        </w:trPr>
        <w:tc>
          <w:tcPr>
            <w:tcW w:w="79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905,323</w:t>
            </w: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1,050,616</w:t>
            </w:r>
          </w:p>
        </w:tc>
      </w:tr>
      <w:tr>
        <w:trPr>
          <w:trHeight w:val="19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7"/>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8"/>
              </w:rPr>
              <w:t>Common stock, $0.01 par value; 80,000,000 shares authorized and 26,020,494 and 26,264,245 shares issued, respectively</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17,995,155 and 15,331,923 shares outstanding,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239,989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236,809</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102,303</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135,462</w:t>
            </w:r>
          </w:p>
        </w:tc>
      </w:tr>
      <w:tr>
        <w:trPr>
          <w:trHeight w:val="207"/>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8,025,339 and 10,932,322 shares at December 31, 2020 and 2021, respectively</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(102,050)</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(244,519)</w:t>
            </w:r>
          </w:p>
        </w:tc>
      </w:tr>
      <w:tr>
        <w:trPr>
          <w:trHeight w:val="207"/>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240,502</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128,015</w:t>
            </w:r>
          </w:p>
        </w:tc>
      </w:tr>
      <w:tr>
        <w:trPr>
          <w:trHeight w:val="200"/>
        </w:trPr>
        <w:tc>
          <w:tcPr>
            <w:tcW w:w="7980" w:type="dxa"/>
            <w:vAlign w:val="bottom"/>
          </w:tcPr>
          <w:p>
            <w:pPr>
              <w:ind w:left="108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1,145,825</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1,178,631</w:t>
            </w:r>
          </w:p>
        </w:tc>
      </w:tr>
      <w:tr>
        <w:trPr>
          <w:trHeight w:val="23"/>
        </w:trPr>
        <w:tc>
          <w:tcPr>
            <w:tcW w:w="7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20"/>
              <w:spacing w:after="0"/>
              <w:rPr>
                <w:sz w:val="20"/>
                <w:szCs w:val="20"/>
                <w:color w:val="auto"/>
              </w:rPr>
            </w:pPr>
            <w:r>
              <w:rPr>
                <w:rFonts w:ascii="Arial" w:cs="Arial" w:eastAsia="Arial" w:hAnsi="Arial"/>
                <w:sz w:val="16"/>
                <w:szCs w:val="16"/>
                <w:color w:val="auto"/>
              </w:rPr>
              <w:t>Service revenue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142,554</w:t>
            </w:r>
          </w:p>
        </w:tc>
        <w:tc>
          <w:tcPr>
            <w:tcW w:w="6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164,984</w:t>
            </w:r>
          </w:p>
        </w:tc>
        <w:tc>
          <w:tcPr>
            <w:tcW w:w="2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180,572</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merchandise revenue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114,514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139,630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167,721</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revenue</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17,039</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24,834</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27,593</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274,107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375,886</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Field costs and expenses: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82,395</w:t>
            </w:r>
          </w:p>
        </w:tc>
        <w:tc>
          <w:tcPr>
            <w:tcW w:w="0" w:type="dxa"/>
            <w:vAlign w:val="bottom"/>
          </w:tcPr>
          <w:p>
            <w:pPr>
              <w:spacing w:after="0"/>
              <w:rPr>
                <w:sz w:val="1"/>
                <w:szCs w:val="1"/>
                <w:color w:val="auto"/>
              </w:rPr>
            </w:pPr>
          </w:p>
        </w:tc>
      </w:tr>
      <w:tr>
        <w:trPr>
          <w:trHeight w:val="207"/>
        </w:trPr>
        <w:tc>
          <w:tcPr>
            <w:tcW w:w="6240" w:type="dxa"/>
            <w:vAlign w:val="bottom"/>
          </w:tcPr>
          <w:p>
            <w:pPr>
              <w:ind w:left="220"/>
              <w:spacing w:after="0"/>
              <w:rPr>
                <w:sz w:val="20"/>
                <w:szCs w:val="20"/>
                <w:color w:val="auto"/>
              </w:rPr>
            </w:pPr>
            <w:r>
              <w:rPr>
                <w:rFonts w:ascii="Arial" w:cs="Arial" w:eastAsia="Arial" w:hAnsi="Arial"/>
                <w:sz w:val="16"/>
                <w:szCs w:val="16"/>
                <w:color w:val="auto"/>
              </w:rPr>
              <w:t>Cost of merchandise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89,294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103,064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113,871</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Cemetery property amortization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w:t>
            </w:r>
          </w:p>
        </w:tc>
        <w:tc>
          <w:tcPr>
            <w:tcW w:w="0" w:type="dxa"/>
            <w:vAlign w:val="bottom"/>
          </w:tcPr>
          <w:p>
            <w:pPr>
              <w:spacing w:after="0"/>
              <w:rPr>
                <w:sz w:val="1"/>
                <w:szCs w:val="1"/>
                <w:color w:val="auto"/>
              </w:rPr>
            </w:pPr>
          </w:p>
        </w:tc>
      </w:tr>
      <w:tr>
        <w:trPr>
          <w:trHeight w:val="207"/>
        </w:trPr>
        <w:tc>
          <w:tcPr>
            <w:tcW w:w="6240" w:type="dxa"/>
            <w:vAlign w:val="bottom"/>
          </w:tcPr>
          <w:p>
            <w:pPr>
              <w:ind w:left="220"/>
              <w:spacing w:after="0"/>
              <w:rPr>
                <w:sz w:val="20"/>
                <w:szCs w:val="20"/>
                <w:color w:val="auto"/>
              </w:rPr>
            </w:pPr>
            <w:r>
              <w:rPr>
                <w:rFonts w:ascii="Arial" w:cs="Arial" w:eastAsia="Arial" w:hAnsi="Arial"/>
                <w:sz w:val="16"/>
                <w:szCs w:val="16"/>
                <w:color w:val="auto"/>
              </w:rPr>
              <w:t>Field depreciation expense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12,370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12,609</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Regional and unallocated funeral and cemetery costs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25,846</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4,979</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246,370</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79,585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105,923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129,516</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costs and expenses: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20"/>
              <w:spacing w:after="0"/>
              <w:rPr>
                <w:sz w:val="20"/>
                <w:szCs w:val="20"/>
                <w:color w:val="auto"/>
              </w:rPr>
            </w:pPr>
            <w:r>
              <w:rPr>
                <w:rFonts w:ascii="Arial" w:cs="Arial" w:eastAsia="Arial" w:hAnsi="Arial"/>
                <w:sz w:val="16"/>
                <w:szCs w:val="16"/>
                <w:color w:val="auto"/>
              </w:rPr>
              <w:t>General, administrative and other</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25,880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33,949</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Home office depreciation and amortization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on divestitures, disposals and impairment charges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4,846</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21,442</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93,660</w:t>
            </w: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Accretion of discount on convertible notes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(23,807)</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44,304</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Expense for income taxes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(7,395)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(12,316)</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adjustment related to discrete items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0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expense for income taxes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(7,883)</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(11,145)</w:t>
            </w: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14,533</w:t>
            </w:r>
          </w:p>
        </w:tc>
        <w:tc>
          <w:tcPr>
            <w:tcW w:w="640" w:type="dxa"/>
            <w:vAlign w:val="bottom"/>
            <w:gridSpan w:val="2"/>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vMerge w:val="continue"/>
          </w:tcPr>
          <w:p>
            <w:pPr>
              <w:spacing w:after="0"/>
              <w:rPr>
                <w:sz w:val="15"/>
                <w:szCs w:val="15"/>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6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0.89</w:t>
            </w:r>
          </w:p>
        </w:tc>
        <w:tc>
          <w:tcPr>
            <w:tcW w:w="220" w:type="dxa"/>
            <w:vAlign w:val="bottom"/>
          </w:tcPr>
          <w:p>
            <w:pPr>
              <w:spacing w:after="0"/>
              <w:rPr>
                <w:sz w:val="15"/>
                <w:szCs w:val="15"/>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Dividends declared per common share: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0.3000</w:t>
            </w:r>
          </w:p>
        </w:tc>
        <w:tc>
          <w:tcPr>
            <w:tcW w:w="6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0.3375</w:t>
            </w:r>
          </w:p>
        </w:tc>
        <w:tc>
          <w:tcPr>
            <w:tcW w:w="2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0.4125</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 average number of common and common equivalent shares outstanding:</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17,877</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40" w:type="dxa"/>
            <w:vAlign w:val="bottom"/>
            <w:tcBorders>
              <w:bottom w:val="single" w:sz="8" w:color="CCEEFF"/>
            </w:tcBorders>
            <w:shd w:val="clear" w:color="auto" w:fill="CCEEFF"/>
          </w:tcPr>
          <w:p>
            <w:pPr>
              <w:ind w:left="220"/>
              <w:spacing w:after="0" w:line="181" w:lineRule="exact"/>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18,005</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18,077</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89"/>
              </w:rPr>
              <w:t>Common</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Additional</w:t>
            </w:r>
          </w:p>
        </w:tc>
        <w:tc>
          <w:tcPr>
            <w:tcW w:w="180" w:type="dxa"/>
            <w:vAlign w:val="bottom"/>
          </w:tcPr>
          <w:p>
            <w:pPr>
              <w:spacing w:after="0"/>
              <w:rPr>
                <w:sz w:val="16"/>
                <w:szCs w:val="16"/>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color w:val="auto"/>
              </w:rPr>
              <w:t>Retained</w:t>
            </w:r>
          </w:p>
        </w:tc>
        <w:tc>
          <w:tcPr>
            <w:tcW w:w="200" w:type="dxa"/>
            <w:vAlign w:val="bottom"/>
          </w:tcPr>
          <w:p>
            <w:pPr>
              <w:spacing w:after="0"/>
              <w:rPr>
                <w:sz w:val="16"/>
                <w:szCs w:val="16"/>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88"/>
              </w:rPr>
              <w:t>Treasury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6"/>
                <w:szCs w:val="16"/>
                <w:color w:val="auto"/>
                <w:w w:val="88"/>
              </w:rPr>
              <w:t>Paid-in</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4"/>
        </w:trPr>
        <w:tc>
          <w:tcPr>
            <w:tcW w:w="4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Outstanding</w:t>
            </w: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Stock</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Capital</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Stock</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221,492</w:t>
            </w:r>
          </w:p>
        </w:tc>
        <w:tc>
          <w:tcPr>
            <w:tcW w:w="0" w:type="dxa"/>
            <w:vAlign w:val="bottom"/>
          </w:tcPr>
          <w:p>
            <w:pPr>
              <w:spacing w:after="0"/>
              <w:rPr>
                <w:sz w:val="1"/>
                <w:szCs w:val="1"/>
                <w:color w:val="auto"/>
              </w:rPr>
            </w:pPr>
          </w:p>
        </w:tc>
      </w:tr>
      <w:tr>
        <w:trPr>
          <w:trHeight w:val="200"/>
        </w:trPr>
        <w:tc>
          <w:tcPr>
            <w:tcW w:w="4100" w:type="dxa"/>
            <w:vAlign w:val="bottom"/>
          </w:tcPr>
          <w:p>
            <w:pPr>
              <w:ind w:left="220"/>
              <w:spacing w:after="0"/>
              <w:rPr>
                <w:sz w:val="20"/>
                <w:szCs w:val="20"/>
                <w:color w:val="auto"/>
              </w:rPr>
            </w:pPr>
            <w:r>
              <w:rPr>
                <w:rFonts w:ascii="Arial" w:cs="Arial" w:eastAsia="Arial" w:hAnsi="Arial"/>
                <w:sz w:val="16"/>
                <w:szCs w:val="16"/>
                <w:color w:val="auto"/>
              </w:rPr>
              <w:t>Net Income – 2019</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14,533</w:t>
            </w:r>
          </w:p>
        </w:tc>
        <w:tc>
          <w:tcPr>
            <w:tcW w:w="0" w:type="dxa"/>
            <w:vAlign w:val="bottom"/>
          </w:tcPr>
          <w:p>
            <w:pPr>
              <w:spacing w:after="0"/>
              <w:rPr>
                <w:sz w:val="1"/>
                <w:szCs w:val="1"/>
                <w:color w:val="auto"/>
              </w:rPr>
            </w:pPr>
          </w:p>
        </w:tc>
      </w:tr>
      <w:tr>
        <w:trPr>
          <w:trHeight w:val="164"/>
        </w:trPr>
        <w:tc>
          <w:tcPr>
            <w:tcW w:w="410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Issuance of common stock from employee stock purchase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6"/>
                <w:szCs w:val="16"/>
                <w:color w:val="auto"/>
                <w:w w:val="95"/>
              </w:rPr>
              <w:t>Issuance of common stock to directors and board advisor</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on common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Treasury stock acquired</w:t>
            </w:r>
          </w:p>
        </w:tc>
        <w:tc>
          <w:tcPr>
            <w:tcW w:w="11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 December 31,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17,855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242,147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86,213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(102,050)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226,569</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 2020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w:t>
            </w:r>
          </w:p>
        </w:tc>
        <w:tc>
          <w:tcPr>
            <w:tcW w:w="0" w:type="dxa"/>
            <w:vAlign w:val="bottom"/>
          </w:tcPr>
          <w:p>
            <w:pPr>
              <w:spacing w:after="0"/>
              <w:rPr>
                <w:sz w:val="1"/>
                <w:szCs w:val="1"/>
                <w:color w:val="auto"/>
              </w:rPr>
            </w:pPr>
          </w:p>
        </w:tc>
      </w:tr>
      <w:tr>
        <w:trPr>
          <w:trHeight w:val="161"/>
        </w:trPr>
        <w:tc>
          <w:tcPr>
            <w:tcW w:w="4100" w:type="dxa"/>
            <w:vAlign w:val="bottom"/>
          </w:tcPr>
          <w:p>
            <w:pPr>
              <w:ind w:left="220"/>
              <w:spacing w:after="0" w:line="161" w:lineRule="exact"/>
              <w:rPr>
                <w:sz w:val="20"/>
                <w:szCs w:val="20"/>
                <w:color w:val="auto"/>
              </w:rPr>
            </w:pPr>
            <w:r>
              <w:rPr>
                <w:rFonts w:ascii="Arial" w:cs="Arial" w:eastAsia="Arial" w:hAnsi="Arial"/>
                <w:sz w:val="16"/>
                <w:szCs w:val="16"/>
                <w:color w:val="auto"/>
                <w:w w:val="93"/>
              </w:rPr>
              <w:t>Issuance of common stock from employee stock purchase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4"/>
        </w:trPr>
        <w:tc>
          <w:tcPr>
            <w:tcW w:w="4100" w:type="dxa"/>
            <w:vAlign w:val="bottom"/>
          </w:tcPr>
          <w:p>
            <w:pPr>
              <w:ind w:left="220"/>
              <w:spacing w:after="0"/>
              <w:rPr>
                <w:sz w:val="20"/>
                <w:szCs w:val="20"/>
                <w:color w:val="auto"/>
              </w:rPr>
            </w:pPr>
            <w:r>
              <w:rPr>
                <w:rFonts w:ascii="Arial" w:cs="Arial" w:eastAsia="Arial" w:hAnsi="Arial"/>
                <w:sz w:val="16"/>
                <w:szCs w:val="16"/>
                <w:color w:val="auto"/>
              </w:rPr>
              <w:t>plan</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Issuance of common stock to directors and board advisor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w w:val="99"/>
              </w:rPr>
              <w:t>Cancellation and surrender of restricted common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Dividends on common stock</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(6,048)</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notes repurchase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6"/>
                <w:szCs w:val="16"/>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239,989</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102,303</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(102,050)</w:t>
            </w: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240,502</w:t>
            </w:r>
          </w:p>
        </w:tc>
        <w:tc>
          <w:tcPr>
            <w:tcW w:w="0" w:type="dxa"/>
            <w:vAlign w:val="bottom"/>
          </w:tcPr>
          <w:p>
            <w:pPr>
              <w:spacing w:after="0"/>
              <w:rPr>
                <w:sz w:val="1"/>
                <w:szCs w:val="1"/>
                <w:color w:val="auto"/>
              </w:rPr>
            </w:pPr>
          </w:p>
        </w:tc>
      </w:tr>
      <w:tr>
        <w:trPr>
          <w:trHeight w:val="200"/>
        </w:trPr>
        <w:tc>
          <w:tcPr>
            <w:tcW w:w="4100" w:type="dxa"/>
            <w:vAlign w:val="bottom"/>
          </w:tcPr>
          <w:p>
            <w:pPr>
              <w:ind w:left="220"/>
              <w:spacing w:after="0"/>
              <w:rPr>
                <w:sz w:val="20"/>
                <w:szCs w:val="20"/>
                <w:color w:val="auto"/>
              </w:rPr>
            </w:pPr>
            <w:r>
              <w:rPr>
                <w:rFonts w:ascii="Arial" w:cs="Arial" w:eastAsia="Arial" w:hAnsi="Arial"/>
                <w:sz w:val="16"/>
                <w:szCs w:val="16"/>
                <w:color w:val="auto"/>
              </w:rPr>
              <w:t>Net Income – 2021</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33,159</w:t>
            </w:r>
          </w:p>
        </w:tc>
        <w:tc>
          <w:tcPr>
            <w:tcW w:w="0" w:type="dxa"/>
            <w:vAlign w:val="bottom"/>
          </w:tcPr>
          <w:p>
            <w:pPr>
              <w:spacing w:after="0"/>
              <w:rPr>
                <w:sz w:val="1"/>
                <w:szCs w:val="1"/>
                <w:color w:val="auto"/>
              </w:rPr>
            </w:pPr>
          </w:p>
        </w:tc>
      </w:tr>
      <w:tr>
        <w:trPr>
          <w:trHeight w:val="164"/>
        </w:trPr>
        <w:tc>
          <w:tcPr>
            <w:tcW w:w="410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Issuance of common stock from employee stock purchase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6"/>
                <w:szCs w:val="16"/>
                <w:color w:val="auto"/>
                <w:w w:val="95"/>
              </w:rPr>
              <w:t>Issuance of common stock to directors and board advisor</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4,871</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on common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207"/>
        </w:trPr>
        <w:tc>
          <w:tcPr>
            <w:tcW w:w="4100" w:type="dxa"/>
            <w:vAlign w:val="bottom"/>
          </w:tcPr>
          <w:p>
            <w:pPr>
              <w:ind w:left="220"/>
              <w:spacing w:after="0"/>
              <w:rPr>
                <w:sz w:val="20"/>
                <w:szCs w:val="20"/>
                <w:color w:val="auto"/>
              </w:rPr>
            </w:pPr>
            <w:r>
              <w:rPr>
                <w:rFonts w:ascii="Arial" w:cs="Arial" w:eastAsia="Arial" w:hAnsi="Arial"/>
                <w:sz w:val="16"/>
                <w:szCs w:val="16"/>
                <w:color w:val="auto"/>
              </w:rPr>
              <w:t>Convertible notes conversions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4"/>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acquired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(142,469)</w:t>
            </w:r>
          </w:p>
        </w:tc>
        <w:tc>
          <w:tcPr>
            <w:tcW w:w="0" w:type="dxa"/>
            <w:vAlign w:val="bottom"/>
          </w:tcPr>
          <w:p>
            <w:pPr>
              <w:spacing w:after="0"/>
              <w:rPr>
                <w:sz w:val="1"/>
                <w:szCs w:val="1"/>
                <w:color w:val="auto"/>
              </w:rPr>
            </w:pPr>
          </w:p>
        </w:tc>
      </w:tr>
      <w:tr>
        <w:trPr>
          <w:trHeight w:val="200"/>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236,809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135,462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(244,519)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128,015</w:t>
            </w:r>
          </w:p>
        </w:tc>
        <w:tc>
          <w:tcPr>
            <w:tcW w:w="0" w:type="dxa"/>
            <w:vAlign w:val="bottom"/>
          </w:tcPr>
          <w:p>
            <w:pPr>
              <w:spacing w:after="0"/>
              <w:rPr>
                <w:sz w:val="1"/>
                <w:szCs w:val="1"/>
                <w:color w:val="auto"/>
              </w:rPr>
            </w:pPr>
          </w:p>
        </w:tc>
      </w:tr>
      <w:tr>
        <w:trPr>
          <w:trHeight w:val="23"/>
        </w:trPr>
        <w:tc>
          <w:tcPr>
            <w:tcW w:w="4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89"/>
              </w:rPr>
              <w:t>Years Ended 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1"/>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193"/>
        </w:trPr>
        <w:tc>
          <w:tcPr>
            <w:tcW w:w="63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14,533</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16,090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33,159</w:t>
            </w:r>
          </w:p>
        </w:tc>
      </w:tr>
      <w:tr>
        <w:trPr>
          <w:trHeight w:val="207"/>
        </w:trPr>
        <w:tc>
          <w:tcPr>
            <w:tcW w:w="630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20,520</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2,318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1,783</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Deferred income tax expense (benefit)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4,597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and accretion of debt discount and premium</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23,807</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on divestitures, disposals and impairment charges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21,693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Gain on insurance reimbursements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that provided (used) cash: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and preneed receivables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Inventories, prepaid and other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(4,449)</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and other non-current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Preneed funeral and cemetery trust investments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(5,043)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(31,349)</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Accrued and other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10,784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3,485</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preneed funeral and cemetery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r>
      <w:tr>
        <w:trPr>
          <w:trHeight w:val="207"/>
        </w:trPr>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Deferred preneed funeral and cemetery receipts held in trust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29,061</w:t>
            </w:r>
          </w:p>
        </w:tc>
      </w:tr>
      <w:tr>
        <w:trPr>
          <w:trHeight w:val="207"/>
        </w:trPr>
        <w:tc>
          <w:tcPr>
            <w:tcW w:w="6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84,246</w:t>
            </w:r>
          </w:p>
        </w:tc>
      </w:tr>
      <w:tr>
        <w:trPr>
          <w:trHeight w:val="105"/>
        </w:trPr>
        <w:tc>
          <w:tcPr>
            <w:tcW w:w="6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Acquisition of businesses and real estate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(140,907)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Deposit on pending acquisition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Proceeds from divestitures and sale of 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8,541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7,875</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insurance reimbursements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7,758</w:t>
            </w:r>
          </w:p>
        </w:tc>
      </w:tr>
      <w:tr>
        <w:trPr>
          <w:trHeight w:val="207"/>
        </w:trPr>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(15,379)</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(24,883)</w:t>
            </w:r>
          </w:p>
        </w:tc>
      </w:tr>
      <w:tr>
        <w:trPr>
          <w:trHeight w:val="207"/>
        </w:trPr>
        <w:tc>
          <w:tcPr>
            <w:tcW w:w="6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(158,886)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(12,535)</w:t>
            </w:r>
          </w:p>
        </w:tc>
      </w:tr>
      <w:tr>
        <w:trPr>
          <w:trHeight w:val="105"/>
        </w:trPr>
        <w:tc>
          <w:tcPr>
            <w:tcW w:w="6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Borrowings from the credit facility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174,961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109,500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266,168</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against the credit facility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(118,261)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(157,968)</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Payment to redeem the original senior notes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 of call premium for the redemption of the original senior notes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(19,876)</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Proceeds from the issuance of the senior notes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395,500</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 of debt issuance costs for the credit facility and senior notes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Conversion and maturity of the convertible notes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(3,980)</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issuance of the original senior notes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Payments on acquisition debt and obligations under finance leases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contingent consideration recorded at acquisition date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Proceeds from the exercise of stock options and employee stock purchase plan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2,644</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Taxes paid on restricted stock vestings and exercise of stock options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r>
      <w:tr>
        <w:trPr>
          <w:trHeight w:val="207"/>
        </w:trPr>
        <w:tc>
          <w:tcPr>
            <w:tcW w:w="6300" w:type="dxa"/>
            <w:vAlign w:val="bottom"/>
          </w:tcPr>
          <w:p>
            <w:pPr>
              <w:ind w:left="320"/>
              <w:spacing w:after="0"/>
              <w:rPr>
                <w:sz w:val="20"/>
                <w:szCs w:val="20"/>
                <w:color w:val="auto"/>
              </w:rPr>
            </w:pPr>
            <w:r>
              <w:rPr>
                <w:rFonts w:ascii="Arial" w:cs="Arial" w:eastAsia="Arial" w:hAnsi="Arial"/>
                <w:sz w:val="16"/>
                <w:szCs w:val="16"/>
                <w:color w:val="auto"/>
              </w:rPr>
              <w:t>Dividends paid on common stock</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(5,398)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(7,264)</w:t>
            </w:r>
          </w:p>
        </w:tc>
      </w:tr>
      <w:tr>
        <w:trPr>
          <w:trHeight w:val="214"/>
        </w:trPr>
        <w:tc>
          <w:tcPr>
            <w:tcW w:w="6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treasury stock</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(140,040)</w:t>
            </w:r>
          </w:p>
        </w:tc>
      </w:tr>
      <w:tr>
        <w:trPr>
          <w:trHeight w:val="200"/>
        </w:trPr>
        <w:tc>
          <w:tcPr>
            <w:tcW w:w="6300" w:type="dxa"/>
            <w:vAlign w:val="bottom"/>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115,742</w:t>
            </w: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(48,322)</w:t>
            </w: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(71,452)</w:t>
            </w:r>
          </w:p>
        </w:tc>
      </w:tr>
      <w:tr>
        <w:trPr>
          <w:trHeight w:val="109"/>
        </w:trPr>
        <w:tc>
          <w:tcPr>
            <w:tcW w:w="63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716</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00"/>
        </w:trPr>
        <w:tc>
          <w:tcPr>
            <w:tcW w:w="630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716</w:t>
            </w: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889</w:t>
            </w:r>
          </w:p>
        </w:tc>
        <w:tc>
          <w:tcPr>
            <w:tcW w:w="18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3"/>
        </w:trPr>
        <w:tc>
          <w:tcPr>
            <w:tcW w:w="6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Carriage Services, Inc. (“Carriage,” the “Company,” “we,” “us,” or “our”) is a leading provider of funeral and cemetery services and merchandise in the United States. Our operations are reported in two business segments: Funeral Home Operations, which currently account for approximately 70% of our revenue and Cemetery Operations, which currently account for approximately 30% of our revenue. At December 31, 2021, we operated 170 funeral homes in 26 states and 31 cemeteries in 11 states.</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accompanying Consolidated Financial Statements include the Company and its subsidiaries. All significant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Certain reclassifications have been made to prior period amounts on our Consolidated Statements of Cash Flows related to debt and debt issuance costs to conform to the current period financial statement presentation with no effect on our previously reported Consolidated Statements of Operations and Consolidated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Receivables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Our funeral receivables are recorded in </w:t>
      </w:r>
      <w:r>
        <w:rPr>
          <w:rFonts w:ascii="Arial" w:cs="Arial" w:eastAsia="Arial" w:hAnsi="Arial"/>
          <w:sz w:val="16"/>
          <w:szCs w:val="16"/>
          <w:i w:val="1"/>
          <w:iCs w:val="1"/>
          <w:color w:val="auto"/>
        </w:rPr>
        <w:t>Accounts receivable, net</w:t>
      </w:r>
      <w:r>
        <w:rPr>
          <w:rFonts w:ascii="Arial" w:cs="Arial" w:eastAsia="Arial" w:hAnsi="Arial"/>
          <w:sz w:val="16"/>
          <w:szCs w:val="16"/>
          <w:color w:val="auto"/>
        </w:rPr>
        <w:t xml:space="preserve"> and primarily consist of amounts due for funeral services already performed.</w:t>
      </w:r>
    </w:p>
    <w:p>
      <w:pPr>
        <w:spacing w:after="0" w:line="13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Atneed cemetery receivables and preneed cemetery receivables with payments expected to be received within one year from the balance sheet date are recorded in </w:t>
      </w:r>
      <w:r>
        <w:rPr>
          <w:rFonts w:ascii="Arial" w:cs="Arial" w:eastAsia="Arial" w:hAnsi="Arial"/>
          <w:sz w:val="16"/>
          <w:szCs w:val="16"/>
          <w:i w:val="1"/>
          <w:iCs w:val="1"/>
          <w:color w:val="auto"/>
        </w:rPr>
        <w:t>Accounts receivable, net.</w:t>
      </w:r>
      <w:r>
        <w:rPr>
          <w:rFonts w:ascii="Arial" w:cs="Arial" w:eastAsia="Arial" w:hAnsi="Arial"/>
          <w:sz w:val="16"/>
          <w:szCs w:val="16"/>
          <w:color w:val="auto"/>
        </w:rPr>
        <w:t xml:space="preserve"> Preneed cemetery receivables with payments expected to be received beyond one year from the balance sheet date are recorded in </w:t>
      </w:r>
      <w:r>
        <w:rPr>
          <w:rFonts w:ascii="Arial" w:cs="Arial" w:eastAsia="Arial" w:hAnsi="Arial"/>
          <w:sz w:val="16"/>
          <w:szCs w:val="16"/>
          <w:i w:val="1"/>
          <w:iCs w:val="1"/>
          <w:color w:val="auto"/>
        </w:rPr>
        <w:t>Preneed cemetery receivables, net.</w:t>
      </w:r>
      <w:r>
        <w:rPr>
          <w:rFonts w:ascii="Arial" w:cs="Arial" w:eastAsia="Arial" w:hAnsi="Arial"/>
          <w:sz w:val="16"/>
          <w:szCs w:val="16"/>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6"/>
          <w:szCs w:val="16"/>
          <w:i w:val="1"/>
          <w:iCs w:val="1"/>
          <w:color w:val="auto"/>
        </w:rPr>
        <w:t>Other revenue</w:t>
      </w:r>
      <w:r>
        <w:rPr>
          <w:rFonts w:ascii="Arial" w:cs="Arial" w:eastAsia="Arial" w:hAnsi="Arial"/>
          <w:sz w:val="16"/>
          <w:szCs w:val="16"/>
          <w:color w:val="auto"/>
        </w:rPr>
        <w:t>. In substantially all cases, we receive an initial down payment at the time the contract is signed.</w:t>
      </w:r>
    </w:p>
    <w:p>
      <w:pPr>
        <w:spacing w:after="0" w:line="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our funeral and atneed cemetery receivables, we have a collections policy where statements are sent to the customer at 30 days past due. Past due notification letters are sent at 45 days and continue until payment is received or the contract is placed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4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to the Consolidated Financial Statements herein for additional information related to our funeral and cemetery receivables.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did not acquire any businesses in 2021. On January 3, 2020, we acquired one funeral home and cemetery combination business in Lafayette, California.</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pro forma impact of the acquisitions on prior periods is not presented as the impact is not material to our reported results. The results of the acquired businesses are included in our results of operations from the date of acquisition.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3 to the Consolidated Financial Statements herein for further information related to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Operations</w:t>
      </w:r>
    </w:p>
    <w:p>
      <w:pPr>
        <w:spacing w:after="0" w:line="10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apply the guidance in Accounting Standards Codification (“ASC”) Topic 350 – Intangibles – Goodwill and Other to determine the accounting treatment of goodwill for that set (see discussion of Goodwill below). Goodwill is only allocated to the sale if the set is considered to be a business.</w:t>
      </w:r>
    </w:p>
    <w:p>
      <w:pPr>
        <w:spacing w:after="0" w:line="6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2021, we sold two funeral homes and one cemetery for $2.5 million and we merged six funeral homes with other businesses we own in existing markets. During 2020, we sold eight funeral homes for $8.4 million. During 2019, we divested three funeral homes whose building leases expired and sold a funeral home for $0.9 million. In addition, we merged a funeral home with a business in an existing market.</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Notes 4 and 5 to the Consolidated Financial Statements herein for additional information related to divestitures.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9"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6"/>
          <w:szCs w:val="16"/>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7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our 2021 annual impairment test, we performed a qualitative assessment and concluded that there was no impairment to goodwill.</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2020, as a result of economic conditions caused by COVID-19, we performed a quantitative assessment of our goodwill and we recorded an impairment to goodwill of $13.6 million, as the carrying amount of our funeral homes in the Eastern Region Reporting Unit exceeded the fair value.</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For our 2020 annual impairment test, we performed a qualitative assessment and determined that there were no factors that would indicate the need to perform an additional quantitative goodwill impairment test and concluded that there was no additional impairment to goodwill.</w:t>
      </w:r>
    </w:p>
    <w:p>
      <w:pPr>
        <w:spacing w:after="0" w:line="3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our 2019 annual impairment test, we performed a quantitative assessment and concluded there was no impairment to goodwill as the fair value of our reporting units was greater than the carrying value. However, we recorded a goodwill impairment of $0.7 million during the year ended December 31, 2019 related to two funeral homes that we divested.</w:t>
      </w:r>
    </w:p>
    <w:p>
      <w:pPr>
        <w:spacing w:after="0" w:line="85"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 For the years ended December 31, 2020 and 2021, after each divestiture, we concluded that it was more-likely-than not that the fair value of our reporting units was greater than their carrying value and thus there was no impairment to goodwill.</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4 to the Consolidated Financial Statements included herein for additional information related to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09" w:lineRule="exact"/>
        <w:rPr>
          <w:sz w:val="20"/>
          <w:szCs w:val="20"/>
          <w:color w:val="auto"/>
        </w:rPr>
      </w:pPr>
    </w:p>
    <w:p>
      <w:pPr>
        <w:jc w:val="both"/>
        <w:ind w:firstLine="395"/>
        <w:spacing w:after="0" w:line="236" w:lineRule="auto"/>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intent is to perform a quantitative impairment test at least once every three years and perform a qualitative assessment during the remaining two years. In addition to our annual test, we assess the impairment of intangible assets whenever certain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8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our 2021 annual impairment test, we performed a qualitative assessment and concluded there that was no impairment to our intangible assets.</w:t>
      </w:r>
    </w:p>
    <w:p>
      <w:pPr>
        <w:spacing w:after="0" w:line="13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2020, as a result of economic conditions caused by COVID-19, we performed a quantitative assessment of our tradenames and we recorded an impairment to tradenames for certain of our funeral homes of $1.1 million, as the carrying amount of these tradenames exceeded the fair value.</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For our 2020 annual impairment test, we performed a qualitative assessment and determined that there were no factors that would indicate the need to perform an additional quantitative impairment test and concluded there that was no additional impairment to our intangible assets.</w:t>
      </w:r>
    </w:p>
    <w:p>
      <w:pPr>
        <w:spacing w:after="0" w:line="3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our 2019 annual impairment test, we performed a quantitative assessment and recorded an impairment of $0.2 million for tradenames during the year ended December 31, 2019, as the carrying amount of certain tradenames exceeded their fair value.</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11 to the Consolidated Financial Statements included herein for additional information related to our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and Perpetual Care Trust Funds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Our trust fund assets are reflected in our financial statements as </w:t>
      </w:r>
      <w:r>
        <w:rPr>
          <w:rFonts w:ascii="Arial" w:cs="Arial" w:eastAsia="Arial" w:hAnsi="Arial"/>
          <w:sz w:val="18"/>
          <w:szCs w:val="18"/>
          <w:i w:val="1"/>
          <w:iCs w:val="1"/>
          <w:color w:val="auto"/>
        </w:rPr>
        <w:t>Preneed cemetery trust investments, Preneed funeral trust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Cemetery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perpetual care trust investments. </w:t>
      </w:r>
      <w:r>
        <w:rPr>
          <w:rFonts w:ascii="Arial" w:cs="Arial" w:eastAsia="Arial" w:hAnsi="Arial"/>
          <w:sz w:val="18"/>
          <w:szCs w:val="18"/>
          <w:color w:val="auto"/>
        </w:rPr>
        <w:t>We have recognized financial interests of third parties in the trust funds in our financial statements as</w:t>
      </w:r>
      <w:r>
        <w:rPr>
          <w:rFonts w:ascii="Arial" w:cs="Arial" w:eastAsia="Arial" w:hAnsi="Arial"/>
          <w:sz w:val="18"/>
          <w:szCs w:val="18"/>
          <w:i w:val="1"/>
          <w:iCs w:val="1"/>
          <w:color w:val="auto"/>
        </w:rPr>
        <w:t xml:space="preserve"> Deferred preneed funeral and cemetery receipts held in trust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Care trusts’ corpus</w:t>
      </w:r>
      <w:r>
        <w:rPr>
          <w:rFonts w:ascii="Arial" w:cs="Arial" w:eastAsia="Arial" w:hAnsi="Arial"/>
          <w:sz w:val="18"/>
          <w:szCs w:val="18"/>
          <w:color w:val="auto"/>
        </w:rPr>
        <w:t>.</w:t>
      </w:r>
    </w:p>
    <w:p>
      <w:pPr>
        <w:spacing w:after="0" w:line="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present our credit losses for fixed income securities as an allowance for the fixed income securities we do not intend to sell and it is likely that we will not be required to sell prior to their anticipated recovery.</w:t>
      </w:r>
    </w:p>
    <w:p>
      <w:pPr>
        <w:spacing w:after="0" w:line="7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4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also have preneed funeral trust fund assets in trusts that are controlled and operated by third parties in which we do not have a controlling financial interest (less than 50%) in the trust assets. We account for these investments at cost, reflected in our financial statements as </w:t>
      </w:r>
      <w:r>
        <w:rPr>
          <w:rFonts w:ascii="Arial" w:cs="Arial" w:eastAsia="Arial" w:hAnsi="Arial"/>
          <w:sz w:val="18"/>
          <w:szCs w:val="18"/>
          <w:i w:val="1"/>
          <w:iCs w:val="1"/>
          <w:color w:val="auto"/>
        </w:rPr>
        <w:t>Receivables from preneed funeral</w:t>
      </w:r>
      <w:r>
        <w:rPr>
          <w:rFonts w:ascii="Arial" w:cs="Arial" w:eastAsia="Arial" w:hAnsi="Arial"/>
          <w:sz w:val="18"/>
          <w:szCs w:val="18"/>
          <w:color w:val="auto"/>
        </w:rPr>
        <w:t xml:space="preserve"> </w:t>
      </w:r>
      <w:r>
        <w:rPr>
          <w:rFonts w:ascii="Arial" w:cs="Arial" w:eastAsia="Arial" w:hAnsi="Arial"/>
          <w:sz w:val="18"/>
          <w:szCs w:val="18"/>
          <w:i w:val="1"/>
          <w:iCs w:val="1"/>
          <w:color w:val="auto"/>
        </w:rPr>
        <w:t>trusts, net.</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preneed funeral and preneed cemetery merchandise and service trusts are reflected in our financial statements net of an allowance for contract cancellations. We determine this allowance based on our five-year historical experience of contract cancellations. On an ongoing basis, we monitor our historical trend and adjust our allowance accordingly.</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Notes 7 and 8 to the Consolidated Financial Statements herein for additional information related to preneed and perpetual care trust funds.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5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5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Notes 7 and 10 to the Consolidated Financial Statements herein for additional required disclosures related to our fair value measurement of our financial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Commissions on Preneed Contracts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 Amortization expense totaled $0.6 million for each of the years ended December 31, 2019, 2020 and 2021.</w:t>
      </w:r>
    </w:p>
    <w:p>
      <w:pPr>
        <w:spacing w:after="0" w:line="5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11 to the Consolidated Financial Statements herein for additional information related to our capitalized commissions on preneed contracts.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following estimated useful lives of the assets: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Years</w:t>
            </w:r>
          </w:p>
        </w:tc>
        <w:tc>
          <w:tcPr>
            <w:tcW w:w="20" w:type="dxa"/>
            <w:vAlign w:val="bottom"/>
          </w:tcPr>
          <w:p>
            <w:pPr>
              <w:spacing w:after="0"/>
              <w:rPr>
                <w:sz w:val="18"/>
                <w:szCs w:val="18"/>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to 40</w:t>
            </w:r>
          </w:p>
        </w:tc>
        <w:tc>
          <w:tcPr>
            <w:tcW w:w="20" w:type="dxa"/>
            <w:vAlign w:val="bottom"/>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to 10</w:t>
            </w:r>
          </w:p>
        </w:tc>
        <w:tc>
          <w:tcPr>
            <w:tcW w:w="20" w:type="dxa"/>
            <w:vAlign w:val="bottom"/>
          </w:tcPr>
          <w:p>
            <w:pPr>
              <w:spacing w:after="0"/>
              <w:rPr>
                <w:sz w:val="19"/>
                <w:szCs w:val="19"/>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15</w:t>
            </w:r>
          </w:p>
        </w:tc>
        <w:tc>
          <w:tcPr>
            <w:tcW w:w="20" w:type="dxa"/>
            <w:vAlign w:val="bottom"/>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Automobiles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to 7</w:t>
            </w:r>
          </w:p>
        </w:tc>
        <w:tc>
          <w:tcPr>
            <w:tcW w:w="20" w:type="dxa"/>
            <w:vAlign w:val="bottom"/>
          </w:tcPr>
          <w:p>
            <w:pPr>
              <w:spacing w:after="0"/>
              <w:rPr>
                <w:sz w:val="19"/>
                <w:szCs w:val="19"/>
                <w:color w:val="auto"/>
              </w:rPr>
            </w:pPr>
          </w:p>
        </w:tc>
      </w:tr>
      <w:tr>
        <w:trPr>
          <w:trHeight w:val="408"/>
        </w:trPr>
        <w:tc>
          <w:tcPr>
            <w:tcW w:w="7320" w:type="dxa"/>
            <w:vAlign w:val="bottom"/>
          </w:tcPr>
          <w:p>
            <w:pPr>
              <w:ind w:left="400"/>
              <w:spacing w:after="0"/>
              <w:rPr>
                <w:sz w:val="20"/>
                <w:szCs w:val="20"/>
                <w:color w:val="auto"/>
              </w:rPr>
            </w:pPr>
            <w:r>
              <w:rPr>
                <w:rFonts w:ascii="Arial" w:cs="Arial" w:eastAsia="Arial" w:hAnsi="Arial"/>
                <w:sz w:val="18"/>
                <w:szCs w:val="18"/>
                <w:color w:val="auto"/>
              </w:rPr>
              <w:t>Property, plant and equipment is comprised of the following (in thousands):</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20"/>
                <w:szCs w:val="20"/>
                <w:color w:val="auto"/>
              </w:rPr>
            </w:pPr>
          </w:p>
        </w:tc>
        <w:tc>
          <w:tcPr>
            <w:tcW w:w="1640" w:type="dxa"/>
            <w:vAlign w:val="bottom"/>
            <w:gridSpan w:val="2"/>
          </w:tcPr>
          <w:p>
            <w:pPr>
              <w:jc w:val="right"/>
              <w:ind w:right="174"/>
              <w:spacing w:after="0"/>
              <w:rPr>
                <w:sz w:val="20"/>
                <w:szCs w:val="20"/>
                <w:color w:val="auto"/>
              </w:rPr>
            </w:pPr>
            <w:r>
              <w:rPr>
                <w:rFonts w:ascii="Arial" w:cs="Arial" w:eastAsia="Arial" w:hAnsi="Arial"/>
                <w:sz w:val="16"/>
                <w:szCs w:val="16"/>
                <w:b w:val="1"/>
                <w:bCs w:val="1"/>
                <w:color w:val="auto"/>
                <w:w w:val="94"/>
              </w:rPr>
              <w:t>December 31, 2021</w:t>
            </w:r>
          </w:p>
        </w:tc>
        <w:tc>
          <w:tcPr>
            <w:tcW w:w="20" w:type="dxa"/>
            <w:vAlign w:val="bottom"/>
          </w:tcPr>
          <w:p>
            <w:pPr>
              <w:spacing w:after="0"/>
              <w:rPr>
                <w:sz w:val="20"/>
                <w:szCs w:val="20"/>
                <w:color w:val="auto"/>
              </w:rPr>
            </w:pP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82,095</w:t>
            </w:r>
          </w:p>
        </w:tc>
        <w:tc>
          <w:tcPr>
            <w:tcW w:w="20" w:type="dxa"/>
            <w:vAlign w:val="bottom"/>
            <w:tcBorders>
              <w:top w:val="single" w:sz="8" w:color="auto"/>
            </w:tcBorders>
            <w:shd w:val="clear" w:color="auto" w:fill="CCEEFF"/>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240,567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240,387</w:t>
            </w:r>
          </w:p>
        </w:tc>
        <w:tc>
          <w:tcPr>
            <w:tcW w:w="20" w:type="dxa"/>
            <w:vAlign w:val="bottom"/>
          </w:tcPr>
          <w:p>
            <w:pPr>
              <w:spacing w:after="0"/>
              <w:rPr>
                <w:sz w:val="19"/>
                <w:szCs w:val="19"/>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equipment and automobiles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73,377</w:t>
            </w:r>
          </w:p>
        </w:tc>
        <w:tc>
          <w:tcPr>
            <w:tcW w:w="20" w:type="dxa"/>
            <w:vAlign w:val="bottom"/>
            <w:tcBorders>
              <w:bottom w:val="single" w:sz="8" w:color="auto"/>
            </w:tcBorders>
            <w:shd w:val="clear" w:color="auto" w:fill="CCEEFF"/>
          </w:tcPr>
          <w:p>
            <w:pPr>
              <w:spacing w:after="0"/>
              <w:rPr>
                <w:sz w:val="19"/>
                <w:szCs w:val="19"/>
                <w:color w:val="auto"/>
              </w:rPr>
            </w:pPr>
          </w:p>
        </w:tc>
      </w:tr>
      <w:tr>
        <w:trPr>
          <w:trHeight w:val="217"/>
        </w:trPr>
        <w:tc>
          <w:tcPr>
            <w:tcW w:w="7320" w:type="dxa"/>
            <w:vAlign w:val="bottom"/>
          </w:tcPr>
          <w:p>
            <w:pPr>
              <w:ind w:left="20"/>
              <w:spacing w:after="0" w:line="203" w:lineRule="exact"/>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414,484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395,859</w:t>
            </w:r>
          </w:p>
        </w:tc>
        <w:tc>
          <w:tcPr>
            <w:tcW w:w="20" w:type="dxa"/>
            <w:vAlign w:val="bottom"/>
          </w:tcPr>
          <w:p>
            <w:pPr>
              <w:spacing w:after="0"/>
              <w:rPr>
                <w:sz w:val="18"/>
                <w:szCs w:val="18"/>
                <w:color w:val="auto"/>
              </w:rPr>
            </w:pPr>
          </w:p>
        </w:tc>
      </w:tr>
      <w:tr>
        <w:trPr>
          <w:trHeight w:val="224"/>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(145,433)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(126,492)</w:t>
            </w:r>
          </w:p>
        </w:tc>
        <w:tc>
          <w:tcPr>
            <w:tcW w:w="20" w:type="dxa"/>
            <w:vAlign w:val="bottom"/>
            <w:tcBorders>
              <w:bottom w:val="single" w:sz="8" w:color="auto"/>
            </w:tcBorders>
            <w:shd w:val="clear" w:color="auto" w:fill="CCEEFF"/>
          </w:tcPr>
          <w:p>
            <w:pPr>
              <w:spacing w:after="0"/>
              <w:rPr>
                <w:sz w:val="19"/>
                <w:szCs w:val="19"/>
                <w:color w:val="auto"/>
              </w:rPr>
            </w:pPr>
          </w:p>
        </w:tc>
      </w:tr>
      <w:tr>
        <w:trPr>
          <w:trHeight w:val="217"/>
        </w:trPr>
        <w:tc>
          <w:tcPr>
            <w:tcW w:w="7320" w:type="dxa"/>
            <w:vAlign w:val="bottom"/>
          </w:tcPr>
          <w:p>
            <w:pPr>
              <w:ind w:left="20"/>
              <w:spacing w:after="0" w:line="203" w:lineRule="exact"/>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269,051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269,367</w:t>
            </w:r>
          </w:p>
        </w:tc>
        <w:tc>
          <w:tcPr>
            <w:tcW w:w="20" w:type="dxa"/>
            <w:vAlign w:val="bottom"/>
            <w:tcBorders>
              <w:bottom w:val="single" w:sz="8" w:color="auto"/>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During the year ended December 31, 2021, we acquired real property for $3.3 million and we sold real property for $5.2 million, with a carrying value of $4.3 million, resulting in a gain on the sale of $0.9 million. We recognized a $0.5 million impairment loss related to property, plant and equipment assets held for sale. The gain on sale and impairment loss were recorded in </w:t>
      </w:r>
      <w:r>
        <w:rPr>
          <w:rFonts w:ascii="Arial" w:cs="Arial" w:eastAsia="Arial" w:hAnsi="Arial"/>
          <w:sz w:val="16"/>
          <w:szCs w:val="16"/>
          <w:i w:val="1"/>
          <w:iCs w:val="1"/>
          <w:color w:val="auto"/>
        </w:rPr>
        <w:t>Net loss on divestitures, disposals and impairment charges.</w:t>
      </w:r>
    </w:p>
    <w:p>
      <w:pPr>
        <w:spacing w:after="0" w:line="4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also divested two funeral homes and one cemetery that had a carrying value of property, plant and equipment of $1.4 million, which was included in the gain or loss on the sale of divestitures and recorded in </w:t>
      </w:r>
      <w:r>
        <w:rPr>
          <w:rFonts w:ascii="Arial" w:cs="Arial" w:eastAsia="Arial" w:hAnsi="Arial"/>
          <w:sz w:val="18"/>
          <w:szCs w:val="18"/>
          <w:i w:val="1"/>
          <w:iCs w:val="1"/>
          <w:color w:val="auto"/>
        </w:rPr>
        <w:t>Net loss on divestitures, disposals and impairment charges</w:t>
      </w:r>
      <w:r>
        <w:rPr>
          <w:rFonts w:ascii="Arial" w:cs="Arial" w:eastAsia="Arial" w:hAnsi="Arial"/>
          <w:sz w:val="18"/>
          <w:szCs w:val="18"/>
          <w:color w:val="auto"/>
        </w:rPr>
        <w:t xml:space="preserve"> on our Consolidated Statements of Operations, described in Note 5 to the Consolidated Financial Statements included herein.</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Additionally, we disposed of damaged and obsolete property, plant and equipment that had a carrying value of $1.0 million, which was recorded in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loss on divestitures, disposals and impairment charges.</w:t>
      </w:r>
    </w:p>
    <w:p>
      <w:pPr>
        <w:spacing w:after="0" w:line="7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During the year ended December 31, 2020, we acquired $1.7 million of property, plant and equipment related to our funeral home and cemetery acquisition, described in Note 3 to the Consolidated Financial Statements included herein. In addition, we divested eight funeral homes that had a carrying value of property, plant and equipment of $8.0 million, which was included in the gain or loss on the sale of divestitures and recorded in </w:t>
      </w:r>
      <w:r>
        <w:rPr>
          <w:rFonts w:ascii="Arial" w:cs="Arial" w:eastAsia="Arial" w:hAnsi="Arial"/>
          <w:sz w:val="18"/>
          <w:szCs w:val="18"/>
          <w:i w:val="1"/>
          <w:iCs w:val="1"/>
          <w:color w:val="auto"/>
        </w:rPr>
        <w:t>Net loss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disposals and impairment charges </w:t>
      </w:r>
      <w:r>
        <w:rPr>
          <w:rFonts w:ascii="Arial" w:cs="Arial" w:eastAsia="Arial" w:hAnsi="Arial"/>
          <w:sz w:val="18"/>
          <w:szCs w:val="18"/>
          <w:color w:val="auto"/>
        </w:rPr>
        <w:t>on our Consolidated Statements of Operations.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growth and maintenance capital expenditures totaled $10.5 million and $19.0 million for the years ended December 31, 2020 and 2021, respectively, for property, plant, equipment. In addition, we recorded depreciation expense of $13.8 million, $14.4 million and $13.8 million for the years ended December 31, 2019, 2020 and 2021, respectively.</w:t>
      </w:r>
    </w:p>
    <w:p>
      <w:pPr>
        <w:spacing w:after="0" w:line="8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Long-lived assets, such as property, plant and equipment and right-of-use assets (see leases discussion below) are reported at the lower of their carrying amount or fair value and are reviewed for impairment whenever events, such as significant negative industry or economic trends or changes in circumstances indicate that the carrying amount of an asset may not be recoverable in accordance with ASC 360 – Property, Plant and Equipment. Factors that could trigger an impairment review include, but are not limited to, significant under-performance relative to historical or projected future operating results. We evaluate our long-lived assets for impairment when a funeral home or cemetery business has negative earnings before interest, taxes, depreciation and amortization (“EBITDA”) for four consecutive years and if there has been a decline in EBITDA in that same period. We test the recoverability of our long-lived assets by comparing their carrying value to the sum of the undiscounted cash flows expected to result from the use of the assets over their remaining useful lives. We recognize an impairment loss if the carrying amount of the long-lived asset is not recoverable and exceeds its fair value.</w:t>
      </w:r>
    </w:p>
    <w:p>
      <w:pPr>
        <w:spacing w:after="0" w:line="6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Additionally, assets to be disposed of and assets not expected to provide any future service potential are recorded at the lower of their carrying amount or fair value less estimated costs to sell. If we determine that the carrying value is not recoverable from the proceeds of the sale, we record an impairment loss at that time.</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year ended December 31, 2021, we did not identify any factors or events that would trigger us to perform an impairment test on our long-lived assets and concluded there was no impairment to our long-lived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connection with the goodwill impairment recorded for the Eastern Region Reporting Unit during the quarter ended March 31, 2020, we evaluated the long-lived assets of our funeral homes in the Eastern Region Reporting Unit for impairment and concluded that there was no impairment to our long-lived assets. Subsequent to our impairment tests performed at March 31, 2020, we did not identify any new factors or events that would trigger us to perform an additional assessment of our long-lived assets.</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the year ended December 31, 2019, we did not identify any factors or events that would trigger us to perform an impairment test on our long-lived assets and concluded there was no impairment to our long-lived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Property</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6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Cemetery property was $101.1 million and $100.7 million, net of accumulated amortization of $46.6 million and $53.1 million at December 31, 2020 and 2021,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totaled $4.7 million and $5.9 million for the years ended December 31, 2020 and 2021, respectively, for cemetery property development. We recorded amortization expense for cemetery interment rights of $4.0 million, $5.0 million and $6.7 million for the years ended December 31, 2019, 2020 and 2021, respectively.</w:t>
      </w:r>
    </w:p>
    <w:p>
      <w:pPr>
        <w:spacing w:after="0" w:line="5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During the year ended December 31, 2021, we divested one cemetery that had a carrying value of cemetery property of $0.1 million, which was included in the gain or loss on the sale of divestitures and recorded in </w:t>
      </w:r>
      <w:r>
        <w:rPr>
          <w:rFonts w:ascii="Arial" w:cs="Arial" w:eastAsia="Arial" w:hAnsi="Arial"/>
          <w:sz w:val="18"/>
          <w:szCs w:val="18"/>
          <w:i w:val="1"/>
          <w:iCs w:val="1"/>
          <w:color w:val="auto"/>
        </w:rPr>
        <w:t>Net loss on divestitures, disposals and impairment charges</w:t>
      </w:r>
      <w:r>
        <w:rPr>
          <w:rFonts w:ascii="Arial" w:cs="Arial" w:eastAsia="Arial" w:hAnsi="Arial"/>
          <w:sz w:val="18"/>
          <w:szCs w:val="18"/>
          <w:color w:val="auto"/>
        </w:rPr>
        <w:t xml:space="preserve"> on our Consolidated Statements of Operations. We did not divest any cemeteries during the years ended December 31, 2019 and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5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6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Operating lease ROU assets are included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are included in </w:t>
      </w:r>
      <w:r>
        <w:rPr>
          <w:rFonts w:ascii="Arial" w:cs="Arial" w:eastAsia="Arial" w:hAnsi="Arial"/>
          <w:sz w:val="18"/>
          <w:szCs w:val="18"/>
          <w:i w:val="1"/>
          <w:iCs w:val="1"/>
          <w:color w:val="auto"/>
        </w:rPr>
        <w:t>Current portion of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lease obligation</w:t>
      </w:r>
      <w:r>
        <w:rPr>
          <w:rFonts w:ascii="Arial" w:cs="Arial" w:eastAsia="Arial" w:hAnsi="Arial"/>
          <w:sz w:val="18"/>
          <w:szCs w:val="18"/>
          <w:color w:val="auto"/>
        </w:rPr>
        <w:t>s and</w:t>
      </w:r>
      <w:r>
        <w:rPr>
          <w:rFonts w:ascii="Arial" w:cs="Arial" w:eastAsia="Arial" w:hAnsi="Arial"/>
          <w:sz w:val="18"/>
          <w:szCs w:val="18"/>
          <w:i w:val="1"/>
          <w:iCs w:val="1"/>
          <w:color w:val="auto"/>
        </w:rPr>
        <w:t xml:space="preserve"> Obligations under operating leases, net of current portion </w:t>
      </w:r>
      <w:r>
        <w:rPr>
          <w:rFonts w:ascii="Arial" w:cs="Arial" w:eastAsia="Arial" w:hAnsi="Arial"/>
          <w:sz w:val="18"/>
          <w:szCs w:val="18"/>
          <w:color w:val="auto"/>
        </w:rPr>
        <w:t>on our Consolidated Balance Sheet. Finance lease ROU assets are included in</w:t>
      </w:r>
      <w:r>
        <w:rPr>
          <w:rFonts w:ascii="Arial" w:cs="Arial" w:eastAsia="Arial" w:hAnsi="Arial"/>
          <w:sz w:val="18"/>
          <w:szCs w:val="18"/>
          <w:i w:val="1"/>
          <w:iCs w:val="1"/>
          <w:color w:val="auto"/>
        </w:rPr>
        <w:t xml:space="preserve"> Property, plant and equipment, net </w:t>
      </w:r>
      <w:r>
        <w:rPr>
          <w:rFonts w:ascii="Arial" w:cs="Arial" w:eastAsia="Arial" w:hAnsi="Arial"/>
          <w:sz w:val="18"/>
          <w:szCs w:val="18"/>
          <w:color w:val="auto"/>
        </w:rPr>
        <w:t>and finance lease liabilities are included in</w:t>
      </w:r>
      <w:r>
        <w:rPr>
          <w:rFonts w:ascii="Arial" w:cs="Arial" w:eastAsia="Arial" w:hAnsi="Arial"/>
          <w:sz w:val="18"/>
          <w:szCs w:val="18"/>
          <w:i w:val="1"/>
          <w:iCs w:val="1"/>
          <w:color w:val="auto"/>
        </w:rPr>
        <w:t xml:space="preserve"> Current portion of finance lease obligations </w:t>
      </w:r>
      <w:r>
        <w:rPr>
          <w:rFonts w:ascii="Arial" w:cs="Arial" w:eastAsia="Arial" w:hAnsi="Arial"/>
          <w:sz w:val="18"/>
          <w:szCs w:val="18"/>
          <w:color w:val="auto"/>
        </w:rPr>
        <w:t>and O</w:t>
      </w:r>
      <w:r>
        <w:rPr>
          <w:rFonts w:ascii="Arial" w:cs="Arial" w:eastAsia="Arial" w:hAnsi="Arial"/>
          <w:sz w:val="18"/>
          <w:szCs w:val="18"/>
          <w:i w:val="1"/>
          <w:iCs w:val="1"/>
          <w:color w:val="auto"/>
        </w:rPr>
        <w:t xml:space="preserve">bligations under finance leases, net of current portion </w:t>
      </w:r>
      <w:r>
        <w:rPr>
          <w:rFonts w:ascii="Arial" w:cs="Arial" w:eastAsia="Arial" w:hAnsi="Arial"/>
          <w:sz w:val="18"/>
          <w:szCs w:val="18"/>
          <w:color w:val="auto"/>
        </w:rPr>
        <w:t>on our Consolidated Balance Sheet.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connection with the goodwill and intangible impairment tests performed at March 31, 2020, we also evaluated the operating and finance leases of our funeral homes in the Eastern Reporting Unit and concluded that there was no impairment to our operating and finance lease assets. Subsequent to our impairment tests performed at March 31, 2020, we did not identify any new factors or events that would trigger us to perform an additional assessment of our operating and finance leases. See discussion of our impairment policy for long-lived assets and right-of-use assets above.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15 to the Consolidated Financial Statements included herein for additional information related to our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 and Stock-Based Compensation</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5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 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5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For the years ended December 31, 2019 and 2020 the excess tax deficiency related to share-based payments was $0.4 million and $0.1 million, respectively. For the year ended December 31, 2021, the excess tax benefit was $1.2 million. The excess tax benefit and tax deficiencies are recorded within </w:t>
      </w:r>
      <w:r>
        <w:rPr>
          <w:rFonts w:ascii="Arial" w:cs="Arial" w:eastAsia="Arial" w:hAnsi="Arial"/>
          <w:sz w:val="16"/>
          <w:szCs w:val="16"/>
          <w:i w:val="1"/>
          <w:iCs w:val="1"/>
          <w:color w:val="auto"/>
        </w:rPr>
        <w:t>Tax adjustment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discrete items </w:t>
      </w:r>
      <w:r>
        <w:rPr>
          <w:rFonts w:ascii="Arial" w:cs="Arial" w:eastAsia="Arial" w:hAnsi="Arial"/>
          <w:sz w:val="16"/>
          <w:szCs w:val="16"/>
          <w:color w:val="auto"/>
        </w:rPr>
        <w:t>on our Consolidated Statements of Operations. Excess tax benefits and deficiencies related to share-based payments are included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on the Consolidated Statements of Cash Flows.</w:t>
      </w:r>
    </w:p>
    <w:p>
      <w:pPr>
        <w:spacing w:after="0" w:line="6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Note 18 to the Consolidated Financial Statements included herein for additional information related to our equity plans and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89"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5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6"/>
          <w:szCs w:val="16"/>
          <w:i w:val="1"/>
          <w:iCs w:val="1"/>
          <w:color w:val="auto"/>
        </w:rPr>
        <w:t>Revenue</w:t>
      </w:r>
      <w:r>
        <w:rPr>
          <w:rFonts w:ascii="Arial" w:cs="Arial" w:eastAsia="Arial" w:hAnsi="Arial"/>
          <w:sz w:val="16"/>
          <w:szCs w:val="16"/>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Ancillary funeral service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represents revenue from our flower shop, pet cremation and online cremation businesses</w:t>
      </w:r>
      <w:r>
        <w:rPr>
          <w:rFonts w:ascii="Arial" w:cs="Arial" w:eastAsia="Arial" w:hAnsi="Arial"/>
          <w:sz w:val="18"/>
          <w:szCs w:val="18"/>
          <w:i w:val="1"/>
          <w:iCs w:val="1"/>
          <w:color w:val="auto"/>
        </w:rPr>
        <w:t>.</w:t>
      </w:r>
    </w:p>
    <w:p>
      <w:pPr>
        <w:spacing w:after="0" w:line="76"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As of December 31, 2021,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 xml:space="preserve">Balances due on undelivered preneed funeral trust contracts have been reclassified to reduce </w:t>
      </w:r>
      <w:r>
        <w:rPr>
          <w:rFonts w:ascii="Arial" w:cs="Arial" w:eastAsia="Arial" w:hAnsi="Arial"/>
          <w:sz w:val="18"/>
          <w:szCs w:val="18"/>
          <w:i w:val="1"/>
          <w:iCs w:val="1"/>
          <w:color w:val="auto"/>
        </w:rPr>
        <w:t>Deferred preneed funeral revenue</w:t>
      </w:r>
      <w:r>
        <w:rPr>
          <w:rFonts w:ascii="Arial" w:cs="Arial" w:eastAsia="Arial" w:hAnsi="Arial"/>
          <w:sz w:val="18"/>
          <w:szCs w:val="18"/>
          <w:color w:val="auto"/>
        </w:rPr>
        <w:t xml:space="preserve"> on our Consolidated Balance Sheet of $8.2 million and $8.0 million at December 31, 2020 and 2021,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85" w:lineRule="exact"/>
        <w:rPr>
          <w:sz w:val="20"/>
          <w:szCs w:val="20"/>
          <w:color w:val="auto"/>
        </w:rPr>
      </w:pPr>
    </w:p>
    <w:p>
      <w:pPr>
        <w:jc w:val="both"/>
        <w:ind w:firstLine="316"/>
        <w:spacing w:after="0" w:line="310" w:lineRule="auto"/>
        <w:rPr>
          <w:sz w:val="20"/>
          <w:szCs w:val="20"/>
          <w:color w:val="auto"/>
        </w:rPr>
      </w:pPr>
      <w:r>
        <w:rPr>
          <w:rFonts w:ascii="Arial" w:cs="Arial" w:eastAsia="Arial" w:hAnsi="Arial"/>
          <w:sz w:val="15"/>
          <w:szCs w:val="15"/>
          <w:color w:val="auto"/>
        </w:rPr>
        <w:t xml:space="preserve">Balances due from customers on delivered preneed cemetery contracts are included in </w:t>
      </w:r>
      <w:r>
        <w:rPr>
          <w:rFonts w:ascii="Arial" w:cs="Arial" w:eastAsia="Arial" w:hAnsi="Arial"/>
          <w:sz w:val="15"/>
          <w:szCs w:val="15"/>
          <w:i w:val="1"/>
          <w:iCs w:val="1"/>
          <w:color w:val="auto"/>
        </w:rPr>
        <w:t>Accounts receivable, net</w:t>
      </w:r>
      <w:r>
        <w:rPr>
          <w:rFonts w:ascii="Arial" w:cs="Arial" w:eastAsia="Arial" w:hAnsi="Arial"/>
          <w:sz w:val="15"/>
          <w:szCs w:val="15"/>
          <w:color w:val="auto"/>
        </w:rPr>
        <w:t xml:space="preserve"> and </w:t>
      </w:r>
      <w:r>
        <w:rPr>
          <w:rFonts w:ascii="Arial" w:cs="Arial" w:eastAsia="Arial" w:hAnsi="Arial"/>
          <w:sz w:val="15"/>
          <w:szCs w:val="15"/>
          <w:i w:val="1"/>
          <w:iCs w:val="1"/>
          <w:color w:val="auto"/>
        </w:rPr>
        <w:t>Preneed cemetery receivables, net</w:t>
      </w:r>
      <w:r>
        <w:rPr>
          <w:rFonts w:ascii="Arial" w:cs="Arial" w:eastAsia="Arial" w:hAnsi="Arial"/>
          <w:sz w:val="15"/>
          <w:szCs w:val="15"/>
          <w:color w:val="auto"/>
        </w:rPr>
        <w:t xml:space="preserve"> on our Consolidated Balance Sheet. Balances due on undelivered preneed cemetery contracts have been reclassified to reduce </w:t>
      </w:r>
      <w:r>
        <w:rPr>
          <w:rFonts w:ascii="Arial" w:cs="Arial" w:eastAsia="Arial" w:hAnsi="Arial"/>
          <w:sz w:val="15"/>
          <w:szCs w:val="15"/>
          <w:i w:val="1"/>
          <w:iCs w:val="1"/>
          <w:color w:val="auto"/>
        </w:rPr>
        <w:t>Deferred preneed cemetery revenue</w:t>
      </w:r>
      <w:r>
        <w:rPr>
          <w:rFonts w:ascii="Arial" w:cs="Arial" w:eastAsia="Arial" w:hAnsi="Arial"/>
          <w:sz w:val="15"/>
          <w:szCs w:val="15"/>
          <w:color w:val="auto"/>
        </w:rPr>
        <w:t xml:space="preserve"> on our Consolidated Balance Sheet. The transaction price allocated to preneed merchandise and service performance obligations that were unfulfilled were $7.9 million and $10.4 million at December 31, 2020 and 2021,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21 to the Consolidated Financial Statements herein for additional information related to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4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3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connection with the CARES Act, we filed a claim for a refund on June 30, 2020, to carryback the NOLs generated in the tax year ended December 31, 2018. The refund claim for $7.0 million from the 2018 tax year was received on August 7, 2020. As our refund claim filed for tax year 2018 exceeded $5.0 million, our 2018 federal return is under audit by the Internal Revenue Service (“IRS”), as required in order to receive Joint Committee approval.</w:t>
      </w:r>
    </w:p>
    <w:p>
      <w:pPr>
        <w:spacing w:after="0" w:line="4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An additional carryback claim for a refund was filed on November 3, 2020 for the tax year ended December 31, 2019, which has not yet been received. On December 4, 2020, Carriage filed an amended federal return for the tax year ended December 31, 2018, in order to take full advantage of the CARES Act legislative changes. The changes reported in the amended return resulted in additional $2.3 million of losses. The additional losses generated from the amended filing will be administratively carried back and processed as part of the Joint Committee review of the 2018 carryback claim.</w:t>
      </w:r>
    </w:p>
    <w:p>
      <w:pPr>
        <w:spacing w:after="0" w:line="5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majority of the NOLs generated in tax years 2018 and 2019 are the result of filing non-automatic accounting method changes relating to the recognition of revenue from our cemetery property and merchandise and services sales. These losses were carried back 5 years to tax years in which the enacted federal rate was 35%, under the CARES Act.</w:t>
      </w:r>
    </w:p>
    <w:p>
      <w:pPr>
        <w:spacing w:after="0" w:line="8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October 11, 2021, we received an adverse ruling from the IRS for the accounting method change filed in 2018 for revenue recognition of cemetery property. Approval is still pending for the accounting method change filed for revenue recognition of cemetery merchandise and services. Upon receiving the adverse ruling for cemetery property, we filed an automatic accounting method change on Form 3115, to adopt the IRS’ preferred method of revenue recognition for cemetery property effective for the year ending December 31, 2021, reflected in this filing. The accounting method change application was submitted under the “three-month window” rule, which would grant audit protection for the cumulative effect of the adverse ruling for revenue recognition of cemetery property, at the discretion of the IRS auditor currently reviewing our 2018 federal return. Due to the uncertainty of receiving audit protection for the Form 3115 and not yet receiving approval of the cemetery merchandise and services accounting method change filed in 2018, a reserve remains against the net cash tax benefit derived from carrying back the NOLs generated to tax years in which the enacted federal rate was 35%. Our unrecognized tax benefit reserve for the years ended December 31, 2019, 2020 and 2021 was $0.7 million, $3.7 million and $3.8 million, respectively.</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17 to the Consolidated Financial Statements included herein for additional information related to income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performance awards and our Convertible Notes (as defined in Note 13).</w:t>
      </w:r>
    </w:p>
    <w:p>
      <w:pPr>
        <w:spacing w:after="0" w:line="4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5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20 to the Consolidated Financial Statements included herein related to the computation of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evaluated events and transactions during the period subsequent to December 31, 2021 through the date the financial statements were issued for potential recognition or disclosure in the accompanying financial statements covered by this report.</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24 to the Consolidated Financial Statements included herein for additional information related to our subsequent events.</w:t>
      </w:r>
    </w:p>
    <w:p>
      <w:pPr>
        <w:spacing w:after="0" w:line="248" w:lineRule="exact"/>
        <w:rPr>
          <w:sz w:val="20"/>
          <w:szCs w:val="20"/>
          <w:color w:val="auto"/>
        </w:rPr>
      </w:pPr>
    </w:p>
    <w:p>
      <w:pPr>
        <w:ind w:right="7060" w:firstLine="5"/>
        <w:spacing w:after="0" w:line="553" w:lineRule="auto"/>
        <w:tabs>
          <w:tab w:leader="none" w:pos="17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RECENTLY ISSUED ACCOUNTING STANDARDS Accounting Pronouncements Not Yet Adopted</w:t>
      </w:r>
    </w:p>
    <w:p>
      <w:pPr>
        <w:spacing w:after="0"/>
        <w:rPr>
          <w:sz w:val="20"/>
          <w:szCs w:val="20"/>
          <w:color w:val="auto"/>
        </w:rPr>
      </w:pPr>
      <w:r>
        <w:rPr>
          <w:rFonts w:ascii="Arial" w:cs="Arial" w:eastAsia="Arial" w:hAnsi="Arial"/>
          <w:sz w:val="18"/>
          <w:szCs w:val="18"/>
          <w:i w:val="1"/>
          <w:iCs w:val="1"/>
          <w:color w:val="auto"/>
        </w:rPr>
        <w:t>Reference Rate Reform</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In March 2020, the FASB issued ASU,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We did not utilize the optional expedients and exceptions provided by this ASU during the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 Accounting for Contract Assets and Contract Liabilities from Contracts with Customers</w:t>
      </w:r>
    </w:p>
    <w:p>
      <w:pPr>
        <w:spacing w:after="0" w:line="10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In October 2021, the FASB issued ASU,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to improve the accounting for acquired revenue contracts with customers in a business combination. The amendments in this update provide specific guidance on how to recognize and measure acquired contract assets and contract liabilities from revenue contracts in a business combination. These amendments require that an entity (acquirer) recognize and measure contract assets and contract liabilities acquired in a business combination in accordance with ASC 606 – Revenue from Contracts with Customers (“Topic 606”). At the acquisition date, an acquirer should account for the related revenue contracts in accordance with Topic 606 as if it had originated the contracts. These amendments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We plan to adopt the provisions of this ASU for our fiscal year beginning January 1, 2023. We are still evaluating the impact of adoption on our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did not acquire any businesses in 2021. On January 3, 2020, we acquired one funeral home and cemetery combination business in Lafayette, California for $33.0 million in cash, of which $5.0 million was deposited in escrow in 2019 and $28.0 million was paid at closing in 2020. We acquired substantially all of the assets and assumed certain operating liabilities of these businesses.</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pro forma impact of this acquisition on prior periods is not presented, as the impact is not significant to our reported results. The results of the acquired business are reflected on our Consolidated Statements of Operations from the date of acquisition.</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Subsequent to our initial purchase price allocation for this acquisition made during the first quarter of 2020, we adjusted and finalized our purchase price allocation based on additional information that became available prior to December 31,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ind w:left="400"/>
              <w:spacing w:after="0"/>
              <w:rPr>
                <w:sz w:val="20"/>
                <w:szCs w:val="20"/>
                <w:color w:val="auto"/>
              </w:rPr>
            </w:pPr>
            <w:r>
              <w:rPr>
                <w:rFonts w:ascii="Arial" w:cs="Arial" w:eastAsia="Arial" w:hAnsi="Arial"/>
                <w:sz w:val="18"/>
                <w:szCs w:val="18"/>
                <w:color w:val="auto"/>
              </w:rPr>
              <w:t>The  following  table  summarizes  the  breakdown</w:t>
            </w:r>
          </w:p>
        </w:tc>
        <w:tc>
          <w:tcPr>
            <w:tcW w:w="1560" w:type="dxa"/>
            <w:vAlign w:val="bottom"/>
            <w:gridSpan w:val="2"/>
          </w:tcPr>
          <w:p>
            <w:pPr>
              <w:jc w:val="right"/>
              <w:ind w:right="1"/>
              <w:spacing w:after="0"/>
              <w:rPr>
                <w:sz w:val="20"/>
                <w:szCs w:val="20"/>
                <w:color w:val="auto"/>
              </w:rPr>
            </w:pPr>
            <w:r>
              <w:rPr>
                <w:rFonts w:ascii="Arial" w:cs="Arial" w:eastAsia="Arial" w:hAnsi="Arial"/>
                <w:sz w:val="18"/>
                <w:szCs w:val="18"/>
                <w:color w:val="auto"/>
              </w:rPr>
              <w:t>of  the  purchase</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w w:val="99"/>
              </w:rPr>
              <w:t>price  allocation</w:t>
            </w:r>
          </w:p>
        </w:tc>
        <w:tc>
          <w:tcPr>
            <w:tcW w:w="140" w:type="dxa"/>
            <w:vAlign w:val="bottom"/>
          </w:tcPr>
          <w:p>
            <w:pPr>
              <w:spacing w:after="0"/>
              <w:rPr>
                <w:sz w:val="19"/>
                <w:szCs w:val="19"/>
                <w:color w:val="auto"/>
              </w:rPr>
            </w:pPr>
          </w:p>
        </w:tc>
        <w:tc>
          <w:tcPr>
            <w:tcW w:w="2680" w:type="dxa"/>
            <w:vAlign w:val="bottom"/>
            <w:gridSpan w:val="3"/>
          </w:tcPr>
          <w:p>
            <w:pPr>
              <w:ind w:left="40"/>
              <w:spacing w:after="0"/>
              <w:rPr>
                <w:sz w:val="20"/>
                <w:szCs w:val="20"/>
                <w:color w:val="auto"/>
              </w:rPr>
            </w:pPr>
            <w:r>
              <w:rPr>
                <w:rFonts w:ascii="Arial" w:cs="Arial" w:eastAsia="Arial" w:hAnsi="Arial"/>
                <w:sz w:val="18"/>
                <w:szCs w:val="18"/>
                <w:color w:val="auto"/>
              </w:rPr>
              <w:t>for  our  2020  acquisition  (in</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thousands):</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gridSpan w:val="4"/>
          </w:tcPr>
          <w:p>
            <w:pPr>
              <w:ind w:left="420"/>
              <w:spacing w:after="0"/>
              <w:rPr>
                <w:sz w:val="20"/>
                <w:szCs w:val="20"/>
                <w:color w:val="auto"/>
              </w:rPr>
            </w:pPr>
            <w:r>
              <w:rPr>
                <w:rFonts w:ascii="Arial" w:cs="Arial" w:eastAsia="Arial" w:hAnsi="Arial"/>
                <w:sz w:val="16"/>
                <w:szCs w:val="16"/>
                <w:b w:val="1"/>
                <w:bCs w:val="1"/>
                <w:color w:val="auto"/>
              </w:rPr>
              <w:t>Initial Purchase Price</w:t>
            </w:r>
          </w:p>
        </w:tc>
        <w:tc>
          <w:tcPr>
            <w:tcW w:w="140" w:type="dxa"/>
            <w:vAlign w:val="bottom"/>
          </w:tcPr>
          <w:p>
            <w:pPr>
              <w:spacing w:after="0"/>
              <w:rPr>
                <w:sz w:val="16"/>
                <w:szCs w:val="16"/>
                <w:color w:val="auto"/>
              </w:rPr>
            </w:pPr>
          </w:p>
        </w:tc>
        <w:tc>
          <w:tcPr>
            <w:tcW w:w="14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Adjustments</w:t>
            </w:r>
          </w:p>
        </w:tc>
        <w:tc>
          <w:tcPr>
            <w:tcW w:w="180" w:type="dxa"/>
            <w:vAlign w:val="bottom"/>
            <w:vMerge w:val="restart"/>
          </w:tcPr>
          <w:p>
            <w:pPr>
              <w:spacing w:after="0"/>
              <w:rPr>
                <w:sz w:val="16"/>
                <w:szCs w:val="16"/>
                <w:color w:val="auto"/>
              </w:rPr>
            </w:pPr>
          </w:p>
        </w:tc>
        <w:tc>
          <w:tcPr>
            <w:tcW w:w="194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Adjusted Purchase</w:t>
            </w:r>
          </w:p>
        </w:tc>
        <w:tc>
          <w:tcPr>
            <w:tcW w:w="0" w:type="dxa"/>
            <w:vAlign w:val="bottom"/>
          </w:tcPr>
          <w:p>
            <w:pPr>
              <w:spacing w:after="0"/>
              <w:rPr>
                <w:sz w:val="1"/>
                <w:szCs w:val="1"/>
                <w:color w:val="auto"/>
              </w:rPr>
            </w:pPr>
          </w:p>
        </w:tc>
      </w:tr>
      <w:tr>
        <w:trPr>
          <w:trHeight w:val="208"/>
        </w:trPr>
        <w:tc>
          <w:tcPr>
            <w:tcW w:w="46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6"/>
                <w:szCs w:val="16"/>
                <w:b w:val="1"/>
                <w:bCs w:val="1"/>
                <w:color w:val="auto"/>
              </w:rPr>
              <w:t>Allocation</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Price Allocation</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Current assets</w:t>
            </w:r>
          </w:p>
        </w:tc>
        <w:tc>
          <w:tcPr>
            <w:tcW w:w="15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4600" w:type="dxa"/>
            <w:vAlign w:val="bottom"/>
          </w:tcPr>
          <w:p>
            <w:pPr>
              <w:ind w:left="420"/>
              <w:spacing w:after="0"/>
              <w:rPr>
                <w:sz w:val="20"/>
                <w:szCs w:val="20"/>
                <w:color w:val="auto"/>
              </w:rPr>
            </w:pPr>
            <w:r>
              <w:rPr>
                <w:rFonts w:ascii="Arial" w:cs="Arial" w:eastAsia="Arial" w:hAnsi="Arial"/>
                <w:sz w:val="18"/>
                <w:szCs w:val="18"/>
                <w:color w:val="auto"/>
              </w:rPr>
              <w:t>Trust investments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&amp; equipment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4600" w:type="dxa"/>
            <w:vAlign w:val="bottom"/>
          </w:tcPr>
          <w:p>
            <w:pPr>
              <w:ind w:left="420"/>
              <w:spacing w:after="0"/>
              <w:rPr>
                <w:sz w:val="20"/>
                <w:szCs w:val="20"/>
                <w:color w:val="auto"/>
              </w:rPr>
            </w:pPr>
            <w:r>
              <w:rPr>
                <w:rFonts w:ascii="Arial" w:cs="Arial" w:eastAsia="Arial" w:hAnsi="Arial"/>
                <w:sz w:val="18"/>
                <w:szCs w:val="18"/>
                <w:color w:val="auto"/>
              </w:rPr>
              <w:t>Cemetery property</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14,753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0" w:type="dxa"/>
            <w:vAlign w:val="bottom"/>
          </w:tcPr>
          <w:p>
            <w:pPr>
              <w:spacing w:after="0"/>
              <w:rPr>
                <w:sz w:val="1"/>
                <w:szCs w:val="1"/>
                <w:color w:val="auto"/>
              </w:rPr>
            </w:pPr>
          </w:p>
        </w:tc>
      </w:tr>
      <w:tr>
        <w:trPr>
          <w:trHeight w:val="223"/>
        </w:trPr>
        <w:tc>
          <w:tcPr>
            <w:tcW w:w="4600" w:type="dxa"/>
            <w:vAlign w:val="bottom"/>
          </w:tcPr>
          <w:p>
            <w:pPr>
              <w:ind w:left="420"/>
              <w:spacing w:after="0"/>
              <w:rPr>
                <w:sz w:val="20"/>
                <w:szCs w:val="20"/>
                <w:color w:val="auto"/>
              </w:rPr>
            </w:pPr>
            <w:r>
              <w:rPr>
                <w:rFonts w:ascii="Arial" w:cs="Arial" w:eastAsia="Arial" w:hAnsi="Arial"/>
                <w:sz w:val="18"/>
                <w:szCs w:val="18"/>
                <w:color w:val="auto"/>
              </w:rPr>
              <w:t>Intangible and other non-current assets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Assumed liabilities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3"/>
        </w:trPr>
        <w:tc>
          <w:tcPr>
            <w:tcW w:w="460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Trust liabilities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Purchase price</w:t>
            </w:r>
          </w:p>
        </w:tc>
        <w:tc>
          <w:tcPr>
            <w:tcW w:w="15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current assets primarily relate to preneed cemetery receivables. The intangible and other non-current assets primarily relate to the fair value of tradenames. The assumed liabilities primarily relate to the obligations associated with delivered preneed merchandise that were not paid for prior to acquisition. The goodwill recorded for our 2020 acquisition is expected to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Many of the former owners and staff of our acquired funeral homes and certain cemeteries have provided high quality service to families for generations, which often represents a substantial portion of the value of a business. The excess of the purchase price over the fair value of identifiable net assets of funeral home businesses and cemeteries acquired is recorded as goodwill.</w:t>
      </w:r>
    </w:p>
    <w:p>
      <w:pPr>
        <w:spacing w:after="0" w:line="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Our goodwill has an indefinite life and is not subject to amortization. As such, we test goodwill for impairment on an annual basis as of August 31st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our 2021 annual impairment test, we performed a qualitative assessment and determined that there was no impairment to goodwill.</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2020, as a result of economic conditions caused by COVID-19, we performed a quantitative assessment of our goodwill and we recorded an impairment to goodwill of $13.6 million, as the carrying amount of our funeral homes in the Eastern Region Reporting Unit exceeded the fair value.</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our 2020 annual impairment test, we performed a qualitative assessment and determined that there was no additional impairment to goodwill.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changes in goodwill in the accompanying Consolidated Balance Sheet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1660" w:type="dxa"/>
            <w:vAlign w:val="bottom"/>
          </w:tcPr>
          <w:p>
            <w:pPr>
              <w:jc w:val="right"/>
              <w:ind w:right="194"/>
              <w:spacing w:after="0"/>
              <w:rPr>
                <w:sz w:val="20"/>
                <w:szCs w:val="20"/>
                <w:color w:val="auto"/>
              </w:rPr>
            </w:pPr>
            <w:r>
              <w:rPr>
                <w:rFonts w:ascii="Arial" w:cs="Arial" w:eastAsia="Arial" w:hAnsi="Arial"/>
                <w:sz w:val="16"/>
                <w:szCs w:val="16"/>
                <w:b w:val="1"/>
                <w:bCs w:val="1"/>
                <w:color w:val="auto"/>
                <w:w w:val="94"/>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the beginning of year</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398,292</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392,978</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in goodwill related to acquisitions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goodwill related to divestitures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goodwill related to impairments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Goodwill at the end of the year</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392,978</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391,972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 xml:space="preserve">During the year ended December 31, 2021, we allocated $1.0 million of goodwill to the sale of one funeral home for a loss recorded in </w:t>
      </w:r>
      <w:r>
        <w:rPr>
          <w:rFonts w:ascii="Arial" w:cs="Arial" w:eastAsia="Arial" w:hAnsi="Arial"/>
          <w:sz w:val="18"/>
          <w:szCs w:val="18"/>
          <w:i w:val="1"/>
          <w:iCs w:val="1"/>
          <w:color w:val="auto"/>
        </w:rPr>
        <w:t>Net loss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disposals and impairment charges </w:t>
      </w:r>
      <w:r>
        <w:rPr>
          <w:rFonts w:ascii="Arial" w:cs="Arial" w:eastAsia="Arial" w:hAnsi="Arial"/>
          <w:sz w:val="18"/>
          <w:szCs w:val="18"/>
          <w:color w:val="auto"/>
        </w:rPr>
        <w:t>on our Consolidated Statements of Operations. Goodwill is only allocated to the sale if the set is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a business. When we divest a portion of a reporting unit that constitutes a business in accordance with U.S. GAAP, we allocate goodwill associated with that business to be included in the gain or loss on divestiture. When divesting a business, goodwill is allocated based on the relative fair values of the business being divested and the portion of the reporting unit that will be retained.</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During the year ended December 31, 2020, we recognized $14.1 million in goodwill related to our acquisitions; $10.4 million was allocated to our cemetery segment and $3.7 million was allocated to our funeral home segment. In addition, we allocated $5.7 million of goodwill to the sale of five funeral homes for a loss recorded in </w:t>
      </w:r>
      <w:r>
        <w:rPr>
          <w:rFonts w:ascii="Arial" w:cs="Arial" w:eastAsia="Arial" w:hAnsi="Arial"/>
          <w:sz w:val="18"/>
          <w:szCs w:val="18"/>
          <w:i w:val="1"/>
          <w:iCs w:val="1"/>
          <w:color w:val="auto"/>
        </w:rPr>
        <w:t>Net loss on divestitures, disposals and impairment charges</w:t>
      </w:r>
      <w:r>
        <w:rPr>
          <w:rFonts w:ascii="Arial" w:cs="Arial" w:eastAsia="Arial" w:hAnsi="Arial"/>
          <w:sz w:val="18"/>
          <w:szCs w:val="18"/>
          <w:color w:val="auto"/>
        </w:rPr>
        <w:t>.</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Notes 1, 3 and 5 to the Consolidated Financial Statements included herein, for a discussion of the methodology used for our annual goodwill impairment test and a discussion of our acquisitions and divestitures,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DIVESTED OPERATIONS</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During 2021, we sold two funeral homes and one cemetery for $2.5 million and we merged six funeral homes with other businesses we own in existing markets. During 2020, we sold eight funeral homes for $8.4 million. During 2019, we divested three funeral homes whose building leases expired and sold a funeral home for $0.9 million. In addition, we merged a funeral home with a business we own in an existing market.</w:t>
      </w:r>
    </w:p>
    <w:p>
      <w:pPr>
        <w:spacing w:after="0" w:line="4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operating results of these divested funeral homes and cemeteries are reflected on our Consolidated Statements of Operations as shown in the table below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Years Ended December 31,</w:t>
            </w:r>
          </w:p>
        </w:tc>
        <w:tc>
          <w:tcPr>
            <w:tcW w:w="780" w:type="dxa"/>
            <w:vAlign w:val="bottom"/>
            <w:tcBorders>
              <w:bottom w:val="single" w:sz="8" w:color="auto"/>
            </w:tcBorders>
          </w:tcPr>
          <w:p>
            <w:pPr>
              <w:spacing w:after="0"/>
              <w:rPr>
                <w:sz w:val="18"/>
                <w:szCs w:val="18"/>
                <w:color w:val="auto"/>
              </w:rPr>
            </w:pPr>
          </w:p>
        </w:tc>
      </w:tr>
      <w:tr>
        <w:trPr>
          <w:trHeight w:val="204"/>
        </w:trPr>
        <w:tc>
          <w:tcPr>
            <w:tcW w:w="5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2021</w:t>
            </w: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105"/>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240" w:type="dxa"/>
            <w:vAlign w:val="bottom"/>
          </w:tcPr>
          <w:p>
            <w:pPr>
              <w:ind w:left="20"/>
              <w:spacing w:after="0" w:line="250" w:lineRule="exact"/>
              <w:rPr>
                <w:sz w:val="20"/>
                <w:szCs w:val="20"/>
                <w:color w:val="auto"/>
              </w:rPr>
            </w:pPr>
            <w:r>
              <w:rPr>
                <w:rFonts w:ascii="Arial" w:cs="Arial" w:eastAsia="Arial" w:hAnsi="Arial"/>
                <w:sz w:val="18"/>
                <w:szCs w:val="18"/>
                <w:color w:val="auto"/>
              </w:rPr>
              <w:t>Net loss on divestitures</w:t>
            </w:r>
            <w:r>
              <w:rPr>
                <w:rFonts w:ascii="Arial" w:cs="Arial" w:eastAsia="Arial" w:hAnsi="Arial"/>
                <w:sz w:val="22"/>
                <w:szCs w:val="22"/>
                <w:color w:val="auto"/>
                <w:vertAlign w:val="superscript"/>
              </w:rPr>
              <w:t>(1)</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Net loss from divested operations, after tax</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108585</wp:posOffset>
            </wp:positionV>
            <wp:extent cx="7110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67" w:lineRule="exact"/>
        <w:rPr>
          <w:sz w:val="20"/>
          <w:szCs w:val="20"/>
          <w:color w:val="auto"/>
        </w:rPr>
      </w:pPr>
    </w:p>
    <w:p>
      <w:pPr>
        <w:ind w:left="420" w:hanging="378"/>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Net loss on divestitures is recorded in </w:t>
      </w:r>
      <w:r>
        <w:rPr>
          <w:rFonts w:ascii="Arial" w:cs="Arial" w:eastAsia="Arial" w:hAnsi="Arial"/>
          <w:sz w:val="16"/>
          <w:szCs w:val="16"/>
          <w:i w:val="1"/>
          <w:iCs w:val="1"/>
          <w:color w:val="auto"/>
        </w:rPr>
        <w:t>Net loss on divestitures, disposals and impairment charges</w:t>
      </w:r>
      <w:r>
        <w:rPr>
          <w:rFonts w:ascii="Arial" w:cs="Arial" w:eastAsia="Arial" w:hAnsi="Arial"/>
          <w:sz w:val="16"/>
          <w:szCs w:val="16"/>
          <w:color w:val="auto"/>
        </w:rPr>
        <w:t xml:space="preserve"> on our Consolidated Statements of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receivable is comprised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December 31, 2021</w:t>
            </w: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53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Funeral</w:t>
            </w:r>
          </w:p>
        </w:tc>
        <w:tc>
          <w:tcPr>
            <w:tcW w:w="2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Cemetery</w:t>
            </w:r>
          </w:p>
        </w:tc>
        <w:tc>
          <w:tcPr>
            <w:tcW w:w="2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r>
      <w:tr>
        <w:trPr>
          <w:trHeight w:val="220"/>
        </w:trPr>
        <w:tc>
          <w:tcPr>
            <w:tcW w:w="53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Trade and financed receivables</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24,357</w:t>
            </w:r>
          </w:p>
        </w:tc>
        <w:tc>
          <w:tcPr>
            <w:tcW w:w="40" w:type="dxa"/>
            <w:vAlign w:val="bottom"/>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1,947</w:t>
            </w:r>
          </w:p>
        </w:tc>
        <w:tc>
          <w:tcPr>
            <w:tcW w:w="40" w:type="dxa"/>
            <w:vAlign w:val="bottom"/>
          </w:tcPr>
          <w:p>
            <w:pPr>
              <w:spacing w:after="0"/>
              <w:rPr>
                <w:sz w:val="19"/>
                <w:szCs w:val="19"/>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19"/>
                <w:szCs w:val="19"/>
                <w:color w:val="auto"/>
              </w:rPr>
            </w:pPr>
          </w:p>
        </w:tc>
      </w:tr>
      <w:tr>
        <w:trPr>
          <w:trHeight w:val="217"/>
        </w:trPr>
        <w:tc>
          <w:tcPr>
            <w:tcW w:w="5300" w:type="dxa"/>
            <w:vAlign w:val="bottom"/>
          </w:tcPr>
          <w:p>
            <w:pPr>
              <w:ind w:left="20"/>
              <w:spacing w:after="0" w:line="203" w:lineRule="exact"/>
              <w:rPr>
                <w:sz w:val="20"/>
                <w:szCs w:val="20"/>
                <w:color w:val="auto"/>
              </w:rPr>
            </w:pPr>
            <w:r>
              <w:rPr>
                <w:rFonts w:ascii="Arial" w:cs="Arial" w:eastAsia="Arial" w:hAnsi="Arial"/>
                <w:sz w:val="18"/>
                <w:szCs w:val="18"/>
                <w:color w:val="auto"/>
              </w:rPr>
              <w:t>Accounts receivable, net</w:t>
            </w:r>
          </w:p>
        </w:tc>
        <w:tc>
          <w:tcPr>
            <w:tcW w:w="4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25,314</w:t>
            </w:r>
          </w:p>
        </w:tc>
        <w:tc>
          <w:tcPr>
            <w:tcW w:w="4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8"/>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December 31,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4"/>
        </w:trPr>
        <w:tc>
          <w:tcPr>
            <w:tcW w:w="53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Funeral</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Cemetery</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88"/>
              </w:rPr>
              <w:t>Corporate</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Total</w:t>
            </w:r>
          </w:p>
        </w:tc>
      </w:tr>
      <w:tr>
        <w:trPr>
          <w:trHeight w:val="220"/>
        </w:trPr>
        <w:tc>
          <w:tcPr>
            <w:tcW w:w="53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Trade and financed receivables</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23,678</w:t>
            </w:r>
          </w:p>
        </w:tc>
        <w:tc>
          <w:tcPr>
            <w:tcW w:w="40" w:type="dxa"/>
            <w:vAlign w:val="bottom"/>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2,712</w:t>
            </w:r>
          </w:p>
        </w:tc>
        <w:tc>
          <w:tcPr>
            <w:tcW w:w="40" w:type="dxa"/>
            <w:vAlign w:val="bottom"/>
          </w:tcPr>
          <w:p>
            <w:pPr>
              <w:spacing w:after="0"/>
              <w:rPr>
                <w:sz w:val="19"/>
                <w:szCs w:val="19"/>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r>
      <w:tr>
        <w:trPr>
          <w:trHeight w:val="217"/>
        </w:trPr>
        <w:tc>
          <w:tcPr>
            <w:tcW w:w="5300" w:type="dxa"/>
            <w:vAlign w:val="bottom"/>
          </w:tcPr>
          <w:p>
            <w:pPr>
              <w:ind w:left="20"/>
              <w:spacing w:after="0" w:line="203" w:lineRule="exact"/>
              <w:rPr>
                <w:sz w:val="20"/>
                <w:szCs w:val="20"/>
                <w:color w:val="auto"/>
              </w:rPr>
            </w:pPr>
            <w:r>
              <w:rPr>
                <w:rFonts w:ascii="Arial" w:cs="Arial" w:eastAsia="Arial" w:hAnsi="Arial"/>
                <w:sz w:val="18"/>
                <w:szCs w:val="18"/>
                <w:color w:val="auto"/>
              </w:rPr>
              <w:t>Accounts receivable, net</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25,103</w:t>
            </w:r>
          </w:p>
        </w:tc>
        <w:tc>
          <w:tcPr>
            <w:tcW w:w="4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activity in our allowance for credit losses by portfolio segment for the year ended December 31, 2021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1,</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Provision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6"/>
              </w:rPr>
              <w:t>Write Offs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Recoveries</w:t>
            </w:r>
          </w:p>
        </w:tc>
        <w:tc>
          <w:tcPr>
            <w:tcW w:w="14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5"/>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Credit Losses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Trade and financed receivables: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Funeral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4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Cemetery</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allowance for credit losses on Trade and financed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48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Preneed Cemetery Receivables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220" w:type="dxa"/>
            <w:vAlign w:val="bottom"/>
            <w:gridSpan w:val="4"/>
          </w:tcPr>
          <w:p>
            <w:pPr>
              <w:ind w:left="400"/>
              <w:spacing w:after="0"/>
              <w:rPr>
                <w:sz w:val="20"/>
                <w:szCs w:val="20"/>
                <w:color w:val="auto"/>
              </w:rPr>
            </w:pPr>
            <w:r>
              <w:rPr>
                <w:rFonts w:ascii="Arial" w:cs="Arial" w:eastAsia="Arial" w:hAnsi="Arial"/>
                <w:sz w:val="18"/>
                <w:szCs w:val="18"/>
                <w:color w:val="auto"/>
                <w:w w:val="90"/>
              </w:rPr>
              <w:t>Our preneed cemetery receivables are comprised of the following (in thousands):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6"/>
                <w:szCs w:val="16"/>
                <w:b w:val="1"/>
                <w:bCs w:val="1"/>
                <w:color w:val="auto"/>
                <w:w w:val="90"/>
              </w:rPr>
              <w:t>December 31, 2020</w:t>
            </w:r>
          </w:p>
        </w:tc>
        <w:tc>
          <w:tcPr>
            <w:tcW w:w="2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Interment rights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36,425</w:t>
            </w:r>
          </w:p>
        </w:tc>
        <w:tc>
          <w:tcPr>
            <w:tcW w:w="72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Merchandise and services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6,449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finance charges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4,348</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7"/>
        </w:trPr>
        <w:tc>
          <w:tcPr>
            <w:tcW w:w="5080" w:type="dxa"/>
            <w:vAlign w:val="bottom"/>
          </w:tcPr>
          <w:p>
            <w:pPr>
              <w:ind w:left="20"/>
              <w:spacing w:after="0" w:line="203" w:lineRule="exact"/>
              <w:rPr>
                <w:sz w:val="20"/>
                <w:szCs w:val="20"/>
                <w:color w:val="auto"/>
              </w:rPr>
            </w:pPr>
            <w:r>
              <w:rPr>
                <w:rFonts w:ascii="Arial" w:cs="Arial" w:eastAsia="Arial" w:hAnsi="Arial"/>
                <w:sz w:val="18"/>
                <w:szCs w:val="18"/>
                <w:color w:val="auto"/>
              </w:rPr>
              <w:t>Preneed cemetery receivables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47,222</w:t>
            </w:r>
          </w:p>
        </w:tc>
        <w:tc>
          <w:tcPr>
            <w:tcW w:w="72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52,855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our preneed cemetery receivables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cemetery receivables</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unearned finance charges</w:t>
            </w: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Preneed cemetery receivables, at amortized cost</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48,211</w:t>
            </w:r>
          </w:p>
        </w:tc>
        <w:tc>
          <w:tcPr>
            <w:tcW w:w="0" w:type="dxa"/>
            <w:vAlign w:val="bottom"/>
          </w:tcPr>
          <w:p>
            <w:pPr>
              <w:spacing w:after="0"/>
              <w:rPr>
                <w:sz w:val="1"/>
                <w:szCs w:val="1"/>
                <w:color w:val="auto"/>
              </w:rPr>
            </w:pPr>
          </w:p>
        </w:tc>
      </w:tr>
      <w:tr>
        <w:trPr>
          <w:trHeight w:val="217"/>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Less: allowance for credit losses</w:t>
            </w:r>
          </w:p>
        </w:tc>
        <w:tc>
          <w:tcPr>
            <w:tcW w:w="2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balances due on undelivered cemetery preneed contracts</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in accounts receivable</w:t>
            </w: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Preneed cemetery receivables, net</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1512"/>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9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6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 xml:space="preserve">The following table summarizes the activity in our allowance for credit losses for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for the year ended December 31, 2021 (in thousands):</w:t>
      </w:r>
    </w:p>
    <w:tbl>
      <w:tblPr>
        <w:tblLayout w:type="fixed"/>
        <w:tblInd w:w="0" w:type="dxa"/>
        <w:tblCellMar>
          <w:top w:w="0" w:type="dxa"/>
          <w:left w:w="0" w:type="dxa"/>
          <w:bottom w:w="0" w:type="dxa"/>
          <w:right w:w="0" w:type="dxa"/>
        </w:tblCellMar>
      </w:tblPr>
      <w:tr>
        <w:trPr>
          <w:trHeight w:val="167"/>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0"/>
              </w:rPr>
              <w:t>January 1,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ind w:left="220"/>
              <w:spacing w:after="0" w:line="168" w:lineRule="exact"/>
              <w:rPr>
                <w:sz w:val="20"/>
                <w:szCs w:val="20"/>
                <w:color w:val="auto"/>
              </w:rPr>
            </w:pPr>
            <w:r>
              <w:rPr>
                <w:rFonts w:ascii="Arial" w:cs="Arial" w:eastAsia="Arial" w:hAnsi="Arial"/>
                <w:sz w:val="16"/>
                <w:szCs w:val="16"/>
                <w:b w:val="1"/>
                <w:bCs w:val="1"/>
                <w:color w:val="auto"/>
              </w:rPr>
              <w:t>Provision for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Write Offs</w:t>
            </w:r>
          </w:p>
        </w:tc>
        <w:tc>
          <w:tcPr>
            <w:tcW w:w="160" w:type="dxa"/>
            <w:vAlign w:val="bottom"/>
            <w:gridSpan w:val="2"/>
            <w:vMerge w:val="restart"/>
          </w:tcPr>
          <w:p>
            <w:pPr>
              <w:spacing w:after="0"/>
              <w:rPr>
                <w:sz w:val="14"/>
                <w:szCs w:val="14"/>
                <w:color w:val="auto"/>
              </w:rPr>
            </w:pPr>
          </w:p>
        </w:tc>
        <w:tc>
          <w:tcPr>
            <w:tcW w:w="132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w w:val="88"/>
              </w:rPr>
              <w:t>December 31, 2021</w:t>
            </w:r>
          </w:p>
        </w:tc>
        <w:tc>
          <w:tcPr>
            <w:tcW w:w="0" w:type="dxa"/>
            <w:vAlign w:val="bottom"/>
          </w:tcPr>
          <w:p>
            <w:pPr>
              <w:spacing w:after="0"/>
              <w:rPr>
                <w:sz w:val="1"/>
                <w:szCs w:val="1"/>
                <w:color w:val="auto"/>
              </w:rPr>
            </w:pPr>
          </w:p>
        </w:tc>
      </w:tr>
      <w:tr>
        <w:trPr>
          <w:trHeight w:val="208"/>
        </w:trPr>
        <w:tc>
          <w:tcPr>
            <w:tcW w:w="2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Credit Losses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vMerge w:val="continue"/>
          </w:tcPr>
          <w:p>
            <w:pPr>
              <w:spacing w:after="0"/>
              <w:rPr>
                <w:sz w:val="18"/>
                <w:szCs w:val="18"/>
                <w:color w:val="auto"/>
              </w:rPr>
            </w:pPr>
          </w:p>
        </w:tc>
        <w:tc>
          <w:tcPr>
            <w:tcW w:w="16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w w:val="91"/>
              </w:rPr>
              <w:t xml:space="preserve">Total allowance for credit losses on </w:t>
            </w:r>
            <w:r>
              <w:rPr>
                <w:rFonts w:ascii="Arial" w:cs="Arial" w:eastAsia="Arial" w:hAnsi="Arial"/>
                <w:sz w:val="18"/>
                <w:szCs w:val="18"/>
                <w:i w:val="1"/>
                <w:iCs w:val="1"/>
                <w:color w:val="auto"/>
                <w:w w:val="91"/>
              </w:rPr>
              <w:t>Preneed cemetery receivables, net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8"/>
              </w:rPr>
              <w:t>1,108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0100" w:type="dxa"/>
            <w:vAlign w:val="bottom"/>
            <w:gridSpan w:val="38"/>
          </w:tcPr>
          <w:p>
            <w:pPr>
              <w:ind w:left="400"/>
              <w:spacing w:after="0"/>
              <w:rPr>
                <w:sz w:val="20"/>
                <w:szCs w:val="20"/>
                <w:color w:val="auto"/>
              </w:rPr>
            </w:pPr>
            <w:r>
              <w:rPr>
                <w:rFonts w:ascii="Arial" w:cs="Arial" w:eastAsia="Arial" w:hAnsi="Arial"/>
                <w:sz w:val="18"/>
                <w:szCs w:val="18"/>
                <w:color w:val="auto"/>
                <w:w w:val="87"/>
              </w:rPr>
              <w:t>The amortized cost basis of our preneed cemetery receivables by year of origination as of December 31, 2021 is as follows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Prior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Total preneed cemetery receivables, at</w:t>
            </w:r>
          </w:p>
        </w:tc>
        <w:tc>
          <w:tcPr>
            <w:tcW w:w="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2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6,723</w:t>
            </w:r>
          </w:p>
        </w:tc>
        <w:tc>
          <w:tcPr>
            <w:tcW w:w="120" w:type="dxa"/>
            <w:vAlign w:val="bottom"/>
            <w:gridSpan w:val="2"/>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3,158</w:t>
            </w: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1,198</w:t>
            </w:r>
          </w:p>
        </w:tc>
        <w:tc>
          <w:tcPr>
            <w:tcW w:w="6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48,211</w:t>
            </w: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 cost</w:t>
            </w:r>
          </w:p>
        </w:tc>
        <w:tc>
          <w:tcPr>
            <w:tcW w:w="26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8300" w:type="dxa"/>
            <w:vAlign w:val="bottom"/>
            <w:gridSpan w:val="27"/>
          </w:tcPr>
          <w:p>
            <w:pPr>
              <w:ind w:left="400"/>
              <w:spacing w:after="0"/>
              <w:rPr>
                <w:sz w:val="20"/>
                <w:szCs w:val="20"/>
                <w:color w:val="auto"/>
              </w:rPr>
            </w:pPr>
            <w:r>
              <w:rPr>
                <w:rFonts w:ascii="Arial" w:cs="Arial" w:eastAsia="Arial" w:hAnsi="Arial"/>
                <w:sz w:val="18"/>
                <w:szCs w:val="18"/>
                <w:color w:val="auto"/>
                <w:w w:val="92"/>
              </w:rPr>
              <w:t>The aging of past due preneed cemetery receivables as of December 31, 2021 is as follows (in thousands):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60"/>
              <w:spacing w:after="0" w:line="159" w:lineRule="exact"/>
              <w:rPr>
                <w:sz w:val="20"/>
                <w:szCs w:val="20"/>
                <w:color w:val="auto"/>
              </w:rPr>
            </w:pPr>
            <w:r>
              <w:rPr>
                <w:rFonts w:ascii="Arial" w:cs="Arial" w:eastAsia="Arial" w:hAnsi="Arial"/>
                <w:sz w:val="14"/>
                <w:szCs w:val="14"/>
                <w:color w:val="auto"/>
              </w:rPr>
              <w:t>31-60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80"/>
              <w:spacing w:after="0" w:line="159" w:lineRule="exact"/>
              <w:rPr>
                <w:sz w:val="20"/>
                <w:szCs w:val="20"/>
                <w:color w:val="auto"/>
              </w:rPr>
            </w:pPr>
            <w:r>
              <w:rPr>
                <w:rFonts w:ascii="Arial" w:cs="Arial" w:eastAsia="Arial" w:hAnsi="Arial"/>
                <w:sz w:val="14"/>
                <w:szCs w:val="14"/>
                <w:color w:val="auto"/>
              </w:rPr>
              <w:t>61-90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rPr>
              <w:t>91-120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98"/>
              <w:spacing w:after="0" w:line="159" w:lineRule="exact"/>
              <w:rPr>
                <w:sz w:val="20"/>
                <w:szCs w:val="20"/>
                <w:color w:val="auto"/>
              </w:rPr>
            </w:pPr>
            <w:r>
              <w:rPr>
                <w:rFonts w:ascii="Arial" w:cs="Arial" w:eastAsia="Arial" w:hAnsi="Arial"/>
                <w:sz w:val="14"/>
                <w:szCs w:val="14"/>
                <w:color w:val="auto"/>
                <w:w w:val="88"/>
              </w:rPr>
              <w:t>&gt;120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360"/>
              <w:spacing w:after="0" w:line="159" w:lineRule="exact"/>
              <w:rPr>
                <w:sz w:val="20"/>
                <w:szCs w:val="20"/>
                <w:color w:val="auto"/>
              </w:rPr>
            </w:pPr>
            <w:r>
              <w:rPr>
                <w:rFonts w:ascii="Arial" w:cs="Arial" w:eastAsia="Arial" w:hAnsi="Arial"/>
                <w:sz w:val="14"/>
                <w:szCs w:val="14"/>
                <w:color w:val="auto"/>
                <w:w w:val="88"/>
              </w:rPr>
              <w:t>Total Past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Current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tcPr>
          <w:p>
            <w:pPr>
              <w:spacing w:after="0" w:line="159" w:lineRule="exact"/>
              <w:rPr>
                <w:sz w:val="20"/>
                <w:szCs w:val="20"/>
                <w:color w:val="auto"/>
              </w:rPr>
            </w:pPr>
            <w:r>
              <w:rPr>
                <w:rFonts w:ascii="Arial" w:cs="Arial" w:eastAsia="Arial" w:hAnsi="Arial"/>
                <w:sz w:val="14"/>
                <w:szCs w:val="14"/>
                <w:color w:val="auto"/>
              </w:rPr>
              <w:t>Total Financing</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Past Due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w w:val="97"/>
              </w:rPr>
              <w:t>Past Due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color w:val="auto"/>
                <w:w w:val="97"/>
              </w:rPr>
              <w:t>Past Due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4"/>
                <w:szCs w:val="14"/>
                <w:color w:val="auto"/>
                <w:w w:val="83"/>
              </w:rPr>
              <w:t>Past Due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color w:val="auto"/>
                <w:w w:val="93"/>
              </w:rPr>
              <w:t>Due</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4"/>
                <w:szCs w:val="14"/>
                <w:color w:val="auto"/>
                <w:w w:val="96"/>
              </w:rPr>
              <w:t>Receivables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Recognized revenue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34,214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954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87"/>
              </w:rPr>
              <w:t>14,043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contracts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48,257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aging of past due preneed cemetery receivables as of December 31, 2020 is as follows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color w:val="auto"/>
              </w:rPr>
              <w:t>31-60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color w:val="auto"/>
              </w:rPr>
              <w:t>61-90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9"/>
              <w:spacing w:after="0"/>
              <w:rPr>
                <w:sz w:val="20"/>
                <w:szCs w:val="20"/>
                <w:color w:val="auto"/>
              </w:rPr>
            </w:pPr>
            <w:r>
              <w:rPr>
                <w:rFonts w:ascii="Arial" w:cs="Arial" w:eastAsia="Arial" w:hAnsi="Arial"/>
                <w:sz w:val="14"/>
                <w:szCs w:val="14"/>
                <w:color w:val="auto"/>
              </w:rPr>
              <w:t>91-120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color w:val="auto"/>
              </w:rPr>
              <w:t>&gt;120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Total Past</w:t>
            </w:r>
          </w:p>
        </w:tc>
        <w:tc>
          <w:tcPr>
            <w:tcW w:w="2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color w:val="auto"/>
              </w:rPr>
              <w:t>Current</w:t>
            </w:r>
          </w:p>
        </w:tc>
        <w:tc>
          <w:tcPr>
            <w:tcW w:w="140" w:type="dxa"/>
            <w:vAlign w:val="bottom"/>
          </w:tcPr>
          <w:p>
            <w:pPr>
              <w:spacing w:after="0"/>
              <w:rPr>
                <w:sz w:val="14"/>
                <w:szCs w:val="14"/>
                <w:color w:val="auto"/>
              </w:rPr>
            </w:pPr>
          </w:p>
        </w:tc>
        <w:tc>
          <w:tcPr>
            <w:tcW w:w="1120" w:type="dxa"/>
            <w:vAlign w:val="bottom"/>
          </w:tcPr>
          <w:p>
            <w:pPr>
              <w:jc w:val="right"/>
              <w:ind w:right="119"/>
              <w:spacing w:after="0"/>
              <w:rPr>
                <w:sz w:val="20"/>
                <w:szCs w:val="20"/>
                <w:color w:val="auto"/>
              </w:rPr>
            </w:pPr>
            <w:r>
              <w:rPr>
                <w:rFonts w:ascii="Arial" w:cs="Arial" w:eastAsia="Arial" w:hAnsi="Arial"/>
                <w:sz w:val="14"/>
                <w:szCs w:val="14"/>
                <w:color w:val="auto"/>
                <w:w w:val="93"/>
              </w:rPr>
              <w:t>Total Financing</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Due</w:t>
            </w: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color w:val="auto"/>
              </w:rPr>
              <w:t>Receivables</w:t>
            </w:r>
          </w:p>
        </w:tc>
        <w:tc>
          <w:tcPr>
            <w:tcW w:w="0" w:type="dxa"/>
            <w:vAlign w:val="bottom"/>
          </w:tcPr>
          <w:p>
            <w:pPr>
              <w:spacing w:after="0"/>
              <w:rPr>
                <w:sz w:val="1"/>
                <w:szCs w:val="1"/>
                <w:color w:val="auto"/>
              </w:rPr>
            </w:pPr>
          </w:p>
        </w:tc>
      </w:tr>
      <w:tr>
        <w:trPr>
          <w:trHeight w:val="219"/>
        </w:trPr>
        <w:tc>
          <w:tcPr>
            <w:tcW w:w="30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Recognized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42"/>
        </w:trPr>
        <w:tc>
          <w:tcPr>
            <w:tcW w:w="3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TRUST INVESTMENTS</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9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Arial" w:cs="Arial" w:eastAsia="Arial" w:hAnsi="Arial"/>
          <w:sz w:val="18"/>
          <w:szCs w:val="18"/>
          <w:i w:val="1"/>
          <w:iCs w:val="1"/>
          <w:color w:val="auto"/>
        </w:rPr>
        <w:t>Other revenue.</w:t>
      </w:r>
    </w:p>
    <w:p>
      <w:pPr>
        <w:spacing w:after="0" w:line="8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10 to the Consolidated Financial Statements included herein for further information of the fair value measurement.</w:t>
      </w:r>
    </w:p>
    <w:p>
      <w:pPr>
        <w:spacing w:after="0" w:line="8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Changes in the fair value of our trust fund assets (</w:t>
      </w:r>
      <w:r>
        <w:rPr>
          <w:rFonts w:ascii="Arial" w:cs="Arial" w:eastAsia="Arial" w:hAnsi="Arial"/>
          <w:sz w:val="18"/>
          <w:szCs w:val="18"/>
          <w:i w:val="1"/>
          <w:iCs w:val="1"/>
          <w:color w:val="auto"/>
        </w:rPr>
        <w:t>Preneed funeral, cemetery and perpetual care trust investments</w:t>
      </w:r>
      <w:r>
        <w:rPr>
          <w:rFonts w:ascii="Arial" w:cs="Arial" w:eastAsia="Arial" w:hAnsi="Arial"/>
          <w:sz w:val="18"/>
          <w:szCs w:val="18"/>
          <w:color w:val="auto"/>
        </w:rPr>
        <w:t>) are offset by changes in the fair value of our trust fund liabilities (</w:t>
      </w:r>
      <w:r>
        <w:rPr>
          <w:rFonts w:ascii="Arial" w:cs="Arial" w:eastAsia="Arial" w:hAnsi="Arial"/>
          <w:sz w:val="18"/>
          <w:szCs w:val="18"/>
          <w:i w:val="1"/>
          <w:iCs w:val="1"/>
          <w:color w:val="auto"/>
        </w:rPr>
        <w:t>Deferred preneed funeral and cemetery receipts held in trust</w:t>
      </w:r>
      <w:r>
        <w:rPr>
          <w:rFonts w:ascii="Arial" w:cs="Arial" w:eastAsia="Arial" w:hAnsi="Arial"/>
          <w:sz w:val="18"/>
          <w:szCs w:val="18"/>
          <w:color w:val="auto"/>
        </w:rPr>
        <w:t xml:space="preserve"> and </w:t>
      </w:r>
      <w:r>
        <w:rPr>
          <w:rFonts w:ascii="Arial" w:cs="Arial" w:eastAsia="Arial" w:hAnsi="Arial"/>
          <w:sz w:val="18"/>
          <w:szCs w:val="18"/>
          <w:i w:val="1"/>
          <w:iCs w:val="1"/>
          <w:color w:val="auto"/>
        </w:rPr>
        <w:t>Care trusts’ corpus</w:t>
      </w:r>
      <w:r>
        <w:rPr>
          <w:rFonts w:ascii="Arial" w:cs="Arial" w:eastAsia="Arial" w:hAnsi="Arial"/>
          <w:sz w:val="18"/>
          <w:szCs w:val="18"/>
          <w:color w:val="auto"/>
        </w:rPr>
        <w:t xml:space="preserve">) and reflected in </w:t>
      </w:r>
      <w:r>
        <w:rPr>
          <w:rFonts w:ascii="Arial" w:cs="Arial" w:eastAsia="Arial" w:hAnsi="Arial"/>
          <w:sz w:val="18"/>
          <w:szCs w:val="18"/>
          <w:i w:val="1"/>
          <w:iCs w:val="1"/>
          <w:color w:val="auto"/>
        </w:rPr>
        <w:t>Other, net</w:t>
      </w:r>
      <w:r>
        <w:rPr>
          <w:rFonts w:ascii="Arial" w:cs="Arial" w:eastAsia="Arial" w:hAnsi="Arial"/>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fixed income securities in an unrealized loss position, we first assess whether we intend to sell or it is more-likely-than not that we will be required to sell the security before recovery of its amortized cost basis. If either of the criteria regarding intent or requirement to sell is met, the security's amortized cost basis is written down to fair value through income. For fixed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income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w:t>
      </w:r>
    </w:p>
    <w:p>
      <w:pPr>
        <w:spacing w:after="0" w:line="6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Trust Investments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cemetery trust investments</w:t>
      </w:r>
      <w:r>
        <w:rPr>
          <w:rFonts w:ascii="Arial" w:cs="Arial" w:eastAsia="Arial" w:hAnsi="Arial"/>
          <w:sz w:val="18"/>
          <w:szCs w:val="18"/>
          <w:color w:val="auto"/>
        </w:rPr>
        <w:t xml:space="preserve"> on our Consolidated Balance Sheet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cemetery trust investments, at market value</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89,081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103,808</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1"/>
              </w:rPr>
              <w:t>(2,477)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Preneed cemetery trust investments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86,604</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cost and market values associated with preneed cemetery trust investments at December 31, 2021 are detailed below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Fair Value</w:t>
            </w:r>
          </w:p>
        </w:tc>
        <w:tc>
          <w:tcPr>
            <w:tcW w:w="260" w:type="dxa"/>
            <w:vAlign w:val="bottom"/>
          </w:tcPr>
          <w:p>
            <w:pPr>
              <w:spacing w:after="0"/>
              <w:rPr>
                <w:sz w:val="16"/>
                <w:szCs w:val="16"/>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Fair Market</w:t>
            </w:r>
          </w:p>
        </w:tc>
        <w:tc>
          <w:tcPr>
            <w:tcW w:w="0" w:type="dxa"/>
            <w:vAlign w:val="bottom"/>
          </w:tcPr>
          <w:p>
            <w:pPr>
              <w:spacing w:after="0"/>
              <w:rPr>
                <w:sz w:val="1"/>
                <w:szCs w:val="1"/>
                <w:color w:val="auto"/>
              </w:rPr>
            </w:pPr>
          </w:p>
        </w:tc>
      </w:tr>
      <w:tr>
        <w:trPr>
          <w:trHeight w:val="208"/>
        </w:trPr>
        <w:tc>
          <w:tcPr>
            <w:tcW w:w="50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Gains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center"/>
              <w:ind w:left="474"/>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43,819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96,817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investment income</w:t>
            </w: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Preneed cemetery trust investments</w:t>
            </w:r>
          </w:p>
        </w:tc>
        <w:tc>
          <w:tcPr>
            <w:tcW w:w="1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103,808</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value as a percentage of cost</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80" w:type="dxa"/>
            <w:vAlign w:val="bottom"/>
            <w:tcBorders>
              <w:top w:val="single" w:sz="8" w:color="CCEEFF"/>
              <w:bottom w:val="single" w:sz="8" w:color="CCEEFF"/>
            </w:tcBorders>
            <w:gridSpan w:val="13"/>
            <w:vMerge w:val="restart"/>
          </w:tcPr>
          <w:p>
            <w:pPr>
              <w:ind w:left="400"/>
              <w:spacing w:after="0"/>
              <w:rPr>
                <w:sz w:val="20"/>
                <w:szCs w:val="20"/>
                <w:color w:val="auto"/>
              </w:rPr>
            </w:pPr>
            <w:r>
              <w:rPr>
                <w:rFonts w:ascii="Arial" w:cs="Arial" w:eastAsia="Arial" w:hAnsi="Arial"/>
                <w:sz w:val="18"/>
                <w:szCs w:val="18"/>
                <w:color w:val="auto"/>
                <w:w w:val="96"/>
              </w:rPr>
              <w:t>The estimated maturities of the fixed income securities (excluding mutual funds) included above are as follows (in thousands):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080" w:type="dxa"/>
            <w:vAlign w:val="bottom"/>
            <w:gridSpan w:val="1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61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fixed income securities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61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414"/>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50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cost and market values associated with preneed cemetery trust investments at December 31, 2020 are detailed below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Fair Value</w:t>
            </w:r>
          </w:p>
        </w:tc>
        <w:tc>
          <w:tcPr>
            <w:tcW w:w="300" w:type="dxa"/>
            <w:vAlign w:val="bottom"/>
          </w:tcPr>
          <w:p>
            <w:pPr>
              <w:spacing w:after="0"/>
              <w:rPr>
                <w:sz w:val="16"/>
                <w:szCs w:val="16"/>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Unrealized</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5"/>
              </w:rPr>
              <w:t>Fair Market Value</w:t>
            </w:r>
          </w:p>
        </w:tc>
        <w:tc>
          <w:tcPr>
            <w:tcW w:w="0" w:type="dxa"/>
            <w:vAlign w:val="bottom"/>
          </w:tcPr>
          <w:p>
            <w:pPr>
              <w:spacing w:after="0"/>
              <w:rPr>
                <w:sz w:val="1"/>
                <w:szCs w:val="1"/>
                <w:color w:val="auto"/>
              </w:rPr>
            </w:pPr>
          </w:p>
        </w:tc>
      </w:tr>
      <w:tr>
        <w:trPr>
          <w:trHeight w:val="208"/>
        </w:trPr>
        <w:tc>
          <w:tcPr>
            <w:tcW w:w="43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82,573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88,088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investment income</w:t>
            </w: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83"/>
        </w:trPr>
        <w:tc>
          <w:tcPr>
            <w:tcW w:w="430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Preneed cemetery trust investments</w:t>
            </w:r>
          </w:p>
        </w:tc>
        <w:tc>
          <w:tcPr>
            <w:tcW w:w="13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89,081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value as a percentage of cost</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5" w:lineRule="exact"/>
              <w:rPr>
                <w:sz w:val="20"/>
                <w:szCs w:val="20"/>
                <w:color w:val="auto"/>
              </w:rPr>
            </w:pPr>
            <w:r>
              <w:rPr>
                <w:rFonts w:ascii="Arial" w:cs="Arial" w:eastAsia="Arial" w:hAnsi="Arial"/>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5" w:lineRule="exact"/>
              <w:rPr>
                <w:sz w:val="20"/>
                <w:szCs w:val="20"/>
                <w:color w:val="auto"/>
              </w:rPr>
            </w:pPr>
            <w:r>
              <w:rPr>
                <w:rFonts w:ascii="Arial" w:cs="Arial" w:eastAsia="Arial" w:hAnsi="Arial"/>
                <w:sz w:val="16"/>
                <w:szCs w:val="16"/>
                <w:b w:val="1"/>
                <w:bCs w:val="1"/>
                <w:color w:val="auto"/>
                <w:w w:val="88"/>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87"/>
              </w:rPr>
              <w:t>12 months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8" w:lineRule="exact"/>
              <w:rPr>
                <w:sz w:val="20"/>
                <w:szCs w:val="20"/>
                <w:color w:val="auto"/>
              </w:rPr>
            </w:pPr>
            <w:r>
              <w:rPr>
                <w:rFonts w:ascii="Arial" w:cs="Arial" w:eastAsia="Arial" w:hAnsi="Arial"/>
                <w:sz w:val="14"/>
                <w:szCs w:val="14"/>
                <w:color w:val="auto"/>
                <w:w w:val="95"/>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5"/>
                <w:szCs w:val="15"/>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6"/>
        </w:trPr>
        <w:tc>
          <w:tcPr>
            <w:tcW w:w="40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4,857</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7"/>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6"/>
                <w:szCs w:val="16"/>
                <w:b w:val="1"/>
                <w:bCs w:val="1"/>
                <w:color w:val="auto"/>
                <w:w w:val="88"/>
              </w:rPr>
              <w:t>December 31, 2020</w:t>
            </w: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5"/>
          </w:tcPr>
          <w:p>
            <w:pPr>
              <w:jc w:val="center"/>
              <w:ind w:right="380"/>
              <w:spacing w:after="0" w:line="155" w:lineRule="exact"/>
              <w:rPr>
                <w:sz w:val="20"/>
                <w:szCs w:val="20"/>
                <w:color w:val="auto"/>
              </w:rPr>
            </w:pPr>
            <w:r>
              <w:rPr>
                <w:rFonts w:ascii="Arial" w:cs="Arial" w:eastAsia="Arial" w:hAnsi="Arial"/>
                <w:sz w:val="16"/>
                <w:szCs w:val="16"/>
                <w:b w:val="1"/>
                <w:bCs w:val="1"/>
                <w:color w:val="auto"/>
                <w:w w:val="87"/>
              </w:rPr>
              <w:t>In Loss Position Less than 12</w:t>
            </w:r>
          </w:p>
        </w:tc>
        <w:tc>
          <w:tcPr>
            <w:tcW w:w="2600" w:type="dxa"/>
            <w:vAlign w:val="bottom"/>
            <w:gridSpan w:val="6"/>
          </w:tcPr>
          <w:p>
            <w:pPr>
              <w:jc w:val="center"/>
              <w:ind w:right="220"/>
              <w:spacing w:after="0" w:line="155" w:lineRule="exact"/>
              <w:rPr>
                <w:sz w:val="20"/>
                <w:szCs w:val="20"/>
                <w:color w:val="auto"/>
              </w:rPr>
            </w:pPr>
            <w:r>
              <w:rPr>
                <w:rFonts w:ascii="Arial" w:cs="Arial" w:eastAsia="Arial" w:hAnsi="Arial"/>
                <w:sz w:val="16"/>
                <w:szCs w:val="16"/>
                <w:b w:val="1"/>
                <w:bCs w:val="1"/>
                <w:color w:val="auto"/>
                <w:w w:val="88"/>
              </w:rPr>
              <w:t>In Loss Position Greater than 12</w:t>
            </w:r>
          </w:p>
        </w:tc>
        <w:tc>
          <w:tcPr>
            <w:tcW w:w="360" w:type="dxa"/>
            <w:vAlign w:val="bottom"/>
          </w:tcPr>
          <w:p>
            <w:pPr>
              <w:spacing w:after="0"/>
              <w:rPr>
                <w:sz w:val="13"/>
                <w:szCs w:val="13"/>
                <w:color w:val="auto"/>
              </w:rPr>
            </w:pPr>
          </w:p>
        </w:tc>
        <w:tc>
          <w:tcPr>
            <w:tcW w:w="1280" w:type="dxa"/>
            <w:vAlign w:val="bottom"/>
            <w:gridSpan w:val="3"/>
            <w:vMerge w:val="restart"/>
          </w:tcPr>
          <w:p>
            <w:pPr>
              <w:ind w:left="66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left="455"/>
              <w:spacing w:after="0"/>
              <w:rPr>
                <w:sz w:val="20"/>
                <w:szCs w:val="20"/>
                <w:color w:val="auto"/>
              </w:rPr>
            </w:pPr>
            <w:r>
              <w:rPr>
                <w:rFonts w:ascii="Arial" w:cs="Arial" w:eastAsia="Arial" w:hAnsi="Arial"/>
                <w:sz w:val="16"/>
                <w:szCs w:val="16"/>
                <w:b w:val="1"/>
                <w:bCs w:val="1"/>
                <w:color w:val="auto"/>
                <w:w w:val="86"/>
              </w:rPr>
              <w:t>months</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3"/>
            <w:vMerge w:val="restart"/>
          </w:tcPr>
          <w:p>
            <w:pPr>
              <w:jc w:val="center"/>
              <w:ind w:left="135"/>
              <w:spacing w:after="0"/>
              <w:rPr>
                <w:sz w:val="20"/>
                <w:szCs w:val="20"/>
                <w:color w:val="auto"/>
              </w:rPr>
            </w:pPr>
            <w:r>
              <w:rPr>
                <w:rFonts w:ascii="Arial" w:cs="Arial" w:eastAsia="Arial" w:hAnsi="Arial"/>
                <w:sz w:val="16"/>
                <w:szCs w:val="16"/>
                <w:b w:val="1"/>
                <w:bCs w:val="1"/>
                <w:color w:val="auto"/>
                <w:w w:val="86"/>
              </w:rPr>
              <w:t>months</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5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3"/>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Fair market value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w w:val="90"/>
              </w:rPr>
              <w:t>Unrealized Losses</w:t>
            </w:r>
          </w:p>
        </w:tc>
        <w:tc>
          <w:tcPr>
            <w:tcW w:w="2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Fair market value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w w:val="90"/>
              </w:rPr>
              <w:t>Unrealized Losses</w:t>
            </w:r>
          </w:p>
        </w:tc>
        <w:tc>
          <w:tcPr>
            <w:tcW w:w="2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Fair market value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w w:val="90"/>
              </w:rPr>
              <w:t>Unrealized Losses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2,888</w:t>
            </w:r>
          </w:p>
        </w:tc>
        <w:tc>
          <w:tcPr>
            <w:tcW w:w="2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580" w:type="dxa"/>
            <w:vAlign w:val="bottom"/>
          </w:tcPr>
          <w:p>
            <w:pPr>
              <w:ind w:left="20"/>
              <w:spacing w:after="0" w:line="152" w:lineRule="exact"/>
              <w:rPr>
                <w:sz w:val="20"/>
                <w:szCs w:val="20"/>
                <w:color w:val="auto"/>
              </w:rPr>
            </w:pPr>
            <w:r>
              <w:rPr>
                <w:rFonts w:ascii="Arial" w:cs="Arial" w:eastAsia="Arial" w:hAnsi="Arial"/>
                <w:sz w:val="16"/>
                <w:szCs w:val="16"/>
                <w:color w:val="auto"/>
              </w:rPr>
              <w:t>Total fixed income securities with an unrealized</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3"/>
                <w:szCs w:val="13"/>
                <w:color w:val="auto"/>
              </w:rPr>
            </w:pPr>
          </w:p>
        </w:tc>
        <w:tc>
          <w:tcPr>
            <w:tcW w:w="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5,074</w:t>
            </w:r>
          </w:p>
        </w:tc>
        <w:tc>
          <w:tcPr>
            <w:tcW w:w="220" w:type="dxa"/>
            <w:vAlign w:val="bottom"/>
          </w:tcPr>
          <w:p>
            <w:pPr>
              <w:spacing w:after="0"/>
              <w:rPr>
                <w:sz w:val="13"/>
                <w:szCs w:val="13"/>
                <w:color w:val="auto"/>
              </w:rPr>
            </w:pPr>
          </w:p>
        </w:tc>
        <w:tc>
          <w:tcPr>
            <w:tcW w:w="5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(1,281)</w:t>
            </w:r>
          </w:p>
        </w:tc>
        <w:tc>
          <w:tcPr>
            <w:tcW w:w="2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9,084</w:t>
            </w:r>
          </w:p>
        </w:tc>
        <w:tc>
          <w:tcPr>
            <w:tcW w:w="220" w:type="dxa"/>
            <w:vAlign w:val="bottom"/>
          </w:tcPr>
          <w:p>
            <w:pPr>
              <w:spacing w:after="0"/>
              <w:rPr>
                <w:sz w:val="13"/>
                <w:szCs w:val="13"/>
                <w:color w:val="auto"/>
              </w:rPr>
            </w:pP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line="196" w:lineRule="exact"/>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40" w:type="dxa"/>
            <w:vAlign w:val="bottom"/>
            <w:gridSpan w:val="7"/>
          </w:tcPr>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15"/>
        </w:trPr>
        <w:tc>
          <w:tcPr>
            <w:tcW w:w="5360" w:type="dxa"/>
            <w:vAlign w:val="bottom"/>
          </w:tcPr>
          <w:p>
            <w:pPr>
              <w:ind w:left="400"/>
              <w:spacing w:after="0"/>
              <w:rPr>
                <w:sz w:val="20"/>
                <w:szCs w:val="20"/>
                <w:color w:val="auto"/>
              </w:rPr>
            </w:pPr>
            <w:r>
              <w:rPr>
                <w:rFonts w:ascii="Arial" w:cs="Arial" w:eastAsia="Arial" w:hAnsi="Arial"/>
                <w:sz w:val="18"/>
                <w:szCs w:val="18"/>
                <w:color w:val="auto"/>
                <w:w w:val="94"/>
              </w:rPr>
              <w:t>Preneed cemetery trust investment security transactions recorded</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w:t>
            </w:r>
          </w:p>
        </w:tc>
        <w:tc>
          <w:tcPr>
            <w:tcW w:w="980" w:type="dxa"/>
            <w:vAlign w:val="bottom"/>
            <w:gridSpan w:val="2"/>
          </w:tcPr>
          <w:p>
            <w:pPr>
              <w:spacing w:after="0"/>
              <w:rPr>
                <w:sz w:val="20"/>
                <w:szCs w:val="20"/>
                <w:color w:val="auto"/>
              </w:rPr>
            </w:pPr>
            <w:r>
              <w:rPr>
                <w:rFonts w:ascii="Arial" w:cs="Arial" w:eastAsia="Arial" w:hAnsi="Arial"/>
                <w:sz w:val="18"/>
                <w:szCs w:val="18"/>
                <w:color w:val="auto"/>
                <w:w w:val="91"/>
              </w:rPr>
              <w:t>Consolidated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7"/>
              </w:rPr>
              <w:t>Statements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9"/>
              </w:rPr>
              <w:t>of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are as follows</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87"/>
              </w:rPr>
              <w:t>Years ended December 31,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04"/>
        </w:trPr>
        <w:tc>
          <w:tcPr>
            <w:tcW w:w="5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20"/>
        </w:trPr>
        <w:tc>
          <w:tcPr>
            <w:tcW w:w="53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Investment income</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18,321</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Unrealized gains, net</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6,047</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and taxes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deferred preneed cemetery receipts held in trust</w:t>
            </w: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(10,168)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w:t>
            </w:r>
          </w:p>
        </w:tc>
      </w:tr>
      <w:tr>
        <w:trPr>
          <w:trHeight w:val="237"/>
        </w:trPr>
        <w:tc>
          <w:tcPr>
            <w:tcW w:w="53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7120" w:type="dxa"/>
            <w:vAlign w:val="bottom"/>
            <w:gridSpan w:val="3"/>
          </w:tcPr>
          <w:p>
            <w:pPr>
              <w:ind w:left="400"/>
              <w:spacing w:after="0"/>
              <w:rPr>
                <w:sz w:val="20"/>
                <w:szCs w:val="20"/>
                <w:color w:val="auto"/>
              </w:rPr>
            </w:pPr>
            <w:r>
              <w:rPr>
                <w:rFonts w:ascii="Arial" w:cs="Arial" w:eastAsia="Arial" w:hAnsi="Arial"/>
                <w:sz w:val="18"/>
                <w:szCs w:val="18"/>
                <w:color w:val="auto"/>
                <w:w w:val="86"/>
              </w:rPr>
              <w:t>Purchases and sales of investments in the preneed cemetery trusts are as follows (in thousands):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87"/>
              </w:rPr>
              <w:t>Years ended December 31,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04"/>
        </w:trPr>
        <w:tc>
          <w:tcPr>
            <w:tcW w:w="53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(48,824)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Sales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43,265</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Preneed funeral trust investments represent trust fund assets that we are permitted to withdraw as services and merchandise are provided to customers.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Preneed funeral contracts are secured by payments from customers, less retained amounts not required to be deposited into trust.</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funeral trust investments</w:t>
      </w:r>
      <w:r>
        <w:rPr>
          <w:rFonts w:ascii="Arial" w:cs="Arial" w:eastAsia="Arial" w:hAnsi="Arial"/>
          <w:sz w:val="18"/>
          <w:szCs w:val="18"/>
          <w:color w:val="auto"/>
        </w:rPr>
        <w:t xml:space="preserve"> on our Consolidated Balance Sheet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88"/>
              </w:rPr>
              <w:t>December 31, 2020</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8"/>
              </w:rPr>
              <w:t>December 31, 2021</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funeral trust investments, at market value</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104,166</w:t>
            </w:r>
          </w:p>
        </w:tc>
        <w:tc>
          <w:tcPr>
            <w:tcW w:w="6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(2,931)</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101,235</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920" w:type="dxa"/>
            <w:vAlign w:val="bottom"/>
            <w:gridSpan w:val="14"/>
          </w:tcPr>
          <w:p>
            <w:pPr>
              <w:ind w:left="400"/>
              <w:spacing w:after="0"/>
              <w:rPr>
                <w:sz w:val="20"/>
                <w:szCs w:val="20"/>
                <w:color w:val="auto"/>
              </w:rPr>
            </w:pPr>
            <w:r>
              <w:rPr>
                <w:rFonts w:ascii="Arial" w:cs="Arial" w:eastAsia="Arial" w:hAnsi="Arial"/>
                <w:sz w:val="18"/>
                <w:szCs w:val="18"/>
                <w:color w:val="auto"/>
                <w:w w:val="87"/>
              </w:rPr>
              <w:t>The cost and market values associated with preneed funeral trust investments at December 31, 2021 are detailed below (in thousands):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420" w:type="dxa"/>
            <w:vAlign w:val="bottom"/>
            <w:gridSpan w:val="4"/>
          </w:tcPr>
          <w:p>
            <w:pPr>
              <w:ind w:left="300"/>
              <w:spacing w:after="0"/>
              <w:rPr>
                <w:sz w:val="20"/>
                <w:szCs w:val="20"/>
                <w:color w:val="auto"/>
              </w:rPr>
            </w:pPr>
            <w:r>
              <w:rPr>
                <w:rFonts w:ascii="Arial" w:cs="Arial" w:eastAsia="Arial" w:hAnsi="Arial"/>
                <w:sz w:val="16"/>
                <w:szCs w:val="16"/>
                <w:b w:val="1"/>
                <w:bCs w:val="1"/>
                <w:color w:val="auto"/>
              </w:rPr>
              <w:t>Unrealized</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5"/>
              </w:rPr>
              <w:t>Fair Market Value</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Equity</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investments</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gridSpan w:val="3"/>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top w:val="single" w:sz="8" w:color="auto"/>
              <w:bottom w:val="single" w:sz="8" w:color="CCEEFF"/>
            </w:tcBorders>
          </w:tcPr>
          <w:p>
            <w:pPr>
              <w:spacing w:after="0"/>
              <w:rPr>
                <w:sz w:val="3"/>
                <w:szCs w:val="3"/>
                <w:color w:val="auto"/>
              </w:rPr>
            </w:pPr>
          </w:p>
        </w:tc>
        <w:tc>
          <w:tcPr>
            <w:tcW w:w="100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0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auto"/>
            </w:tcBorders>
            <w:shd w:val="clear" w:color="auto" w:fill="CCEEFF"/>
          </w:tcPr>
          <w:p>
            <w:pPr>
              <w:jc w:val="right"/>
              <w:ind w:right="32"/>
              <w:spacing w:after="0" w:line="183" w:lineRule="exact"/>
              <w:rPr>
                <w:sz w:val="20"/>
                <w:szCs w:val="20"/>
                <w:color w:val="auto"/>
              </w:rPr>
            </w:pPr>
            <w:r>
              <w:rPr>
                <w:rFonts w:ascii="Arial" w:cs="Arial" w:eastAsia="Arial" w:hAnsi="Arial"/>
                <w:sz w:val="18"/>
                <w:szCs w:val="18"/>
                <w:color w:val="auto"/>
              </w:rPr>
              <w:t>116,973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vMerge w:val="restart"/>
          </w:tcPr>
          <w:p>
            <w:pPr>
              <w:jc w:val="right"/>
              <w:ind w:right="192"/>
              <w:spacing w:after="0"/>
              <w:rPr>
                <w:sz w:val="20"/>
                <w:szCs w:val="20"/>
                <w:color w:val="auto"/>
              </w:rPr>
            </w:pPr>
            <w:r>
              <w:rPr>
                <w:rFonts w:ascii="Arial" w:cs="Arial" w:eastAsia="Arial" w:hAnsi="Arial"/>
                <w:sz w:val="18"/>
                <w:szCs w:val="18"/>
                <w:color w:val="auto"/>
                <w:w w:val="89"/>
              </w:rPr>
              <w:t>67</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4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80" w:type="dxa"/>
            <w:vAlign w:val="bottom"/>
          </w:tcPr>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27"/>
        </w:trPr>
        <w:tc>
          <w:tcPr>
            <w:tcW w:w="9780" w:type="dxa"/>
            <w:vAlign w:val="bottom"/>
          </w:tcPr>
          <w:p>
            <w:pPr>
              <w:ind w:left="400"/>
              <w:spacing w:after="0"/>
              <w:rPr>
                <w:sz w:val="20"/>
                <w:szCs w:val="20"/>
                <w:color w:val="auto"/>
              </w:rPr>
            </w:pPr>
            <w:r>
              <w:rPr>
                <w:rFonts w:ascii="Arial" w:cs="Arial" w:eastAsia="Arial" w:hAnsi="Arial"/>
                <w:sz w:val="18"/>
                <w:szCs w:val="18"/>
                <w:color w:val="auto"/>
                <w:w w:val="93"/>
              </w:rPr>
              <w:t>The estimated maturities of the fixed income securities (excluding mutual funds) included above are as follows (in thousands):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24,985</w:t>
            </w:r>
          </w:p>
        </w:tc>
      </w:tr>
      <w:tr>
        <w:trPr>
          <w:trHeight w:val="242"/>
        </w:trPr>
        <w:tc>
          <w:tcPr>
            <w:tcW w:w="9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fixed income securities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cost and market values associated with preneed funeral trust investments at December 31, 2020 are detailed below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6"/>
                <w:szCs w:val="16"/>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Unrealized</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Fair Market Value</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Cash and money market accounts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debt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29,639</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97,700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103,255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investment income</w:t>
            </w: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Preneed funeral trust investments</w:t>
            </w:r>
          </w:p>
        </w:tc>
        <w:tc>
          <w:tcPr>
            <w:tcW w:w="1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194"/>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104,166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value as a percentage of cost</w:t>
            </w: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5" w:lineRule="exact"/>
              <w:rPr>
                <w:sz w:val="20"/>
                <w:szCs w:val="20"/>
                <w:color w:val="auto"/>
              </w:rPr>
            </w:pPr>
            <w:r>
              <w:rPr>
                <w:rFonts w:ascii="Arial" w:cs="Arial" w:eastAsia="Arial" w:hAnsi="Arial"/>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5" w:lineRule="exact"/>
              <w:rPr>
                <w:sz w:val="20"/>
                <w:szCs w:val="20"/>
                <w:color w:val="auto"/>
              </w:rPr>
            </w:pPr>
            <w:r>
              <w:rPr>
                <w:rFonts w:ascii="Arial" w:cs="Arial" w:eastAsia="Arial" w:hAnsi="Arial"/>
                <w:sz w:val="16"/>
                <w:szCs w:val="16"/>
                <w:b w:val="1"/>
                <w:bCs w:val="1"/>
                <w:color w:val="auto"/>
                <w:w w:val="88"/>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87"/>
              </w:rPr>
              <w:t>12 months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8" w:lineRule="exact"/>
              <w:rPr>
                <w:sz w:val="20"/>
                <w:szCs w:val="20"/>
                <w:color w:val="auto"/>
              </w:rPr>
            </w:pPr>
            <w:r>
              <w:rPr>
                <w:rFonts w:ascii="Arial" w:cs="Arial" w:eastAsia="Arial" w:hAnsi="Arial"/>
                <w:sz w:val="14"/>
                <w:szCs w:val="14"/>
                <w:color w:val="auto"/>
                <w:w w:val="95"/>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5"/>
                <w:szCs w:val="15"/>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6"/>
        </w:trPr>
        <w:tc>
          <w:tcPr>
            <w:tcW w:w="40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4,799</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7"/>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December 31,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5" w:lineRule="exact"/>
              <w:rPr>
                <w:sz w:val="20"/>
                <w:szCs w:val="20"/>
                <w:color w:val="auto"/>
              </w:rPr>
            </w:pPr>
            <w:r>
              <w:rPr>
                <w:rFonts w:ascii="Arial" w:cs="Arial" w:eastAsia="Arial" w:hAnsi="Arial"/>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5" w:lineRule="exact"/>
              <w:rPr>
                <w:sz w:val="20"/>
                <w:szCs w:val="20"/>
                <w:color w:val="auto"/>
              </w:rPr>
            </w:pPr>
            <w:r>
              <w:rPr>
                <w:rFonts w:ascii="Arial" w:cs="Arial" w:eastAsia="Arial" w:hAnsi="Arial"/>
                <w:sz w:val="16"/>
                <w:szCs w:val="16"/>
                <w:b w:val="1"/>
                <w:bCs w:val="1"/>
                <w:color w:val="auto"/>
                <w:w w:val="88"/>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87"/>
              </w:rPr>
              <w:t>12 months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7"/>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7"/>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8" w:lineRule="exact"/>
              <w:rPr>
                <w:sz w:val="20"/>
                <w:szCs w:val="20"/>
                <w:color w:val="auto"/>
              </w:rPr>
            </w:pPr>
            <w:r>
              <w:rPr>
                <w:rFonts w:ascii="Arial" w:cs="Arial" w:eastAsia="Arial" w:hAnsi="Arial"/>
                <w:sz w:val="14"/>
                <w:szCs w:val="14"/>
                <w:color w:val="auto"/>
                <w:w w:val="95"/>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7"/>
              <w:spacing w:after="0" w:line="128"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6"/>
        </w:trPr>
        <w:tc>
          <w:tcPr>
            <w:tcW w:w="40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2,562</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w w:val="97"/>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8,412</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Preneed funeral trust investment security transactions recorded in </w:t>
      </w:r>
      <w:r>
        <w:rPr>
          <w:rFonts w:ascii="Arial" w:cs="Arial" w:eastAsia="Arial" w:hAnsi="Arial"/>
          <w:sz w:val="15"/>
          <w:szCs w:val="15"/>
          <w:i w:val="1"/>
          <w:iCs w:val="1"/>
          <w:color w:val="auto"/>
        </w:rPr>
        <w:t>Other, net</w:t>
      </w:r>
      <w:r>
        <w:rPr>
          <w:rFonts w:ascii="Arial" w:cs="Arial" w:eastAsia="Arial" w:hAnsi="Arial"/>
          <w:sz w:val="15"/>
          <w:szCs w:val="15"/>
          <w:color w:val="auto"/>
        </w:rPr>
        <w:t xml:space="preserve"> on our Consolidated Statements of Operations are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6"/>
              </w:rPr>
              <w:t>Years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4"/>
        </w:trPr>
        <w:tc>
          <w:tcPr>
            <w:tcW w:w="65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20"/>
        </w:trPr>
        <w:tc>
          <w:tcPr>
            <w:tcW w:w="65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Investment income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17,091</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Unrealized gains, net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5,665</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and taxes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deferred preneed funeral receipts held in trust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(17,127)</w:t>
            </w:r>
          </w:p>
        </w:tc>
      </w:tr>
      <w:tr>
        <w:trPr>
          <w:trHeight w:val="237"/>
        </w:trPr>
        <w:tc>
          <w:tcPr>
            <w:tcW w:w="6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67"/>
        </w:trPr>
        <w:tc>
          <w:tcPr>
            <w:tcW w:w="7020" w:type="dxa"/>
            <w:vAlign w:val="bottom"/>
            <w:gridSpan w:val="2"/>
          </w:tcPr>
          <w:p>
            <w:pPr>
              <w:ind w:left="400"/>
              <w:spacing w:after="0"/>
              <w:rPr>
                <w:sz w:val="20"/>
                <w:szCs w:val="20"/>
                <w:color w:val="auto"/>
              </w:rPr>
            </w:pPr>
            <w:r>
              <w:rPr>
                <w:rFonts w:ascii="Arial" w:cs="Arial" w:eastAsia="Arial" w:hAnsi="Arial"/>
                <w:sz w:val="18"/>
                <w:szCs w:val="18"/>
                <w:color w:val="auto"/>
                <w:w w:val="87"/>
              </w:rPr>
              <w:t>Purchases and sales of investments in the preneed funeral trusts are as follows (in thousands):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6"/>
              </w:rPr>
              <w:t>Years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04"/>
        </w:trPr>
        <w:tc>
          <w:tcPr>
            <w:tcW w:w="65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(38,175)</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Sales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29,983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43,270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40,658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Perpetual Care Trust Investments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Care trusts’ corpus </w:t>
      </w:r>
      <w:r>
        <w:rPr>
          <w:rFonts w:ascii="Arial" w:cs="Arial" w:eastAsia="Arial" w:hAnsi="Arial"/>
          <w:sz w:val="18"/>
          <w:szCs w:val="18"/>
          <w:color w:val="auto"/>
        </w:rPr>
        <w:t>on our Consolidated Balance Sheet represent the corpus of those trusts plus undistributed income. The components of</w:t>
      </w:r>
      <w:r>
        <w:rPr>
          <w:rFonts w:ascii="Arial" w:cs="Arial" w:eastAsia="Arial" w:hAnsi="Arial"/>
          <w:sz w:val="18"/>
          <w:szCs w:val="18"/>
          <w:i w:val="1"/>
          <w:iCs w:val="1"/>
          <w:color w:val="auto"/>
        </w:rPr>
        <w:t xml:space="preserve"> Care trusts’ corpus </w:t>
      </w:r>
      <w:r>
        <w:rPr>
          <w:rFonts w:ascii="Arial" w:cs="Arial" w:eastAsia="Arial" w:hAnsi="Arial"/>
          <w:sz w:val="18"/>
          <w:szCs w:val="18"/>
          <w:color w:val="auto"/>
        </w:rPr>
        <w:t>are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Arial" w:cs="Arial" w:eastAsia="Arial" w:hAnsi="Arial"/>
                <w:sz w:val="16"/>
                <w:szCs w:val="16"/>
                <w:b w:val="1"/>
                <w:bCs w:val="1"/>
                <w:color w:val="auto"/>
                <w:w w:val="88"/>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Cemetery perpetual care trust investments, at market value</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70,828</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4"/>
              </w:rPr>
              <w:t>72,400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Obligations due from trust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1"/>
              </w:rPr>
              <w:t>(1,121)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1"/>
              </w:rPr>
              <w:t>(1,244)</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Care trusts’ corpus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69,707</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4"/>
              </w:rPr>
              <w:t>71,156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reflects the cost and market values associated with the trust investments held in perpetual care trust funds at December 31, 2021 (in thousands):</w:t>
      </w: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400" w:type="dxa"/>
            <w:vAlign w:val="bottom"/>
            <w:gridSpan w:val="2"/>
          </w:tcPr>
          <w:p>
            <w:pPr>
              <w:jc w:val="center"/>
              <w:ind w:right="100"/>
              <w:spacing w:after="0" w:line="168" w:lineRule="exact"/>
              <w:rPr>
                <w:sz w:val="20"/>
                <w:szCs w:val="20"/>
                <w:color w:val="auto"/>
              </w:rPr>
            </w:pPr>
            <w:r>
              <w:rPr>
                <w:rFonts w:ascii="Arial" w:cs="Arial" w:eastAsia="Arial" w:hAnsi="Arial"/>
                <w:sz w:val="16"/>
                <w:szCs w:val="16"/>
                <w:b w:val="1"/>
                <w:bCs w:val="1"/>
                <w:color w:val="auto"/>
                <w:w w:val="91"/>
              </w:rPr>
              <w:t>Fair Value</w:t>
            </w: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4"/>
                <w:szCs w:val="14"/>
                <w:color w:val="auto"/>
              </w:rPr>
            </w:pPr>
          </w:p>
        </w:tc>
        <w:tc>
          <w:tcPr>
            <w:tcW w:w="1220" w:type="dxa"/>
            <w:vAlign w:val="bottom"/>
            <w:gridSpan w:val="3"/>
          </w:tcPr>
          <w:p>
            <w:pPr>
              <w:ind w:left="100"/>
              <w:spacing w:after="0" w:line="168" w:lineRule="exact"/>
              <w:rPr>
                <w:sz w:val="20"/>
                <w:szCs w:val="20"/>
                <w:color w:val="auto"/>
              </w:rPr>
            </w:pPr>
            <w:r>
              <w:rPr>
                <w:rFonts w:ascii="Arial" w:cs="Arial" w:eastAsia="Arial" w:hAnsi="Arial"/>
                <w:sz w:val="16"/>
                <w:szCs w:val="16"/>
                <w:b w:val="1"/>
                <w:bCs w:val="1"/>
                <w:color w:val="auto"/>
              </w:rPr>
              <w:t>Unrealized</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5"/>
              </w:rPr>
              <w:t>Fair Market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Equity</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67,290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investment income</w:t>
            </w: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0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Cemetery perpetual care investments</w:t>
            </w:r>
          </w:p>
        </w:tc>
        <w:tc>
          <w:tcPr>
            <w:tcW w:w="13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72,400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value as a percentage of cost</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gridSpan w:val="13"/>
            <w:vMerge w:val="restart"/>
          </w:tcPr>
          <w:p>
            <w:pPr>
              <w:ind w:left="400"/>
              <w:spacing w:after="0"/>
              <w:rPr>
                <w:sz w:val="20"/>
                <w:szCs w:val="20"/>
                <w:color w:val="auto"/>
              </w:rPr>
            </w:pPr>
            <w:r>
              <w:rPr>
                <w:rFonts w:ascii="Arial" w:cs="Arial" w:eastAsia="Arial" w:hAnsi="Arial"/>
                <w:sz w:val="18"/>
                <w:szCs w:val="18"/>
                <w:color w:val="auto"/>
                <w:w w:val="94"/>
              </w:rPr>
              <w:t>The estimated maturities of the fixed income securities (excluding mutual funds) included above are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920" w:type="dxa"/>
            <w:vAlign w:val="bottom"/>
            <w:gridSpan w:val="13"/>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fixed income securities</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reflects the cost and market values associated with the trust investments held in perpetual care trust funds at December 31, 2020 (in thousands):</w:t>
      </w: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1400" w:type="dxa"/>
            <w:vAlign w:val="bottom"/>
            <w:gridSpan w:val="2"/>
          </w:tcPr>
          <w:p>
            <w:pPr>
              <w:jc w:val="center"/>
              <w:ind w:right="100"/>
              <w:spacing w:after="0" w:line="168" w:lineRule="exact"/>
              <w:rPr>
                <w:sz w:val="20"/>
                <w:szCs w:val="20"/>
                <w:color w:val="auto"/>
              </w:rPr>
            </w:pPr>
            <w:r>
              <w:rPr>
                <w:rFonts w:ascii="Arial" w:cs="Arial" w:eastAsia="Arial" w:hAnsi="Arial"/>
                <w:sz w:val="16"/>
                <w:szCs w:val="16"/>
                <w:b w:val="1"/>
                <w:bCs w:val="1"/>
                <w:color w:val="auto"/>
                <w:w w:val="91"/>
              </w:rPr>
              <w:t>Fair Value</w:t>
            </w:r>
          </w:p>
        </w:tc>
        <w:tc>
          <w:tcPr>
            <w:tcW w:w="32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line="168" w:lineRule="exact"/>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10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3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93"/>
              </w:rPr>
              <w:t>Fair Market Value</w:t>
            </w:r>
          </w:p>
        </w:tc>
        <w:tc>
          <w:tcPr>
            <w:tcW w:w="0" w:type="dxa"/>
            <w:vAlign w:val="bottom"/>
          </w:tcPr>
          <w:p>
            <w:pPr>
              <w:spacing w:after="0"/>
              <w:rPr>
                <w:sz w:val="1"/>
                <w:szCs w:val="1"/>
                <w:color w:val="auto"/>
              </w:rPr>
            </w:pPr>
          </w:p>
        </w:tc>
      </w:tr>
      <w:tr>
        <w:trPr>
          <w:trHeight w:val="208"/>
        </w:trPr>
        <w:tc>
          <w:tcPr>
            <w:tcW w:w="39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Hierarchy Level</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line="203" w:lineRule="exact"/>
              <w:rPr>
                <w:sz w:val="20"/>
                <w:szCs w:val="20"/>
                <w:color w:val="auto"/>
              </w:rPr>
            </w:pPr>
            <w:r>
              <w:rPr>
                <w:rFonts w:ascii="Arial" w:cs="Arial" w:eastAsia="Arial" w:hAnsi="Arial"/>
                <w:sz w:val="18"/>
                <w:szCs w:val="18"/>
                <w:color w:val="auto"/>
              </w:rPr>
              <w:t>Trust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65,665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70,020</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9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investment income</w:t>
            </w: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8"/>
                <w:szCs w:val="18"/>
                <w:color w:val="auto"/>
              </w:rPr>
              <w:t>Cemetery perpetual care investments</w:t>
            </w:r>
          </w:p>
        </w:tc>
        <w:tc>
          <w:tcPr>
            <w:tcW w:w="13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3"/>
              <w:spacing w:after="0" w:line="183" w:lineRule="exact"/>
              <w:rPr>
                <w:sz w:val="20"/>
                <w:szCs w:val="20"/>
                <w:color w:val="auto"/>
              </w:rPr>
            </w:pPr>
            <w:r>
              <w:rPr>
                <w:rFonts w:ascii="Arial" w:cs="Arial" w:eastAsia="Arial" w:hAnsi="Arial"/>
                <w:sz w:val="18"/>
                <w:szCs w:val="18"/>
                <w:color w:val="auto"/>
              </w:rPr>
              <w:t>70,828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Market value as a percentage of cost</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The following table summarized our fixed income securities (excluding mutual funds) within our perpetual care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line="155" w:lineRule="exact"/>
              <w:rPr>
                <w:sz w:val="20"/>
                <w:szCs w:val="20"/>
                <w:color w:val="auto"/>
              </w:rPr>
            </w:pPr>
            <w:r>
              <w:rPr>
                <w:rFonts w:ascii="Arial" w:cs="Arial" w:eastAsia="Arial" w:hAnsi="Arial"/>
                <w:sz w:val="16"/>
                <w:szCs w:val="16"/>
                <w:b w:val="1"/>
                <w:bCs w:val="1"/>
                <w:color w:val="auto"/>
              </w:rPr>
              <w:t>In Loss Position Less than 12</w:t>
            </w:r>
          </w:p>
        </w:tc>
        <w:tc>
          <w:tcPr>
            <w:tcW w:w="120" w:type="dxa"/>
            <w:vAlign w:val="bottom"/>
          </w:tcPr>
          <w:p>
            <w:pPr>
              <w:spacing w:after="0"/>
              <w:rPr>
                <w:sz w:val="13"/>
                <w:szCs w:val="13"/>
                <w:color w:val="auto"/>
              </w:rPr>
            </w:pPr>
          </w:p>
        </w:tc>
        <w:tc>
          <w:tcPr>
            <w:tcW w:w="2340" w:type="dxa"/>
            <w:vAlign w:val="bottom"/>
            <w:gridSpan w:val="5"/>
          </w:tcPr>
          <w:p>
            <w:pPr>
              <w:jc w:val="center"/>
              <w:ind w:right="340"/>
              <w:spacing w:after="0" w:line="155" w:lineRule="exact"/>
              <w:rPr>
                <w:sz w:val="20"/>
                <w:szCs w:val="20"/>
                <w:color w:val="auto"/>
              </w:rPr>
            </w:pPr>
            <w:r>
              <w:rPr>
                <w:rFonts w:ascii="Arial" w:cs="Arial" w:eastAsia="Arial" w:hAnsi="Arial"/>
                <w:sz w:val="16"/>
                <w:szCs w:val="16"/>
                <w:b w:val="1"/>
                <w:bCs w:val="1"/>
                <w:color w:val="auto"/>
                <w:w w:val="89"/>
              </w:rPr>
              <w:t>In Loss Position Greater than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7"/>
              </w:rPr>
              <w:t>12 months</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3"/>
              </w:rPr>
              <w:t>Fair market</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8"/>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3"/>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8"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8"/>
              <w:spacing w:after="0" w:line="128" w:lineRule="exact"/>
              <w:rPr>
                <w:sz w:val="20"/>
                <w:szCs w:val="20"/>
                <w:color w:val="auto"/>
              </w:rPr>
            </w:pPr>
            <w:r>
              <w:rPr>
                <w:rFonts w:ascii="Arial" w:cs="Arial" w:eastAsia="Arial" w:hAnsi="Arial"/>
                <w:sz w:val="14"/>
                <w:szCs w:val="14"/>
                <w:color w:val="auto"/>
                <w:w w:val="93"/>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8"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5"/>
                <w:szCs w:val="15"/>
                <w:color w:val="auto"/>
              </w:rPr>
            </w:pPr>
          </w:p>
        </w:tc>
        <w:tc>
          <w:tcPr>
            <w:tcW w:w="780" w:type="dxa"/>
            <w:vAlign w:val="bottom"/>
          </w:tcPr>
          <w:p>
            <w:pPr>
              <w:jc w:val="right"/>
              <w:ind w:right="198"/>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6"/>
        </w:trPr>
        <w:tc>
          <w:tcPr>
            <w:tcW w:w="40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3,117</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6"/>
              </w:rPr>
              <w:t>Total fixed income securities with an unrealized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summarized our fixed income securities within our perpetual care trust investment in an unrealized loss position at December 31, 2020, aggregated by major security type and length of time in a continuous unrealized loss position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December 31,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5" w:lineRule="exact"/>
              <w:rPr>
                <w:sz w:val="20"/>
                <w:szCs w:val="20"/>
                <w:color w:val="auto"/>
              </w:rPr>
            </w:pPr>
            <w:r>
              <w:rPr>
                <w:rFonts w:ascii="Arial" w:cs="Arial" w:eastAsia="Arial" w:hAnsi="Arial"/>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5" w:lineRule="exact"/>
              <w:rPr>
                <w:sz w:val="20"/>
                <w:szCs w:val="20"/>
                <w:color w:val="auto"/>
              </w:rPr>
            </w:pPr>
            <w:r>
              <w:rPr>
                <w:rFonts w:ascii="Arial" w:cs="Arial" w:eastAsia="Arial" w:hAnsi="Arial"/>
                <w:sz w:val="16"/>
                <w:szCs w:val="16"/>
                <w:b w:val="1"/>
                <w:bCs w:val="1"/>
                <w:color w:val="auto"/>
                <w:w w:val="88"/>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87"/>
              </w:rPr>
              <w:t>12 months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7"/>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8" w:lineRule="exact"/>
              <w:rPr>
                <w:sz w:val="20"/>
                <w:szCs w:val="20"/>
                <w:color w:val="auto"/>
              </w:rPr>
            </w:pPr>
            <w:r>
              <w:rPr>
                <w:rFonts w:ascii="Arial" w:cs="Arial" w:eastAsia="Arial" w:hAnsi="Arial"/>
                <w:sz w:val="14"/>
                <w:szCs w:val="14"/>
                <w:color w:val="auto"/>
                <w:w w:val="90"/>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7"/>
              <w:spacing w:after="0" w:line="128"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8" w:lineRule="exact"/>
              <w:rPr>
                <w:sz w:val="20"/>
                <w:szCs w:val="20"/>
                <w:color w:val="auto"/>
              </w:rPr>
            </w:pPr>
            <w:r>
              <w:rPr>
                <w:rFonts w:ascii="Arial" w:cs="Arial" w:eastAsia="Arial" w:hAnsi="Arial"/>
                <w:sz w:val="14"/>
                <w:szCs w:val="14"/>
                <w:color w:val="auto"/>
                <w:w w:val="95"/>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7"/>
              <w:spacing w:after="0" w:line="128"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6"/>
        </w:trPr>
        <w:tc>
          <w:tcPr>
            <w:tcW w:w="40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2,040</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w w:val="97"/>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7,329</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Perpetual care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our Consolidated Statements of Operations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(1,258)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net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Care trusts’ corpus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(3,369)</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r>
      <w:tr>
        <w:trPr>
          <w:trHeight w:val="23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4"/>
        </w:trPr>
        <w:tc>
          <w:tcPr>
            <w:tcW w:w="344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r>
      <w:tr>
        <w:trPr>
          <w:trHeight w:val="22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3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w:t>
            </w:r>
          </w:p>
        </w:tc>
        <w:tc>
          <w:tcPr>
            <w:tcW w:w="28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34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r>
      <w:tr>
        <w:trPr>
          <w:trHeight w:val="20"/>
        </w:trPr>
        <w:tc>
          <w:tcPr>
            <w:tcW w:w="62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6880" w:type="dxa"/>
            <w:vAlign w:val="bottom"/>
            <w:gridSpan w:val="3"/>
          </w:tcPr>
          <w:p>
            <w:pPr>
              <w:ind w:left="400"/>
              <w:spacing w:after="0"/>
              <w:rPr>
                <w:sz w:val="20"/>
                <w:szCs w:val="20"/>
                <w:color w:val="auto"/>
              </w:rPr>
            </w:pPr>
            <w:r>
              <w:rPr>
                <w:rFonts w:ascii="Arial" w:cs="Arial" w:eastAsia="Arial" w:hAnsi="Arial"/>
                <w:sz w:val="18"/>
                <w:szCs w:val="18"/>
                <w:color w:val="auto"/>
                <w:w w:val="86"/>
              </w:rPr>
              <w:t>Purchases and sales of investments in the perpetual care trusts are as follows (in thousands):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04"/>
        </w:trPr>
        <w:tc>
          <w:tcPr>
            <w:tcW w:w="344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r>
      <w:tr>
        <w:trPr>
          <w:trHeight w:val="22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Sales</w:t>
            </w:r>
          </w:p>
        </w:tc>
        <w:tc>
          <w:tcPr>
            <w:tcW w:w="2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29,829</w:t>
            </w:r>
          </w:p>
        </w:tc>
      </w:tr>
      <w:tr>
        <w:trPr>
          <w:trHeight w:val="829"/>
        </w:trPr>
        <w:tc>
          <w:tcPr>
            <w:tcW w:w="3440" w:type="dxa"/>
            <w:vAlign w:val="bottom"/>
          </w:tcPr>
          <w:p>
            <w:pPr>
              <w:spacing w:after="0"/>
              <w:rPr>
                <w:sz w:val="24"/>
                <w:szCs w:val="24"/>
                <w:color w:val="auto"/>
              </w:rPr>
            </w:pPr>
          </w:p>
        </w:tc>
        <w:tc>
          <w:tcPr>
            <w:tcW w:w="2800" w:type="dxa"/>
            <w:vAlign w:val="bottom"/>
          </w:tcPr>
          <w:p>
            <w:pPr>
              <w:jc w:val="right"/>
              <w:ind w:right="432"/>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2"/>
        </w:trPr>
        <w:tc>
          <w:tcPr>
            <w:tcW w:w="34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 FROM PRENEED FUNERAL TRUSTS</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funeral trust funds, at cost</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Receivables from preneed funeral trusts, net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December 31, 2020 and 2021. The cost basis includes reinvested interest and dividends that have been earned on the trust assets. Fair value includes unrealized gains and losses on trust assets.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composition of the preneed trust funds at December 31, 2021 is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300" w:type="dxa"/>
            <w:vAlign w:val="bottom"/>
          </w:tcPr>
          <w:p>
            <w:pPr>
              <w:ind w:left="600"/>
              <w:spacing w:after="0"/>
              <w:rPr>
                <w:sz w:val="20"/>
                <w:szCs w:val="20"/>
                <w:color w:val="auto"/>
              </w:rPr>
            </w:pPr>
            <w:r>
              <w:rPr>
                <w:rFonts w:ascii="Arial" w:cs="Arial" w:eastAsia="Arial" w:hAnsi="Arial"/>
                <w:sz w:val="16"/>
                <w:szCs w:val="16"/>
                <w:b w:val="1"/>
                <w:bCs w:val="1"/>
                <w:color w:val="auto"/>
                <w:w w:val="93"/>
              </w:rPr>
              <w:t>Historical</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84"/>
              </w:rPr>
              <w:t>Cost Basis</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jc w:val="right"/>
              <w:ind w:right="111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5,595</w:t>
            </w:r>
          </w:p>
        </w:tc>
        <w:tc>
          <w:tcPr>
            <w:tcW w:w="2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investments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11,386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Mutual funds and common stocks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Annuities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11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19,597</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0"/>
              <w:spacing w:after="0"/>
              <w:rPr>
                <w:sz w:val="20"/>
                <w:szCs w:val="20"/>
                <w:color w:val="auto"/>
              </w:rPr>
            </w:pPr>
            <w:r>
              <w:rPr>
                <w:rFonts w:ascii="Arial" w:cs="Arial" w:eastAsia="Arial" w:hAnsi="Arial"/>
                <w:sz w:val="18"/>
                <w:szCs w:val="18"/>
                <w:color w:val="auto"/>
                <w:w w:val="91"/>
              </w:rPr>
              <w:t>The composition of the preneed trust funds at December 31, 2020 is as follows (in thousands):</w:t>
            </w: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7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1300" w:type="dxa"/>
            <w:vAlign w:val="bottom"/>
          </w:tcPr>
          <w:p>
            <w:pPr>
              <w:ind w:left="600"/>
              <w:spacing w:after="0"/>
              <w:rPr>
                <w:sz w:val="20"/>
                <w:szCs w:val="20"/>
                <w:color w:val="auto"/>
              </w:rPr>
            </w:pPr>
            <w:r>
              <w:rPr>
                <w:rFonts w:ascii="Arial" w:cs="Arial" w:eastAsia="Arial" w:hAnsi="Arial"/>
                <w:sz w:val="16"/>
                <w:szCs w:val="16"/>
                <w:b w:val="1"/>
                <w:bCs w:val="1"/>
                <w:color w:val="auto"/>
                <w:w w:val="93"/>
              </w:rPr>
              <w:t>Historical</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84"/>
              </w:rPr>
              <w:t>Cost Basis</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jc w:val="right"/>
              <w:ind w:right="111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investments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Mutual funds and common stocks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Annuities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732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11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17,365</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CONTRACTS FUNDED BY INSURANCE</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when the commission is no longer subject to refund, which is typically one year after the policy is issued. All selling costs incurred pursuant to the sale of the insurance funded preneed contracts are expensed as incurred.</w:t>
      </w:r>
    </w:p>
    <w:p>
      <w:pPr>
        <w:spacing w:after="0" w:line="5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generally revocable and the proceeds from the policy are portable, so the customer can choose to use an alternative provider at the time of need.</w:t>
      </w:r>
    </w:p>
    <w:p>
      <w:pPr>
        <w:spacing w:after="0" w:line="4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Preneed funeral contracts to be funded at maturity by third-party insurance policies totaled $395.4 million and $403.3 million at December 31, 2020 and 2021, respectively, and are not recorded as assets or liabilities on our Consolidated Balance Sheet.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5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12) and Senior Notes (as defined in Note 14) are classified within Level 2 of the Fair Value Measurements hierarchy.</w:t>
      </w:r>
    </w:p>
    <w:p>
      <w:pPr>
        <w:spacing w:after="0" w:line="5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At December 31, 2021, the carrying value and fair value of our Credit Facility was $155.4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December 31, 2021, the carrying value of our acquisition debt was $4.5 million, which approximated its fair value. The fair value of our Senior Notes was $401.6 million at December 31, 2021 based on the last traded or broker quoted price.</w:t>
      </w:r>
    </w:p>
    <w:p>
      <w:pPr>
        <w:spacing w:after="0" w:line="9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w:t>
      </w:r>
    </w:p>
    <w:p>
      <w:pPr>
        <w:spacing w:after="0" w:line="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three-level valuation hierarchy based upon the transparency of inputs is utilized in the measurement and valuation of financial assets or liabilities as of the measurement date:</w:t>
      </w:r>
    </w:p>
    <w:p>
      <w:pPr>
        <w:spacing w:after="0" w:line="76" w:lineRule="exact"/>
        <w:rPr>
          <w:sz w:val="20"/>
          <w:szCs w:val="20"/>
          <w:color w:val="auto"/>
        </w:rPr>
      </w:pPr>
    </w:p>
    <w:p>
      <w:pPr>
        <w:ind w:left="1180" w:hanging="622"/>
        <w:spacing w:after="0" w:line="261" w:lineRule="auto"/>
        <w:tabs>
          <w:tab w:leader="none" w:pos="1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1—Fair value of securities based on unadjusted quoted prices for identical assets or liabilities in active markets. Our investments classified as Level 1 securities include cash, U.S. treasury debt, common stock and equity mutual funds;</w:t>
      </w:r>
    </w:p>
    <w:p>
      <w:pPr>
        <w:spacing w:after="0" w:line="76" w:lineRule="exact"/>
        <w:rPr>
          <w:rFonts w:ascii="Arial" w:cs="Arial" w:eastAsia="Arial" w:hAnsi="Arial"/>
          <w:sz w:val="18"/>
          <w:szCs w:val="18"/>
          <w:color w:val="auto"/>
        </w:rPr>
      </w:pPr>
    </w:p>
    <w:p>
      <w:pPr>
        <w:jc w:val="both"/>
        <w:ind w:left="1180" w:hanging="622"/>
        <w:spacing w:after="0" w:line="287" w:lineRule="auto"/>
        <w:tabs>
          <w:tab w:leader="none" w:pos="11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foreign debt, corporate debt, preferred stocks, mortgage-backed securities and fixed income mutual funds and other investments.</w:t>
      </w:r>
    </w:p>
    <w:p>
      <w:pPr>
        <w:spacing w:after="0" w:line="57" w:lineRule="exact"/>
        <w:rPr>
          <w:rFonts w:ascii="Arial" w:cs="Arial" w:eastAsia="Arial" w:hAnsi="Arial"/>
          <w:sz w:val="16"/>
          <w:szCs w:val="16"/>
          <w:color w:val="auto"/>
        </w:rPr>
      </w:pPr>
    </w:p>
    <w:p>
      <w:pPr>
        <w:jc w:val="both"/>
        <w:ind w:left="1180" w:hanging="622"/>
        <w:spacing w:after="0" w:line="252" w:lineRule="auto"/>
        <w:tabs>
          <w:tab w:leader="none" w:pos="11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3—Unobservable inputs based upon the reporting entity’s internally developed assumptions, which market participants would use in pricing the asset or liability. As of December 31, 2020 and 2021, we did not have any assets that had fair values determined by Level 3 inputs and no liabilities measured at fair value.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Notes 7 and 8 to our Consolidated Financial Statements herein for the fair value hierarchy levels of our trust 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AND OTHER NON-CURRENT ASSETS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and other non-current assets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1660" w:type="dxa"/>
            <w:vAlign w:val="bottom"/>
          </w:tcPr>
          <w:p>
            <w:pPr>
              <w:jc w:val="right"/>
              <w:ind w:right="194"/>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0" w:type="dxa"/>
            <w:vAlign w:val="bottom"/>
          </w:tcPr>
          <w:p>
            <w:pPr>
              <w:spacing w:after="0"/>
              <w:rPr>
                <w:sz w:val="1"/>
                <w:szCs w:val="1"/>
                <w:color w:val="auto"/>
              </w:rPr>
            </w:pPr>
          </w:p>
        </w:tc>
      </w:tr>
      <w:tr>
        <w:trPr>
          <w:trHeight w:val="172"/>
        </w:trPr>
        <w:tc>
          <w:tcPr>
            <w:tcW w:w="7320" w:type="dxa"/>
            <w:vAlign w:val="bottom"/>
          </w:tcPr>
          <w:p>
            <w:pPr>
              <w:ind w:left="20"/>
              <w:spacing w:after="0" w:line="172" w:lineRule="exact"/>
              <w:rPr>
                <w:sz w:val="20"/>
                <w:szCs w:val="20"/>
                <w:color w:val="auto"/>
              </w:rPr>
            </w:pPr>
            <w:r>
              <w:rPr>
                <w:rFonts w:ascii="Arial" w:cs="Arial" w:eastAsia="Arial" w:hAnsi="Arial"/>
                <w:sz w:val="18"/>
                <w:szCs w:val="18"/>
                <w:color w:val="auto"/>
                <w:w w:val="99"/>
              </w:rPr>
              <w:t>Prepaid agreements not-to-compete, net of accumulated amortization of $3,193 and $3,316,</w:t>
            </w: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2,785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Capitalized commissions on preneed contracts, net of accumulated amortization</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$1,594 and $2,278, respectively</w:t>
            </w: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Intangible and other non-current assets, net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tradenames have indefinite lives and therefore are not amortized. During the year ended December 31, 2020, we increased tradenames by $0.4 million related to our 2020 acquisitions described in Note 3 to the Consolidated Financial Statements included herein.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our 2021 annual impairment test, we performed a qualitative assessment and concluded there that was no impairment to our intangible assets.</w:t>
      </w:r>
    </w:p>
    <w:p>
      <w:pPr>
        <w:spacing w:after="0" w:line="13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2020, as a result of economic conditions caused by COVID-19, we performed a quantitative assessment of our tradenames and we recorded an impairment to tradenames for certain of our funeral homes of $1.1 million, as the carrying amount of these tradenames exceeded the fair value.</w:t>
      </w:r>
    </w:p>
    <w:p>
      <w:pPr>
        <w:spacing w:after="0" w:line="30"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For our 2020 annual impairment test, we performed a qualitative assessment and determined that there were no factors that would indicate the need to perform an additional quantitative impairment test and concluded there that was no additional impairment to our intangible assets.</w:t>
      </w:r>
    </w:p>
    <w:p>
      <w:pPr>
        <w:spacing w:after="0" w:line="3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See Notes 1, 3 and 5 to the Consolidated Financial Statements included herein, for a discussion of the methodology used for our indefinite lived intangible asset impairment test and discussion of our acquisitions and divestitures,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Agreements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Prepaid agreements not-to-compete are amortized over the term of the respective agreements, ranging generally from one to ten years. Amortization expense was $673,000, $719,000 and $645,000 for the years ended December 31, 2019, 2020 and 2021, respectively. During the year ended December 31, 2020, we divested three funeral homes that had a carrying value of prepaid agreements not-to-compete of $537,000, which was included in the gain or loss on the sale of divestitures and recorded in </w:t>
      </w:r>
      <w:r>
        <w:rPr>
          <w:rFonts w:ascii="Arial" w:cs="Arial" w:eastAsia="Arial" w:hAnsi="Arial"/>
          <w:sz w:val="16"/>
          <w:szCs w:val="16"/>
          <w:i w:val="1"/>
          <w:iCs w:val="1"/>
          <w:color w:val="auto"/>
        </w:rPr>
        <w:t>Net loss on divestitures, disposals and impairment charges</w:t>
      </w:r>
      <w:r>
        <w:rPr>
          <w:rFonts w:ascii="Arial" w:cs="Arial" w:eastAsia="Arial" w:hAnsi="Arial"/>
          <w:sz w:val="16"/>
          <w:szCs w:val="16"/>
          <w:color w:val="auto"/>
        </w:rPr>
        <w:t xml:space="preserve"> on our Consolidated Statements of Operations. See Note 5 to the Consolidated Financial Statements included herein, for a discussion of our divestitures.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Commissions</w:t>
      </w:r>
    </w:p>
    <w:p>
      <w:pPr>
        <w:spacing w:after="0" w:line="109"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was $558,000, $580,000 and $640,000 for the years ended December 31, 2019, 2020 and 2021, respectively.</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aggregate amortization expense for our non-compete agreements and capitalized commissions as of December 31, 2021 is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Non-Compete Agreements</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87"/>
              </w:rPr>
              <w:t>Capitalized Commissions</w:t>
            </w:r>
          </w:p>
        </w:tc>
      </w:tr>
      <w:tr>
        <w:trPr>
          <w:trHeight w:val="207"/>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7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3"/>
        </w:trPr>
        <w:tc>
          <w:tcPr>
            <w:tcW w:w="7320" w:type="dxa"/>
            <w:vAlign w:val="bottom"/>
          </w:tcPr>
          <w:p>
            <w:pPr>
              <w:ind w:left="120"/>
              <w:spacing w:after="0"/>
              <w:rPr>
                <w:sz w:val="20"/>
                <w:szCs w:val="20"/>
                <w:color w:val="auto"/>
              </w:rPr>
            </w:pPr>
            <w:r>
              <w:rPr>
                <w:rFonts w:ascii="Arial" w:cs="Arial" w:eastAsia="Arial" w:hAnsi="Arial"/>
                <w:sz w:val="18"/>
                <w:szCs w:val="18"/>
                <w:color w:val="auto"/>
              </w:rPr>
              <w:t>2022</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24"/>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7320" w:type="dxa"/>
            <w:vAlign w:val="bottom"/>
          </w:tcPr>
          <w:p>
            <w:pPr>
              <w:ind w:left="12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4"/>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7320" w:type="dxa"/>
            <w:vAlign w:val="bottom"/>
          </w:tcPr>
          <w:p>
            <w:pPr>
              <w:ind w:left="120"/>
              <w:spacing w:after="0"/>
              <w:rPr>
                <w:sz w:val="20"/>
                <w:szCs w:val="20"/>
                <w:color w:val="auto"/>
              </w:rPr>
            </w:pPr>
            <w:r>
              <w:rPr>
                <w:rFonts w:ascii="Arial" w:cs="Arial" w:eastAsia="Arial" w:hAnsi="Arial"/>
                <w:sz w:val="18"/>
                <w:szCs w:val="18"/>
                <w:color w:val="auto"/>
              </w:rPr>
              <w:t>2026</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4"/>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17"/>
        </w:trPr>
        <w:tc>
          <w:tcPr>
            <w:tcW w:w="732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r>
      <w:tr>
        <w:trPr>
          <w:trHeight w:val="20"/>
        </w:trPr>
        <w:tc>
          <w:tcPr>
            <w:tcW w:w="7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 AND ACQUISITION DEBT</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At December 31, 2020, our senior secured revolving credit facility (the "Former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Former Credit Facility was to occur on May 31, 2023.</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May 13, 2021, in connection with the issuance of the Senior Notes (defined in Note 14), we entered into an amended and restated $150.0 million senior secured revolving credit facility (the “Credit Facility”) with the Credit Facility Subsidiary Guarantors (as defined below), the financial institutions party thereto, as lenders, and Bank of America, N.A., as administrative agent. We incurred $0.8 million in transactions costs related to the Credit Facility, which were capitalized and will be amortized over the remaining term of the related debt using the straight-line method.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 xml:space="preserve">On May 13, 2021, we used $21.4 million of the availability under the Credit Facility to repay the then outstanding balances under our Former Credit Facility and all commitments thereunder were terminated. In connection with the repayment in full of all amounts due thereunder, the Former Credit Facility was retired and $2.1 million of letters of credit previously issued under the Former Credit Facility were deemed issued under (and remain outstanding under) the Credit Facility. In connection with the termination of the Former Credit Facility, we recognized a loss on the write-off of $0.1 million in unamortized debt issuance costs, which was recorded in </w:t>
      </w: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w:t>
      </w:r>
    </w:p>
    <w:p>
      <w:pPr>
        <w:spacing w:after="0" w:line="8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November 22, 2021, we entered into a first amendment and commitment increase to the Credit Facility with the financial institutions party thereto, as lenders, and Bank of America, N.A., as administrative agent. Pursuant to this amendment, the revolving credit commitment was increased from $150.0 million to $200.0 million. We incurred $0.1 million in transactions costs related to this amendment, which were capitalized and will be amortized over the remaining term of the related debt using the straight-line method.</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obligations under the Credit Facility are unconditionally guaranteed on a joint and several basis by the same subsidiaries which guarantee the Senior Notes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 The final maturity of the Credit Facility will occur on May 13, 2026.</w:t>
      </w:r>
    </w:p>
    <w:p>
      <w:pPr>
        <w:spacing w:after="0" w:line="5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5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8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2021, we were subject to the following financial covenants under our Credit Facility: (A) a Total Leverage Ratio not to exceed, (i)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were in compliance with all of the covenants contained in our Credit Facility at December 31, 2021.</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Credit Facility and Acquisition debt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1660" w:type="dxa"/>
            <w:vAlign w:val="bottom"/>
          </w:tcPr>
          <w:p>
            <w:pPr>
              <w:jc w:val="right"/>
              <w:ind w:right="214"/>
              <w:spacing w:after="0"/>
              <w:rPr>
                <w:sz w:val="20"/>
                <w:szCs w:val="20"/>
                <w:color w:val="auto"/>
              </w:rPr>
            </w:pPr>
            <w:r>
              <w:rPr>
                <w:rFonts w:ascii="Arial" w:cs="Arial" w:eastAsia="Arial" w:hAnsi="Arial"/>
                <w:sz w:val="16"/>
                <w:szCs w:val="16"/>
                <w:b w:val="1"/>
                <w:bCs w:val="1"/>
                <w:color w:val="auto"/>
                <w:w w:val="92"/>
              </w:rPr>
              <w:t>December 31, 2021</w:t>
            </w:r>
          </w:p>
        </w:tc>
      </w:tr>
      <w:tr>
        <w:trPr>
          <w:trHeight w:val="220"/>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net of accumulated amortization of $819 and $1,324, respectively</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Credit Facility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153,857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42"/>
        </w:trPr>
        <w:tc>
          <w:tcPr>
            <w:tcW w:w="73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acquisition debt, net of 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At December 31, 2021, we had outstanding borrowings under the Credit Facility of $155.4 million. We also had one letter of credit for $2.1 million under the Credit Facility, which was increased to $2.3 million on September 1, 2021. The letter of credit will expire on November 25, 2022 and is expected to automatically renew annually and secures our obligations under our various self-insured policies. At December 31, 2021, we had $42.3 million of availability under the Credit Facility.</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Outstanding borrowings under our Credit Facility bear interest at either a prime rate or a LIBOR rate, plus an applicable margin based upon our leverage ratio. At December 31, 2021, the prime rate margin was equivalent to 0.75% and the LIBOR rate margin was 1.75%. The weighted average interest rate on our Credit Facility for the year ended December 31, 2021 was 2.4%. The weighted average interest rate on our Former Credit Facility for the year ended December 31, 2020 was 3.8%.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have no material assets or operations independent of Subsidiary Guarantors, as all of our assets and operations are held and conducted by the Subsidiary Guarantors. Additionally, we do not currently have any significant restrictions on our ability to receive dividends or loans from any Subsidiary Guarantors.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interest expense and amortization of debt issuance costs related to our Credit Facility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interest expense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Credit Facility amortization of debt issuance costs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18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Acquisition debt consists of deferred purchase price and promissory notes payable to sellers. A majority of the deferred purchase price and notes bear no interest and are discounted at imputed interest rates ranging from 7.3% to 10.0%. Original maturities typically range from five to twenty years.</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imputed interest expense related to our acquisition debt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62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w w:val="84"/>
              </w:rPr>
              <w:t>2020</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89"/>
              </w:rPr>
              <w:t>2021</w:t>
            </w:r>
          </w:p>
        </w:tc>
      </w:tr>
      <w:tr>
        <w:trPr>
          <w:trHeight w:val="22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debt imputed interest expense</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622</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489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364</w:t>
            </w:r>
          </w:p>
        </w:tc>
      </w:tr>
    </w:tbl>
    <w:p>
      <w:pPr>
        <w:spacing w:after="0" w:line="17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aggregate maturities of our Credit Facility and acquisition debt for the next five years subsequent to December 31, 2021 and thereafter, excluding debt issuance costs, are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Credit Facility</w:t>
            </w:r>
          </w:p>
        </w:tc>
        <w:tc>
          <w:tcPr>
            <w:tcW w:w="260" w:type="dxa"/>
            <w:vAlign w:val="bottom"/>
          </w:tcPr>
          <w:p>
            <w:pPr>
              <w:spacing w:after="0"/>
              <w:rPr>
                <w:sz w:val="19"/>
                <w:szCs w:val="19"/>
                <w:color w:val="auto"/>
              </w:rPr>
            </w:pPr>
          </w:p>
        </w:tc>
        <w:tc>
          <w:tcPr>
            <w:tcW w:w="184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Acquisition Debt</w:t>
            </w:r>
          </w:p>
        </w:tc>
      </w:tr>
      <w:tr>
        <w:trPr>
          <w:trHeight w:val="204"/>
        </w:trPr>
        <w:tc>
          <w:tcPr>
            <w:tcW w:w="6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Years ending December 31,</w:t>
            </w:r>
          </w:p>
        </w:tc>
        <w:tc>
          <w:tcPr>
            <w:tcW w:w="3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155,400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17"/>
        </w:trPr>
        <w:tc>
          <w:tcPr>
            <w:tcW w:w="6820" w:type="dxa"/>
            <w:vAlign w:val="bottom"/>
          </w:tcPr>
          <w:p>
            <w:pPr>
              <w:ind w:left="20"/>
              <w:spacing w:after="0"/>
              <w:rPr>
                <w:sz w:val="20"/>
                <w:szCs w:val="20"/>
                <w:color w:val="auto"/>
              </w:rPr>
            </w:pPr>
            <w:r>
              <w:rPr>
                <w:rFonts w:ascii="Arial" w:cs="Arial" w:eastAsia="Arial" w:hAnsi="Arial"/>
                <w:sz w:val="18"/>
                <w:szCs w:val="18"/>
                <w:color w:val="auto"/>
              </w:rPr>
              <w:t>Total Credit Facility and acquisition debt</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155,400</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6,526</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17"/>
        </w:trPr>
        <w:tc>
          <w:tcPr>
            <w:tcW w:w="6820" w:type="dxa"/>
            <w:vAlign w:val="bottom"/>
          </w:tcPr>
          <w:p>
            <w:pPr>
              <w:ind w:left="20"/>
              <w:spacing w:after="0"/>
              <w:rPr>
                <w:sz w:val="20"/>
                <w:szCs w:val="20"/>
                <w:color w:val="auto"/>
              </w:rPr>
            </w:pPr>
            <w:r>
              <w:rPr>
                <w:rFonts w:ascii="Arial" w:cs="Arial" w:eastAsia="Arial" w:hAnsi="Arial"/>
                <w:sz w:val="18"/>
                <w:szCs w:val="18"/>
                <w:color w:val="auto"/>
              </w:rPr>
              <w:t>Present value of Credit Facility and acquisition debt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155,400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CONVERTIBLE SUBORDINATED NOTES</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March 19, 2014, we issued $143.75 million aggregate principal amount of our 2.75% convertible subordinated notes due 2021 (the “Convertible Notes”). The Convertible Notes were due on March 15, 2021 and bear interest at 2.75% per year, which was payable semi-annually in arrears on March 15 and September 15 of each year.</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May 2018, we exchanged $115.0 million in aggregate principal amount of Convertible Notes in a privately-negotiated exchange with a limited number of convertible noteholders. We completed privately-negotiated repurchases of $22.4 million, $25,000 and $3.8 million in aggregate principal amount of our Convertible Notes in December 2018, April 2019 and September 2020, respectively.</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the year ended December 31, 2021, we converted $2.4 million in aggregate principal amount of our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carrying values of the liability and equity components of the Convertible Notes are reflected on our Consolidated Balance Sheet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63"/>
        </w:trPr>
        <w:tc>
          <w:tcPr>
            <w:tcW w:w="566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discount of liability component</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Convertible Notes issuance costs, net of accumulated amortization of $63</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r>
      <w:tr>
        <w:trPr>
          <w:trHeight w:val="242"/>
        </w:trPr>
        <w:tc>
          <w:tcPr>
            <w:tcW w:w="56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Carrying value of the liability component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42"/>
        </w:trPr>
        <w:tc>
          <w:tcPr>
            <w:tcW w:w="56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Carrying value of the equity component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The carrying value of the liability component and the carrying value of the equity component are recorded in </w:t>
      </w:r>
      <w:r>
        <w:rPr>
          <w:rFonts w:ascii="Arial" w:cs="Arial" w:eastAsia="Arial" w:hAnsi="Arial"/>
          <w:sz w:val="18"/>
          <w:szCs w:val="18"/>
          <w:i w:val="1"/>
          <w:iCs w:val="1"/>
          <w:color w:val="auto"/>
        </w:rPr>
        <w:t>Convertible subordinated notes due 2021</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respectively, on our Consolidated Balance Sheet at December 31, 2020.</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accretion of debt discount and debt issuance costs related to our Convertible Notes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88"/>
              </w:rPr>
              <w:t>Years ended December 31,</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63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interest expense</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Convertible Notes accretion of debt discount</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amortization of debt issuance costs</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17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effective interest rate on the unamortized debt discount and debt issuance costs for both years ended December 31, 2020 and 2021 was 11.4% and 3.1%,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SENIOR NOTES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May 13, 2021, we issued $400.0 million in aggregate principal amount of 4.25% Senior Notes due 2029 (the “Senior Notes”) and related guarantees by the Subsidiary Guarantors in a private offering under Rule 144A and Regulation S of the Securities Act.</w:t>
      </w:r>
    </w:p>
    <w:p>
      <w:pPr>
        <w:spacing w:after="0" w:line="76"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used the proceeds of $395.5 million from the offering of the Senior Notes, which are net of a 1.125% debt discount of $4.5 million, together with cash on hand and borrowings under the Credit Facility, to redeem all of our existing $400.0 million in aggregate principal amount of 6.625% senior notes due 2026 (the “Original Senior Notes”). We paid a premium of $19.9 million to redeem the Original Senior Notes on June 1, 2021 at a redemption price of 104.97% of the principal amount thereof, plus accrued and unpaid interest of $13.25 million. During the year ended December 31, 2021, we incurred $1.3 million in transaction costs related to the Senior Notes.</w:t>
      </w:r>
    </w:p>
    <w:p>
      <w:pPr>
        <w:spacing w:after="0" w:line="8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For the year ended December 31, 2021, we recognized a net loss of $23.7 million related to the redemption of the Original Senior Notes,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4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Senior Notes were issued under an indenture, dated as of May 13, 2021 (the “Indenture”), among the Company, the Subsidiary Guarantors and Wilmington Trust, National Association, as trustee (“Collateral Trustee”).</w:t>
      </w:r>
    </w:p>
    <w:p>
      <w:pPr>
        <w:spacing w:after="0" w:line="7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Senior Notes bear interest at 4.25% per year. Interest on the Senior Notes is payable semi-annually in arrears on May 15 and November 15 of each year, beginning on November 15, 2021. The Senior Notes mature on May 15, 2029, unless earlier redeemed or purchased. The Senior Notes are unsecured, senior obligations and are fully and unconditionally guaranteed on a senior unsecured basis, jointly and severally by each of the Subsidiary Guarantors.</w:t>
      </w:r>
    </w:p>
    <w:p>
      <w:pPr>
        <w:spacing w:after="0" w:line="4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7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5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debt discount and the debt issuance costs are being amortized using the effective interest method over the remaining term of 89 months of the Senior Notes. The effective interest rate on the unamortized debt discount and the unamortized debt issuance costs for the Senior Notes for the year ended December 31, 2021 was 4.42% and 4.30%, respectively.</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 of our Senior Notes is reflected on our Consolidated Balance Sheet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Arial" w:cs="Arial" w:eastAsia="Arial" w:hAnsi="Arial"/>
                <w:sz w:val="16"/>
                <w:szCs w:val="16"/>
                <w:b w:val="1"/>
                <w:bCs w:val="1"/>
                <w:color w:val="auto"/>
                <w:w w:val="88"/>
              </w:rPr>
              <w:t>December 31, 2021</w:t>
            </w:r>
          </w:p>
        </w:tc>
      </w:tr>
      <w:tr>
        <w:trPr>
          <w:trHeight w:val="213"/>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50"/>
        </w:trPr>
        <w:tc>
          <w:tcPr>
            <w:tcW w:w="5660" w:type="dxa"/>
            <w:vAlign w:val="bottom"/>
          </w:tcPr>
          <w:p>
            <w:pPr>
              <w:ind w:left="140"/>
              <w:spacing w:after="0"/>
              <w:rPr>
                <w:sz w:val="20"/>
                <w:szCs w:val="20"/>
                <w:color w:val="auto"/>
              </w:rPr>
            </w:pPr>
            <w:r>
              <w:rPr>
                <w:rFonts w:ascii="Arial" w:cs="Arial" w:eastAsia="Arial" w:hAnsi="Arial"/>
                <w:sz w:val="18"/>
                <w:szCs w:val="18"/>
                <w:color w:val="auto"/>
              </w:rPr>
              <w:t>Principal amount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5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premium, net of accumulated amortization of $221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2"/>
        </w:trPr>
        <w:tc>
          <w:tcPr>
            <w:tcW w:w="5660" w:type="dxa"/>
            <w:vAlign w:val="bottom"/>
          </w:tcPr>
          <w:p>
            <w:pPr>
              <w:ind w:left="140"/>
              <w:spacing w:after="0" w:line="172" w:lineRule="exact"/>
              <w:rPr>
                <w:sz w:val="20"/>
                <w:szCs w:val="20"/>
                <w:color w:val="auto"/>
              </w:rPr>
            </w:pPr>
            <w:r>
              <w:rPr>
                <w:rFonts w:ascii="Arial" w:cs="Arial" w:eastAsia="Arial" w:hAnsi="Arial"/>
                <w:sz w:val="18"/>
                <w:szCs w:val="18"/>
                <w:color w:val="auto"/>
              </w:rPr>
              <w:t>Debt discount, net of accumulated amortization of $1,293 and $301,</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6"/>
        </w:trPr>
        <w:tc>
          <w:tcPr>
            <w:tcW w:w="566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(4,199)</w:t>
            </w:r>
          </w:p>
        </w:tc>
      </w:tr>
      <w:tr>
        <w:trPr>
          <w:trHeight w:val="172"/>
        </w:trPr>
        <w:tc>
          <w:tcPr>
            <w:tcW w:w="566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7"/>
              </w:rPr>
              <w:t>Debt issuance costs, net of accumulated amortization of $496 and $86,</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6"/>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17"/>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Carrying value of the Senior Notes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395,968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394,610</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of the Senior Notes, which are Level 2 measurements, was $401.6 million at December 31, 2021.</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effective interest rate on the unamortized debt discount and the unamortized debt issuance costs for the Original Senior Notes, issued in May 2018, for the year ended December 31, 2020 was 6.69%. The effective interest rate on the unamortized debt premium and the unamortized debt issuance costs for the additional Original Senior Notes, issued in December 2019, for year ended December 31, 2020 was 6.90%.</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Years ended December 31,</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4"/>
        </w:trPr>
        <w:tc>
          <w:tcPr>
            <w:tcW w:w="448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2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Senior Notes amortization of debt discount</w:t>
            </w:r>
          </w:p>
        </w:tc>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amortization of debt premium</w:t>
            </w:r>
          </w:p>
        </w:tc>
        <w:tc>
          <w:tcPr>
            <w:tcW w:w="1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Senior Notes amortization of debt issuance costs</w:t>
            </w:r>
          </w:p>
        </w:tc>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829"/>
        </w:trPr>
        <w:tc>
          <w:tcPr>
            <w:tcW w:w="4480" w:type="dxa"/>
            <w:vAlign w:val="bottom"/>
          </w:tcPr>
          <w:p>
            <w:pPr>
              <w:spacing w:after="0"/>
              <w:rPr>
                <w:sz w:val="24"/>
                <w:szCs w:val="24"/>
                <w:color w:val="auto"/>
              </w:rPr>
            </w:pPr>
          </w:p>
        </w:tc>
        <w:tc>
          <w:tcPr>
            <w:tcW w:w="1760" w:type="dxa"/>
            <w:vAlign w:val="bottom"/>
          </w:tcPr>
          <w:p>
            <w:pPr>
              <w:jc w:val="right"/>
              <w:ind w:right="432"/>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2"/>
        </w:trPr>
        <w:tc>
          <w:tcPr>
            <w:tcW w:w="44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maturities of our Senior Notes for the next five years subsequent to December 31, 2021 and thereafter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Principal Maturity</w:t>
            </w:r>
          </w:p>
        </w:tc>
        <w:tc>
          <w:tcPr>
            <w:tcW w:w="1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Discount</w:t>
            </w:r>
          </w:p>
        </w:tc>
        <w:tc>
          <w:tcPr>
            <w:tcW w:w="240" w:type="dxa"/>
            <w:vAlign w:val="bottom"/>
          </w:tcPr>
          <w:p>
            <w:pPr>
              <w:spacing w:after="0"/>
              <w:rPr>
                <w:sz w:val="16"/>
                <w:szCs w:val="16"/>
                <w:color w:val="auto"/>
              </w:rPr>
            </w:pPr>
          </w:p>
        </w:tc>
        <w:tc>
          <w:tcPr>
            <w:tcW w:w="1080" w:type="dxa"/>
            <w:vAlign w:val="bottom"/>
          </w:tcPr>
          <w:p>
            <w:pPr>
              <w:jc w:val="right"/>
              <w:ind w:right="254"/>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05"/>
        </w:trPr>
        <w:tc>
          <w:tcPr>
            <w:tcW w:w="684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Amortization</w:t>
            </w:r>
          </w:p>
        </w:tc>
        <w:tc>
          <w:tcPr>
            <w:tcW w:w="240" w:type="dxa"/>
            <w:vAlign w:val="bottom"/>
          </w:tcPr>
          <w:p>
            <w:pPr>
              <w:spacing w:after="0"/>
              <w:rPr>
                <w:sz w:val="17"/>
                <w:szCs w:val="17"/>
                <w:color w:val="auto"/>
              </w:rPr>
            </w:pPr>
          </w:p>
        </w:tc>
        <w:tc>
          <w:tcPr>
            <w:tcW w:w="10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Arial" w:cs="Arial" w:eastAsia="Arial" w:hAnsi="Arial"/>
                <w:sz w:val="18"/>
                <w:szCs w:val="18"/>
                <w:color w:val="auto"/>
              </w:rPr>
              <w:t>2022</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6840" w:type="dxa"/>
            <w:vAlign w:val="bottom"/>
          </w:tcPr>
          <w:p>
            <w:pPr>
              <w:ind w:left="2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6840" w:type="dxa"/>
            <w:vAlign w:val="bottom"/>
          </w:tcPr>
          <w:p>
            <w:pPr>
              <w:ind w:left="22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398,499</w:t>
            </w:r>
          </w:p>
        </w:tc>
        <w:tc>
          <w:tcPr>
            <w:tcW w:w="0" w:type="dxa"/>
            <w:vAlign w:val="bottom"/>
          </w:tcPr>
          <w:p>
            <w:pPr>
              <w:spacing w:after="0"/>
              <w:rPr>
                <w:sz w:val="1"/>
                <w:szCs w:val="1"/>
                <w:color w:val="auto"/>
              </w:rPr>
            </w:pPr>
          </w:p>
        </w:tc>
      </w:tr>
      <w:tr>
        <w:trPr>
          <w:trHeight w:val="217"/>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lease obligations consist of operating and finance leases related to real estate and equipment. The components of lease cost are as follows (in thousands):</w:t>
      </w:r>
    </w:p>
    <w:p>
      <w:pPr>
        <w:spacing w:after="0" w:line="9" w:lineRule="exact"/>
        <w:rPr>
          <w:sz w:val="20"/>
          <w:szCs w:val="20"/>
          <w:color w:val="auto"/>
        </w:rPr>
      </w:pPr>
    </w:p>
    <w:tbl>
      <w:tblPr>
        <w:tblLayout w:type="fixed"/>
        <w:tblInd w:w="326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 Ended December 31,</w:t>
            </w:r>
          </w:p>
        </w:tc>
        <w:tc>
          <w:tcPr>
            <w:tcW w:w="1320" w:type="dxa"/>
            <w:vAlign w:val="bottom"/>
            <w:tcBorders>
              <w:bottom w:val="single" w:sz="8" w:color="auto"/>
            </w:tcBorders>
          </w:tcPr>
          <w:p>
            <w:pPr>
              <w:spacing w:after="0"/>
              <w:rPr>
                <w:sz w:val="17"/>
                <w:szCs w:val="17"/>
                <w:color w:val="auto"/>
              </w:rPr>
            </w:pPr>
          </w:p>
        </w:tc>
      </w:tr>
      <w:tr>
        <w:trPr>
          <w:trHeight w:val="204"/>
        </w:trPr>
        <w:tc>
          <w:tcPr>
            <w:tcW w:w="2780" w:type="dxa"/>
            <w:vAlign w:val="bottom"/>
          </w:tcPr>
          <w:p>
            <w:pPr>
              <w:spacing w:after="0"/>
              <w:rPr>
                <w:sz w:val="20"/>
                <w:szCs w:val="20"/>
                <w:color w:val="auto"/>
              </w:rPr>
            </w:pPr>
            <w:r>
              <w:rPr>
                <w:rFonts w:ascii="Arial" w:cs="Arial" w:eastAsia="Arial" w:hAnsi="Arial"/>
                <w:sz w:val="16"/>
                <w:szCs w:val="16"/>
                <w:b w:val="1"/>
                <w:bCs w:val="1"/>
                <w:color w:val="auto"/>
              </w:rPr>
              <w:t>Income Statement Classification</w:t>
            </w: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rPr>
              <w:t>2019</w:t>
            </w:r>
          </w:p>
        </w:tc>
        <w:tc>
          <w:tcPr>
            <w:tcW w:w="2540" w:type="dxa"/>
            <w:vAlign w:val="bottom"/>
          </w:tcPr>
          <w:p>
            <w:pPr>
              <w:jc w:val="right"/>
              <w:ind w:right="1021"/>
              <w:spacing w:after="0"/>
              <w:rPr>
                <w:sz w:val="20"/>
                <w:szCs w:val="20"/>
                <w:color w:val="auto"/>
              </w:rPr>
            </w:pPr>
            <w:r>
              <w:rPr>
                <w:rFonts w:ascii="Arial" w:cs="Arial" w:eastAsia="Arial" w:hAnsi="Arial"/>
                <w:sz w:val="16"/>
                <w:szCs w:val="16"/>
                <w:b w:val="1"/>
                <w:bCs w:val="1"/>
                <w:color w:val="auto"/>
              </w:rPr>
              <w:t>2020</w:t>
            </w:r>
          </w:p>
        </w:tc>
        <w:tc>
          <w:tcPr>
            <w:tcW w:w="1320" w:type="dxa"/>
            <w:vAlign w:val="bottom"/>
          </w:tcPr>
          <w:p>
            <w:pPr>
              <w:jc w:val="right"/>
              <w:ind w:right="541"/>
              <w:spacing w:after="0"/>
              <w:rPr>
                <w:sz w:val="20"/>
                <w:szCs w:val="20"/>
                <w:color w:val="auto"/>
              </w:rPr>
            </w:pPr>
            <w:r>
              <w:rPr>
                <w:rFonts w:ascii="Arial" w:cs="Arial" w:eastAsia="Arial" w:hAnsi="Arial"/>
                <w:sz w:val="16"/>
                <w:szCs w:val="16"/>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35495" cy="150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Depreciation of leased assets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on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Borders>
              <w:top w:val="single" w:sz="8" w:color="auto"/>
            </w:tcBorders>
          </w:tcPr>
          <w:p>
            <w:pPr>
              <w:ind w:left="20"/>
              <w:spacing w:after="0" w:line="224"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w:t>
            </w:r>
          </w:p>
        </w:tc>
      </w:tr>
      <w:tr>
        <w:trPr>
          <w:trHeight w:val="224"/>
        </w:trPr>
        <w:tc>
          <w:tcPr>
            <w:tcW w:w="318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2"/>
                <w:szCs w:val="22"/>
                <w:color w:val="auto"/>
                <w:vertAlign w:val="superscript"/>
              </w:rPr>
              <w:t>(1)</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304"/>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Facilities and grounds expense</w:t>
            </w:r>
            <w:r>
              <w:rPr>
                <w:rFonts w:ascii="Arial" w:cs="Arial" w:eastAsia="Arial" w:hAnsi="Arial"/>
                <w:sz w:val="22"/>
                <w:szCs w:val="22"/>
                <w:color w:val="auto"/>
                <w:vertAlign w:val="superscript"/>
              </w:rPr>
              <w:t>(1)</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525"/>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(2)</w:t>
            </w: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4"/>
                <w:szCs w:val="24"/>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4"/>
                <w:szCs w:val="24"/>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22"/>
        </w:trPr>
        <w:tc>
          <w:tcPr>
            <w:tcW w:w="3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expense</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-667385</wp:posOffset>
            </wp:positionV>
            <wp:extent cx="7135495" cy="142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-424815</wp:posOffset>
            </wp:positionV>
            <wp:extent cx="7135495" cy="142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-140970</wp:posOffset>
            </wp:positionV>
            <wp:extent cx="7135495" cy="142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40" w:space="720"/>
            <w:col w:w="8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6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142240</wp:posOffset>
            </wp:positionV>
            <wp:extent cx="70942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20" w:lineRule="exact"/>
        <w:rPr>
          <w:sz w:val="20"/>
          <w:szCs w:val="20"/>
          <w:color w:val="auto"/>
        </w:rPr>
      </w:pPr>
    </w:p>
    <w:p>
      <w:pPr>
        <w:ind w:left="460" w:hanging="404"/>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Facilities and grounds expense is included within </w:t>
      </w:r>
      <w:r>
        <w:rPr>
          <w:rFonts w:ascii="Arial" w:cs="Arial" w:eastAsia="Arial" w:hAnsi="Arial"/>
          <w:sz w:val="16"/>
          <w:szCs w:val="16"/>
          <w:i w:val="1"/>
          <w:iCs w:val="1"/>
          <w:color w:val="auto"/>
        </w:rPr>
        <w:t>Cost of service</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 and other</w:t>
      </w:r>
      <w:r>
        <w:rPr>
          <w:rFonts w:ascii="Arial" w:cs="Arial" w:eastAsia="Arial" w:hAnsi="Arial"/>
          <w:sz w:val="16"/>
          <w:szCs w:val="16"/>
          <w:color w:val="auto"/>
        </w:rPr>
        <w:t xml:space="preserve"> on our Consolidated Statements of Operations.</w:t>
      </w:r>
    </w:p>
    <w:p>
      <w:pPr>
        <w:spacing w:after="0" w:line="26" w:lineRule="exact"/>
        <w:rPr>
          <w:rFonts w:ascii="Arial" w:cs="Arial" w:eastAsia="Arial" w:hAnsi="Arial"/>
          <w:sz w:val="16"/>
          <w:szCs w:val="16"/>
          <w:color w:val="auto"/>
        </w:rPr>
      </w:pPr>
    </w:p>
    <w:p>
      <w:pPr>
        <w:ind w:left="460" w:right="40" w:hanging="404"/>
        <w:spacing w:after="0" w:line="23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is included within </w:t>
      </w:r>
      <w:r>
        <w:rPr>
          <w:rFonts w:ascii="Arial" w:cs="Arial" w:eastAsia="Arial" w:hAnsi="Arial"/>
          <w:sz w:val="16"/>
          <w:szCs w:val="16"/>
          <w:i w:val="1"/>
          <w:iCs w:val="1"/>
          <w:color w:val="auto"/>
        </w:rPr>
        <w:t>Field depreciation expense</w:t>
      </w:r>
      <w:r>
        <w:rPr>
          <w:rFonts w:ascii="Arial" w:cs="Arial" w:eastAsia="Arial" w:hAnsi="Arial"/>
          <w:sz w:val="16"/>
          <w:szCs w:val="16"/>
          <w:color w:val="auto"/>
        </w:rPr>
        <w:t xml:space="preserve"> and </w:t>
      </w:r>
      <w:r>
        <w:rPr>
          <w:rFonts w:ascii="Arial" w:cs="Arial" w:eastAsia="Arial" w:hAnsi="Arial"/>
          <w:sz w:val="16"/>
          <w:szCs w:val="16"/>
          <w:i w:val="1"/>
          <w:iCs w:val="1"/>
          <w:color w:val="auto"/>
        </w:rPr>
        <w:t>Home office depreciation and amortization</w:t>
      </w:r>
      <w:r>
        <w:rPr>
          <w:rFonts w:ascii="Arial" w:cs="Arial" w:eastAsia="Arial" w:hAnsi="Arial"/>
          <w:sz w:val="16"/>
          <w:szCs w:val="16"/>
          <w:color w:val="auto"/>
        </w:rPr>
        <w:t xml:space="preserve"> on our Consolidated Statements of Operations.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our leases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2"/>
              </w:rPr>
              <w:t>Years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4"/>
        </w:trPr>
        <w:tc>
          <w:tcPr>
            <w:tcW w:w="60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r>
      <w:tr>
        <w:trPr>
          <w:trHeight w:val="22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Cash paid for finance leases included in financing activities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835</w:t>
            </w:r>
          </w:p>
        </w:tc>
      </w:tr>
    </w:tbl>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Right-of-use assets obtained in exchange for new leases are as follows (in thousands):</w:t>
      </w:r>
    </w:p>
    <w:p>
      <w:pPr>
        <w:spacing w:after="0" w:line="41"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17145</wp:posOffset>
            </wp:positionV>
            <wp:extent cx="2489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0" w:lineRule="exact"/>
        <w:rPr>
          <w:sz w:val="20"/>
          <w:szCs w:val="20"/>
          <w:color w:val="auto"/>
        </w:rPr>
      </w:pPr>
    </w:p>
    <w:p>
      <w:pPr>
        <w:ind w:left="7980"/>
        <w:spacing w:after="0"/>
        <w:tabs>
          <w:tab w:leader="none" w:pos="100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20" w:type="dxa"/>
            <w:vAlign w:val="bottom"/>
            <w:tcBorders>
              <w:top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8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year ended December 31, 2021, we received a leasehold improvement allowance of $1.4 million for the renovation of our home office space in Houston, Texas from our lessor. We recorded a leasehold improvement asset as property,</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plant and equipment and reduced our right-of-use asset by $1.4 million. The leasehold improvement allowance will be recognized prospectively by ratably reducing the lease expense over the remaining lease term.</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41" w:lineRule="exact"/>
        <w:rPr>
          <w:sz w:val="20"/>
          <w:szCs w:val="20"/>
          <w:color w:val="auto"/>
        </w:rPr>
      </w:pPr>
    </w:p>
    <w:p>
      <w:pPr>
        <w:jc w:val="right"/>
        <w:ind w:right="280"/>
        <w:spacing w:after="0"/>
        <w:tabs>
          <w:tab w:leader="none" w:pos="6460" w:val="left"/>
          <w:tab w:leader="none" w:pos="3320" w:val="left"/>
          <w:tab w:leader="none" w:pos="1260" w:val="left"/>
        </w:tabs>
        <w:rPr>
          <w:sz w:val="20"/>
          <w:szCs w:val="20"/>
          <w:color w:val="auto"/>
        </w:rPr>
      </w:pPr>
      <w:r>
        <w:rPr>
          <w:rFonts w:ascii="Arial" w:cs="Arial" w:eastAsia="Arial" w:hAnsi="Arial"/>
          <w:sz w:val="16"/>
          <w:szCs w:val="16"/>
          <w:b w:val="1"/>
          <w:bCs w:val="1"/>
          <w:color w:val="auto"/>
        </w:rPr>
        <w:t>Lease Type</w:t>
      </w:r>
      <w:r>
        <w:rPr>
          <w:sz w:val="20"/>
          <w:szCs w:val="20"/>
          <w:color w:val="auto"/>
        </w:rPr>
        <w:tab/>
      </w:r>
      <w:r>
        <w:rPr>
          <w:rFonts w:ascii="Arial" w:cs="Arial" w:eastAsia="Arial" w:hAnsi="Arial"/>
          <w:sz w:val="16"/>
          <w:szCs w:val="16"/>
          <w:b w:val="1"/>
          <w:bCs w:val="1"/>
          <w:color w:val="auto"/>
        </w:rPr>
        <w:t>Balance Sheet Classification</w:t>
      </w:r>
      <w:r>
        <w:rPr>
          <w:sz w:val="20"/>
          <w:szCs w:val="20"/>
          <w:color w:val="auto"/>
        </w:rPr>
        <w:tab/>
      </w:r>
      <w:r>
        <w:rPr>
          <w:rFonts w:ascii="Arial" w:cs="Arial" w:eastAsia="Arial" w:hAnsi="Arial"/>
          <w:sz w:val="16"/>
          <w:szCs w:val="16"/>
          <w:b w:val="1"/>
          <w:bCs w:val="1"/>
          <w:color w:val="auto"/>
        </w:rPr>
        <w:t>December 31, 2020</w:t>
      </w:r>
      <w:r>
        <w:rPr>
          <w:sz w:val="20"/>
          <w:szCs w:val="20"/>
          <w:color w:val="auto"/>
        </w:rPr>
        <w:tab/>
      </w: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5495" cy="150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right-of-use assets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depreciation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right-of-use assets, net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current liabilities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current liabilities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current lease liabilities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non-current liabilities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non-current liabilities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Operating lease right-of-use assets</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17,881</w:t>
            </w:r>
          </w:p>
        </w:tc>
        <w:tc>
          <w:tcPr>
            <w:tcW w:w="0" w:type="dxa"/>
            <w:vAlign w:val="bottom"/>
          </w:tcPr>
          <w:p>
            <w:pPr>
              <w:spacing w:after="0"/>
              <w:rPr>
                <w:sz w:val="1"/>
                <w:szCs w:val="1"/>
                <w:color w:val="auto"/>
              </w:rPr>
            </w:pPr>
          </w:p>
        </w:tc>
      </w:tr>
      <w:tr>
        <w:trPr>
          <w:trHeight w:val="382"/>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24"/>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4,765</w:t>
            </w:r>
          </w:p>
        </w:tc>
        <w:tc>
          <w:tcPr>
            <w:tcW w:w="200" w:type="dxa"/>
            <w:vAlign w:val="bottom"/>
          </w:tcPr>
          <w:p>
            <w:pPr>
              <w:spacing w:after="0"/>
              <w:rPr>
                <w:sz w:val="18"/>
                <w:szCs w:val="18"/>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382"/>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portion of operating lease obligations</w:t>
            </w: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Pr>
          <w:p>
            <w:pPr>
              <w:spacing w:after="0"/>
              <w:rPr>
                <w:sz w:val="24"/>
                <w:szCs w:val="24"/>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4"/>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portion of finance lease obligations</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2,405</w:t>
            </w:r>
          </w:p>
        </w:tc>
        <w:tc>
          <w:tcPr>
            <w:tcW w:w="200" w:type="dxa"/>
            <w:vAlign w:val="bottom"/>
          </w:tcPr>
          <w:p>
            <w:pPr>
              <w:spacing w:after="0"/>
              <w:rPr>
                <w:sz w:val="18"/>
                <w:szCs w:val="18"/>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330"/>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Obligations under operating leases, net of</w:t>
            </w:r>
          </w:p>
        </w:tc>
        <w:tc>
          <w:tcPr>
            <w:tcW w:w="700" w:type="dxa"/>
            <w:vAlign w:val="bottom"/>
            <w:vMerge w:val="restart"/>
          </w:tcPr>
          <w:p>
            <w:pPr>
              <w:jc w:val="right"/>
              <w:ind w:right="512"/>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20,302</w:t>
            </w:r>
          </w:p>
        </w:tc>
        <w:tc>
          <w:tcPr>
            <w:tcW w:w="200" w:type="dxa"/>
            <w:vAlign w:val="bottom"/>
          </w:tcPr>
          <w:p>
            <w:pPr>
              <w:spacing w:after="0"/>
              <w:rPr>
                <w:sz w:val="24"/>
                <w:szCs w:val="24"/>
                <w:color w:val="auto"/>
              </w:rPr>
            </w:pPr>
          </w:p>
        </w:tc>
        <w:tc>
          <w:tcPr>
            <w:tcW w:w="720" w:type="dxa"/>
            <w:vAlign w:val="bottom"/>
            <w:vMerge w:val="restart"/>
          </w:tcPr>
          <w:p>
            <w:pPr>
              <w:jc w:val="right"/>
              <w:ind w:right="512"/>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22"/>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portion</w:t>
            </w:r>
          </w:p>
        </w:tc>
        <w:tc>
          <w:tcPr>
            <w:tcW w:w="7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ind w:left="20"/>
              <w:spacing w:after="0" w:line="172" w:lineRule="exact"/>
              <w:rPr>
                <w:sz w:val="20"/>
                <w:szCs w:val="20"/>
                <w:color w:val="auto"/>
              </w:rPr>
            </w:pPr>
            <w:r>
              <w:rPr>
                <w:rFonts w:ascii="Arial" w:cs="Arial" w:eastAsia="Arial" w:hAnsi="Arial"/>
                <w:sz w:val="18"/>
                <w:szCs w:val="18"/>
                <w:i w:val="1"/>
                <w:iCs w:val="1"/>
                <w:color w:val="auto"/>
                <w:w w:val="95"/>
              </w:rPr>
              <w:t>Obligations under finance leases, net of current</w:t>
            </w:r>
          </w:p>
        </w:tc>
        <w:tc>
          <w:tcPr>
            <w:tcW w:w="7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5,531</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21"/>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portion</w:t>
            </w:r>
          </w:p>
        </w:tc>
        <w:tc>
          <w:tcPr>
            <w:tcW w:w="7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-1569085</wp:posOffset>
            </wp:positionV>
            <wp:extent cx="7135495" cy="142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-1284605</wp:posOffset>
            </wp:positionV>
            <wp:extent cx="7135495" cy="150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-1034415</wp:posOffset>
            </wp:positionV>
            <wp:extent cx="7135495" cy="142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-749935</wp:posOffset>
            </wp:positionV>
            <wp:extent cx="7135495" cy="150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-499745</wp:posOffset>
            </wp:positionV>
            <wp:extent cx="7135495" cy="2508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5495" cy="2508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720"/>
            <w:col w:w="75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lease liabilities</w:t>
            </w:r>
          </w:p>
        </w:tc>
        <w:tc>
          <w:tcPr>
            <w:tcW w:w="20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87"/>
              </w:rPr>
              <w:t>23,677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28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6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28,238</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7"/>
              </w:rPr>
              <w:t>25,965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280" w:type="dxa"/>
            <w:vAlign w:val="bottom"/>
            <w:gridSpan w:val="5"/>
          </w:tcPr>
          <w:p>
            <w:pPr>
              <w:ind w:left="400"/>
              <w:spacing w:after="0"/>
              <w:rPr>
                <w:sz w:val="20"/>
                <w:szCs w:val="20"/>
                <w:color w:val="auto"/>
              </w:rPr>
            </w:pPr>
            <w:r>
              <w:rPr>
                <w:rFonts w:ascii="Arial" w:cs="Arial" w:eastAsia="Arial" w:hAnsi="Arial"/>
                <w:sz w:val="18"/>
                <w:szCs w:val="18"/>
                <w:color w:val="auto"/>
              </w:rPr>
              <w:t>The average lease terms and discount rates at December 31, 2021 are as follows: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300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89"/>
              </w:rPr>
              <w:t>Weighted-average remaining lease term</w:t>
            </w:r>
          </w:p>
        </w:tc>
        <w:tc>
          <w:tcPr>
            <w:tcW w:w="2960" w:type="dxa"/>
            <w:vAlign w:val="bottom"/>
            <w:gridSpan w:val="7"/>
            <w:vMerge w:val="restart"/>
          </w:tcPr>
          <w:p>
            <w:pPr>
              <w:ind w:left="400"/>
              <w:spacing w:after="0"/>
              <w:rPr>
                <w:sz w:val="20"/>
                <w:szCs w:val="20"/>
                <w:color w:val="auto"/>
              </w:rPr>
            </w:pPr>
            <w:r>
              <w:rPr>
                <w:rFonts w:ascii="Arial" w:cs="Arial" w:eastAsia="Arial" w:hAnsi="Arial"/>
                <w:sz w:val="16"/>
                <w:szCs w:val="16"/>
                <w:b w:val="1"/>
                <w:bCs w:val="1"/>
                <w:color w:val="auto"/>
              </w:rPr>
              <w:t>Weighted-average discount rate</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3000" w:type="dxa"/>
            <w:vAlign w:val="bottom"/>
            <w:gridSpan w:val="4"/>
          </w:tcPr>
          <w:p>
            <w:pPr>
              <w:ind w:left="1160"/>
              <w:spacing w:after="0"/>
              <w:rPr>
                <w:sz w:val="20"/>
                <w:szCs w:val="20"/>
                <w:color w:val="auto"/>
              </w:rPr>
            </w:pPr>
            <w:r>
              <w:rPr>
                <w:rFonts w:ascii="Arial" w:cs="Arial" w:eastAsia="Arial" w:hAnsi="Arial"/>
                <w:sz w:val="16"/>
                <w:szCs w:val="16"/>
                <w:b w:val="1"/>
                <w:bCs w:val="1"/>
                <w:color w:val="auto"/>
              </w:rPr>
              <w:t>(years)</w:t>
            </w:r>
          </w:p>
        </w:tc>
        <w:tc>
          <w:tcPr>
            <w:tcW w:w="29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9380" w:type="dxa"/>
            <w:vAlign w:val="bottom"/>
            <w:gridSpan w:val="7"/>
          </w:tcPr>
          <w:p>
            <w:pPr>
              <w:ind w:left="400"/>
              <w:spacing w:after="0"/>
              <w:rPr>
                <w:sz w:val="20"/>
                <w:szCs w:val="20"/>
                <w:color w:val="auto"/>
              </w:rPr>
            </w:pPr>
            <w:r>
              <w:rPr>
                <w:rFonts w:ascii="Arial" w:cs="Arial" w:eastAsia="Arial" w:hAnsi="Arial"/>
                <w:sz w:val="18"/>
                <w:szCs w:val="18"/>
                <w:color w:val="auto"/>
                <w:w w:val="91"/>
              </w:rPr>
              <w:t>The aggregate future lease payments for operating and finance leases at December 31, 2021 are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Finance</w:t>
            </w:r>
          </w:p>
        </w:tc>
        <w:tc>
          <w:tcPr>
            <w:tcW w:w="0" w:type="dxa"/>
            <w:vAlign w:val="bottom"/>
          </w:tcPr>
          <w:p>
            <w:pPr>
              <w:spacing w:after="0"/>
              <w:rPr>
                <w:sz w:val="1"/>
                <w:szCs w:val="1"/>
                <w:color w:val="auto"/>
              </w:rPr>
            </w:pPr>
          </w:p>
        </w:tc>
      </w:tr>
      <w:tr>
        <w:trPr>
          <w:trHeight w:val="20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payments due:</w:t>
            </w:r>
          </w:p>
        </w:tc>
        <w:tc>
          <w:tcPr>
            <w:tcW w:w="2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2022</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3,470</w:t>
            </w:r>
          </w:p>
        </w:tc>
        <w:tc>
          <w:tcPr>
            <w:tcW w:w="1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2026</w:t>
            </w: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3,129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29,477</w:t>
            </w:r>
          </w:p>
        </w:tc>
        <w:tc>
          <w:tcPr>
            <w:tcW w:w="18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Interest</w:t>
            </w:r>
          </w:p>
        </w:tc>
        <w:tc>
          <w:tcPr>
            <w:tcW w:w="2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1"/>
              </w:rPr>
              <w:t>(3,278)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20,433</w:t>
            </w:r>
          </w:p>
        </w:tc>
        <w:tc>
          <w:tcPr>
            <w:tcW w:w="18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December 31, 2021, we had no additional significant operating or finance leases that had not yet commenced.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Non-Compete, Consulting and Employment Agreements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various non-compete agreements with former owners and employees. These agreements are generally for one to ten years and provide for periodic future payments over the term of the agreements.</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various consulting agreements with former owners of businesses we have acquired. Payments for such agreements are generally not made in advance. These agreements are generally for one to five years and provide for bi-weekly or monthly payments.</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employment agreements with our executive officers and certain of our senior leadership. These agreements are generally for three to five years and provide for participation in various incentive compensation arrangements. These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agreements generally renew automatically on an annual basis after their initial term has expired, with the exception of our Chairman of the Board and Chief Executive Officer, which does not renew after the current term expiring in February 2028.</w:t>
      </w:r>
    </w:p>
    <w:p>
      <w:pPr>
        <w:spacing w:after="0" w:line="7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At December 31, 2021, the maximum estimated future cash commitments under these agreements with remaining commitment terms, and with original terms of more than one year, are as follows (in thousands):</w:t>
      </w:r>
    </w:p>
    <w:tbl>
      <w:tblPr>
        <w:tblLayout w:type="fixed"/>
        <w:tblInd w:w="0" w:type="dxa"/>
        <w:tblCellMar>
          <w:top w:w="0" w:type="dxa"/>
          <w:left w:w="0" w:type="dxa"/>
          <w:bottom w:w="0" w:type="dxa"/>
          <w:right w:w="0" w:type="dxa"/>
        </w:tblCellMar>
      </w:tblPr>
      <w:tr>
        <w:trPr>
          <w:trHeight w:val="220"/>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Non-Compete</w:t>
            </w:r>
          </w:p>
        </w:tc>
        <w:tc>
          <w:tcPr>
            <w:tcW w:w="22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Consulting</w:t>
            </w:r>
          </w:p>
        </w:tc>
        <w:tc>
          <w:tcPr>
            <w:tcW w:w="160" w:type="dxa"/>
            <w:vAlign w:val="bottom"/>
          </w:tcPr>
          <w:p>
            <w:pPr>
              <w:spacing w:after="0"/>
              <w:rPr>
                <w:sz w:val="19"/>
                <w:szCs w:val="19"/>
                <w:color w:val="auto"/>
              </w:rPr>
            </w:pPr>
          </w:p>
        </w:tc>
        <w:tc>
          <w:tcPr>
            <w:tcW w:w="1480" w:type="dxa"/>
            <w:vAlign w:val="bottom"/>
            <w:gridSpan w:val="2"/>
          </w:tcPr>
          <w:p>
            <w:pPr>
              <w:ind w:left="60"/>
              <w:spacing w:after="0" w:line="220" w:lineRule="exact"/>
              <w:rPr>
                <w:sz w:val="20"/>
                <w:szCs w:val="20"/>
                <w:color w:val="auto"/>
              </w:rPr>
            </w:pPr>
            <w:r>
              <w:rPr>
                <w:rFonts w:ascii="Arial" w:cs="Arial" w:eastAsia="Arial" w:hAnsi="Arial"/>
                <w:sz w:val="16"/>
                <w:szCs w:val="16"/>
                <w:b w:val="1"/>
                <w:bCs w:val="1"/>
                <w:color w:val="auto"/>
              </w:rPr>
              <w:t>Employment</w:t>
            </w:r>
            <w:r>
              <w:rPr>
                <w:rFonts w:ascii="Arial" w:cs="Arial" w:eastAsia="Arial" w:hAnsi="Arial"/>
                <w:sz w:val="20"/>
                <w:szCs w:val="20"/>
                <w:b w:val="1"/>
                <w:bCs w:val="1"/>
                <w:color w:val="auto"/>
                <w:vertAlign w:val="superscript"/>
              </w:rPr>
              <w:t>(a)</w:t>
            </w:r>
          </w:p>
        </w:tc>
        <w:tc>
          <w:tcPr>
            <w:tcW w:w="340" w:type="dxa"/>
            <w:vAlign w:val="bottom"/>
          </w:tcPr>
          <w:p>
            <w:pPr>
              <w:spacing w:after="0"/>
              <w:rPr>
                <w:sz w:val="19"/>
                <w:szCs w:val="19"/>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Total</w:t>
            </w:r>
          </w:p>
        </w:tc>
      </w:tr>
      <w:tr>
        <w:trPr>
          <w:trHeight w:val="204"/>
        </w:trPr>
        <w:tc>
          <w:tcPr>
            <w:tcW w:w="48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3,294</w:t>
            </w:r>
          </w:p>
        </w:tc>
      </w:tr>
      <w:tr>
        <w:trPr>
          <w:trHeight w:val="22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2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42"/>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108585</wp:posOffset>
            </wp:positionV>
            <wp:extent cx="68516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1650" cy="8255"/>
                    </a:xfrm>
                    <a:prstGeom prst="rect">
                      <a:avLst/>
                    </a:prstGeom>
                    <a:noFill/>
                  </pic:spPr>
                </pic:pic>
              </a:graphicData>
            </a:graphic>
          </wp:anchor>
        </w:drawing>
      </w:r>
    </w:p>
    <w:p>
      <w:pPr>
        <w:spacing w:after="0" w:line="167" w:lineRule="exact"/>
        <w:rPr>
          <w:sz w:val="20"/>
          <w:szCs w:val="20"/>
          <w:color w:val="auto"/>
        </w:rPr>
      </w:pPr>
    </w:p>
    <w:p>
      <w:pPr>
        <w:ind w:left="440" w:hanging="38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Melvin C. Payne, our Chairman of the Board and Chief Executive Officer, has an employment agreement that does not renew after the initial term.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sponsor a defined contribution plan, a 401K plan, for the benefit of our employees. Matching contributions and plan administrative expenses totaled $2.0 million, $2.3 million and $2.5 million during the years ended December 31, 2019, 2020 and 2021, respectively. We do not offer any post-retirement or post-employment benefits.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8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i w:val="1"/>
          <w:iCs w:val="1"/>
          <w:color w:val="auto"/>
        </w:rPr>
        <w:t xml:space="preserve">Chinchilla v. Carriage Services, Inc., et al., </w:t>
      </w:r>
      <w:r>
        <w:rPr>
          <w:rFonts w:ascii="Arial" w:cs="Arial" w:eastAsia="Arial" w:hAnsi="Arial"/>
          <w:sz w:val="16"/>
          <w:szCs w:val="16"/>
          <w:color w:val="auto"/>
        </w:rPr>
        <w:t>Superior Court of California, San Joaquin County, Case No. STK-CV-UOE-2021-0004661. On May 19, 2021,</w:t>
      </w:r>
      <w:r>
        <w:rPr>
          <w:rFonts w:ascii="Arial" w:cs="Arial" w:eastAsia="Arial" w:hAnsi="Arial"/>
          <w:sz w:val="16"/>
          <w:szCs w:val="16"/>
          <w:i w:val="1"/>
          <w:iCs w:val="1"/>
          <w:color w:val="auto"/>
        </w:rPr>
        <w:t xml:space="preserve"> </w:t>
      </w:r>
      <w:r>
        <w:rPr>
          <w:rFonts w:ascii="Arial" w:cs="Arial" w:eastAsia="Arial" w:hAnsi="Arial"/>
          <w:sz w:val="16"/>
          <w:szCs w:val="16"/>
          <w:color w:val="auto"/>
        </w:rPr>
        <w:t>a putative class action against the Company and several of our subsidiaries was filed. Plaintiff, a former employee, seeks monetary damages on behalf of himself and other similarly situated current and former non-exempt employees. Plaintiff claims that the Company failed to, among other things, pay minimum wages, provide meal and rest breaks, pay overtime, provide accurately itemized wage statements, reimburse employees for business expenses, and provide wages when due. See Note 24 to the Consolidated Financial Statements included herein for further discussion of the expected final settlement of this matter.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7"/>
              </w:rPr>
              <w:t>Years Ended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0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U. S. federal provision (benefit)</w:t>
            </w:r>
          </w:p>
        </w:tc>
        <w:tc>
          <w:tcPr>
            <w:tcW w:w="29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(2,039)</w:t>
            </w: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provision (benefit)</w:t>
            </w:r>
          </w:p>
        </w:tc>
        <w:tc>
          <w:tcPr>
            <w:tcW w:w="2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Total current provision (benefit)</w:t>
            </w:r>
          </w:p>
        </w:tc>
        <w:tc>
          <w:tcPr>
            <w:tcW w:w="29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(2,234)</w:t>
            </w: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3,955</w:t>
            </w:r>
          </w:p>
        </w:tc>
        <w:tc>
          <w:tcPr>
            <w:tcW w:w="20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11,837</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U. S. federal provision (benefit)</w:t>
            </w:r>
          </w:p>
        </w:tc>
        <w:tc>
          <w:tcPr>
            <w:tcW w:w="29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8,056</w:t>
            </w: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provision (benefit)</w:t>
            </w:r>
          </w:p>
        </w:tc>
        <w:tc>
          <w:tcPr>
            <w:tcW w:w="2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deferred provision (benefit)</w:t>
            </w:r>
          </w:p>
        </w:tc>
        <w:tc>
          <w:tcPr>
            <w:tcW w:w="25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income tax provision</w:t>
            </w:r>
          </w:p>
        </w:tc>
        <w:tc>
          <w:tcPr>
            <w:tcW w:w="2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712"/>
              <w:spacing w:after="0"/>
              <w:rPr>
                <w:sz w:val="20"/>
                <w:szCs w:val="20"/>
                <w:color w:val="auto"/>
              </w:rPr>
            </w:pPr>
            <w:r>
              <w:rPr>
                <w:rFonts w:ascii="Arial" w:cs="Arial" w:eastAsia="Arial" w:hAnsi="Arial"/>
                <w:sz w:val="18"/>
                <w:szCs w:val="18"/>
                <w:color w:val="auto"/>
              </w:rPr>
              <w:t>81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reconciliation of income taxes calculated at the U.S. federal statutory rate to those reflected in the Consolidated Statements of Operations is as follows (dollars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7"/>
              </w:rPr>
              <w:t>Years Ended December 31,</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04"/>
        </w:trPr>
        <w:tc>
          <w:tcPr>
            <w:tcW w:w="4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2"/>
              </w:rPr>
              <w:t>Amount</w:t>
            </w:r>
          </w:p>
        </w:tc>
        <w:tc>
          <w:tcPr>
            <w:tcW w:w="760" w:type="dxa"/>
            <w:vAlign w:val="bottom"/>
          </w:tcPr>
          <w:p>
            <w:pPr>
              <w:jc w:val="right"/>
              <w:ind w:right="114"/>
              <w:spacing w:after="0"/>
              <w:rPr>
                <w:sz w:val="20"/>
                <w:szCs w:val="20"/>
                <w:color w:val="auto"/>
              </w:rPr>
            </w:pPr>
            <w:r>
              <w:rPr>
                <w:rFonts w:ascii="Arial" w:cs="Arial" w:eastAsia="Arial" w:hAnsi="Arial"/>
                <w:sz w:val="16"/>
                <w:szCs w:val="16"/>
                <w:b w:val="1"/>
                <w:bCs w:val="1"/>
                <w:color w:val="auto"/>
                <w:w w:val="91"/>
              </w:rPr>
              <w:t>Percent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114"/>
              <w:spacing w:after="0"/>
              <w:rPr>
                <w:sz w:val="20"/>
                <w:szCs w:val="20"/>
                <w:color w:val="auto"/>
              </w:rPr>
            </w:pPr>
            <w:r>
              <w:rPr>
                <w:rFonts w:ascii="Arial" w:cs="Arial" w:eastAsia="Arial" w:hAnsi="Arial"/>
                <w:sz w:val="16"/>
                <w:szCs w:val="16"/>
                <w:b w:val="1"/>
                <w:bCs w:val="1"/>
                <w:color w:val="auto"/>
                <w:w w:val="91"/>
              </w:rPr>
              <w:t>Percent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2"/>
              </w:rPr>
              <w:t>Amount</w:t>
            </w:r>
          </w:p>
        </w:tc>
        <w:tc>
          <w:tcPr>
            <w:tcW w:w="760" w:type="dxa"/>
            <w:vAlign w:val="bottom"/>
          </w:tcPr>
          <w:p>
            <w:pPr>
              <w:jc w:val="right"/>
              <w:ind w:right="114"/>
              <w:spacing w:after="0"/>
              <w:rPr>
                <w:sz w:val="20"/>
                <w:szCs w:val="20"/>
                <w:color w:val="auto"/>
              </w:rPr>
            </w:pPr>
            <w:r>
              <w:rPr>
                <w:rFonts w:ascii="Arial" w:cs="Arial" w:eastAsia="Arial" w:hAnsi="Arial"/>
                <w:sz w:val="16"/>
                <w:szCs w:val="16"/>
                <w:b w:val="1"/>
                <w:bCs w:val="1"/>
                <w:color w:val="auto"/>
                <w:w w:val="91"/>
              </w:rPr>
              <w:t>Percent</w:t>
            </w:r>
          </w:p>
        </w:tc>
        <w:tc>
          <w:tcPr>
            <w:tcW w:w="280" w:type="dxa"/>
            <w:vAlign w:val="bottom"/>
          </w:tcPr>
          <w:p>
            <w:pPr>
              <w:spacing w:after="0"/>
              <w:rPr>
                <w:sz w:val="17"/>
                <w:szCs w:val="17"/>
                <w:color w:val="auto"/>
              </w:rPr>
            </w:pPr>
          </w:p>
        </w:tc>
      </w:tr>
      <w:tr>
        <w:trPr>
          <w:trHeight w:val="220"/>
        </w:trPr>
        <w:tc>
          <w:tcPr>
            <w:tcW w:w="46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Federal statutory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Effect of state income taxes, net of federal benefit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non-deductible expenses and other, net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Effect of divestitures and impairment of businesses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 net of federal benefit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r>
      <w:tr>
        <w:trPr>
          <w:trHeight w:val="224"/>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discrete tax adjustment for the year ended December 31, 2021 includes a $1.2 million excess tax benefit related to share-based payments and other adjustments including return to provision analysis and state legislative changes.</w:t>
      </w:r>
    </w:p>
    <w:p>
      <w:pPr>
        <w:spacing w:after="0" w:line="7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are subject to taxation in the United States and various states. As of December 31, 2021, tax years 2013 to 2020 are subject to examination by taxing authorities. On May 10, 2017, we filed amended federal returns for the tax years ended December 31, 2013, 2014 and 2015, which generated refunds of $1.9 million. The amended returns are under audit and as a result, the administrative processing of the carryback claims requires that the statute for tax years 2013 to 2015 remains open.</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June 30, 2020, we filed a carryback claim for a refund for the tax year ended December 31, 2018 for $7.0 million. The requested refund was received on August 7, 2020. As our refund claim filed for the tax year 2018 exceeded $5 million, our 2018 federal return is under IRS under audit as required in order to receive Joint Committee approval for the refund.</w:t>
      </w:r>
    </w:p>
    <w:p>
      <w:pPr>
        <w:spacing w:after="0" w:line="8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November 3, 2020, we filed a carryback claim for refund for the tax year ended December 31, 2019 for $1.2 million, which has not yet been received. On December 4, 2020, we filed an amended federal return for the tax year ended December 31, 2018, in order to take full advantage of the CARES Act legislative changes. The changes reported in the amended return resulted in additional $2.3 million of loss. The additional losses generated from the amended filing will be administratively carried back and processed as part of the Joint Committee review of the 2018 carryback claim.</w:t>
      </w:r>
    </w:p>
    <w:p>
      <w:pPr>
        <w:spacing w:after="0" w:line="5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majority of the NOLs generated in tax years 2018 and 2019 are primarily the result of filing non-automatic accounting method changes relating to cemetery property and merchandise and services deferred revenue. These losses were carried back 5 years to tax years in which the enacted federal rate was 35%, under the CARES Act.</w:t>
      </w:r>
    </w:p>
    <w:p>
      <w:pPr>
        <w:spacing w:after="0" w:line="8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October 11, 2021, we received an adverse ruling from the IRS for the accounting method change filed in 2018 for revenue recognition of cemetery property. Approval is still pending for the accounting method change filed for revenue recognition of cemetery merchandise and services. Upon receiving the adverse ruling on the revenue recognition of cemetery property accounting method change, we filed an automatic method change on Form 3115, to adopt the IRS’ preferred revenue recognition method for cemetery property. The accounting method change application was submitted under the “three-month window” rule, which would grant audit protection for the cumulative effect of the adverse ruling for revenue recognition of cemetery property, at the discretion of the IRS agent conducting the audit.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tax effects of temporary differences from total operations that give rise to significant deferred tax assets and liabilities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r>
      <w:tr>
        <w:trPr>
          <w:trHeight w:val="204"/>
        </w:trPr>
        <w:tc>
          <w:tcPr>
            <w:tcW w:w="77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207"/>
        </w:trPr>
        <w:tc>
          <w:tcPr>
            <w:tcW w:w="77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income tax assets: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24"/>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limitation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4"/>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depreciation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Accrued and other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7,552</w:t>
            </w:r>
          </w:p>
        </w:tc>
      </w:tr>
      <w:tr>
        <w:trPr>
          <w:trHeight w:val="224"/>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non-compete agreements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23"/>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17"/>
        </w:trPr>
        <w:tc>
          <w:tcPr>
            <w:tcW w:w="77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deferred income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23"/>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17"/>
        </w:trPr>
        <w:tc>
          <w:tcPr>
            <w:tcW w:w="77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deferred income tax assets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(50,946)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(56,030)</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Preneed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(6,427)</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(4,224)</w:t>
            </w:r>
          </w:p>
        </w:tc>
      </w:tr>
      <w:tr>
        <w:trPr>
          <w:trHeight w:val="224"/>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7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deferred income tax liabilities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(57,378)</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(60,254)</w:t>
            </w:r>
          </w:p>
        </w:tc>
      </w:tr>
      <w:tr>
        <w:trPr>
          <w:trHeight w:val="242"/>
        </w:trPr>
        <w:tc>
          <w:tcPr>
            <w:tcW w:w="77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net deferred tax liabilities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(46,477)</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(45,784)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deferred tax assets and liabilities, along with related valuation allowances, are classified as non-current on our Consolidated Balance Sheet at December 31, 2020 and 2021.</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more-likely-than not that the tax benefits will be realized. We recognized an immaterial net decrease in our valuation allowance during 2020 and 2021.</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state reporting purposes, we have $24.4 million of net operating loss carryforwards that will expire between 2022 and 2041, if not utilized. Based on management’s assessment of the various state net operating losses, it was determined that it is more-likely-than not that we will be able to realize tax benefits on some portion of the amount of the state losses. The valuation allowance at December 31, 2021 was attributable to the deferred tax asset related to a portion of the state operating losses.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 </w:t>
      </w:r>
      <w:r>
        <w:rPr>
          <w:rFonts w:ascii="Arial" w:cs="Arial" w:eastAsia="Arial" w:hAnsi="Arial"/>
          <w:sz w:val="18"/>
          <w:szCs w:val="18"/>
          <w:color w:val="211D1E"/>
        </w:rPr>
        <w:t>The</w:t>
      </w:r>
      <w:r>
        <w:rPr>
          <w:rFonts w:ascii="Arial" w:cs="Arial" w:eastAsia="Arial" w:hAnsi="Arial"/>
          <w:sz w:val="18"/>
          <w:szCs w:val="18"/>
          <w:color w:val="auto"/>
        </w:rPr>
        <w:t xml:space="preserve"> </w:t>
      </w:r>
      <w:r>
        <w:rPr>
          <w:rFonts w:ascii="Arial" w:cs="Arial" w:eastAsia="Arial" w:hAnsi="Arial"/>
          <w:sz w:val="18"/>
          <w:szCs w:val="18"/>
          <w:color w:val="211D1E"/>
        </w:rPr>
        <w:t>deferred tax assets recognized for those NOLs are presented net of these unrecognized tax benefits.</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At December 31, 2021, the Company’s unrecognized tax benefits reserve for uncertain tax positions primarily relates to the uncertainty of receiving audit protection for revenue recognition of cemetery property and not yet receiving the IRS approval of the cemetery merchandise and services accounting method change filed in 2018. Our unrecognized tax benefit reserve for the years ended December 31, 2020 and 2021 was $3.7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7"/>
              </w:rPr>
              <w:t>Years Ended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4"/>
        </w:trPr>
        <w:tc>
          <w:tcPr>
            <w:tcW w:w="65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20"/>
        </w:trPr>
        <w:tc>
          <w:tcPr>
            <w:tcW w:w="65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Unrecognized tax benefit at beginning of year</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691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6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Unrecognized tax benefit at end of year</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691</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At December 31, 2021, we expect that the $3.8 million of unrecognized tax benefit will be recognized in the next twelve months. We recognize interest accrued related to unrecognized tax benefit as income tax expense. As of December 31, 2021, we accrued $0.1 million of interest related to the unrecognized tax benefit.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Authorization</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are authorized to issue 80,000,000 shares of common stock, $0.01 per share par value. We had 26,020,494 and 26,264,245 shares issued and 17,995,155 and 15,331,923 shares outstanding, net of 8,025,339 and 10,932,322 shares held in treasury at par, at December 31, 2020 and 2021,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During the year ended December 31, 2021, we had two stock benefits plans in effect under which stock, restricted stock, stock options and performance awards have been granted or remain outstanding: the Second Amended and Restated 2006 Long-Term Incentive Plan (as amended, the “Amended and Restated 2006 Plan”) and the 2017 Omnibus Incentive Plan (as amended, the “2017 Plan”). The Amended and Restated 2006 Plan was terminated upon the approval of the 2017 Plan at the annual shareholders meeting on May 17, 2017. The 2017 Plan expires on May 17, 2027. All stock-based plans are administered by the Compensation Committee appointed by our Board of Directors (our “Board”).</w:t>
      </w:r>
    </w:p>
    <w:p>
      <w:pPr>
        <w:spacing w:after="0" w:line="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we had 2,427,279 shares available to issue under our 2017 Plan. The termination of the Amended and Restated 2006 Plan does not affect the awards previously issued and outstanding.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Restricted stock activity is as follows (in thousands, except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4"/>
        </w:trPr>
        <w:tc>
          <w:tcPr>
            <w:tcW w:w="60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bottom w:val="single" w:sz="8" w:color="auto"/>
            </w:tcBorders>
          </w:tcPr>
          <w:p>
            <w:pPr>
              <w:spacing w:after="0"/>
              <w:rPr>
                <w:sz w:val="17"/>
                <w:szCs w:val="17"/>
                <w:color w:val="auto"/>
              </w:rPr>
            </w:pPr>
          </w:p>
        </w:tc>
      </w:tr>
      <w:tr>
        <w:trPr>
          <w:trHeight w:val="207"/>
        </w:trPr>
        <w:tc>
          <w:tcPr>
            <w:tcW w:w="60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6"/>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6"/>
                <w:szCs w:val="16"/>
                <w:b w:val="1"/>
                <w:bCs w:val="1"/>
                <w:color w:val="auto"/>
                <w:w w:val="99"/>
              </w:rPr>
              <w:t>Fair Value</w:t>
            </w:r>
          </w:p>
        </w:tc>
      </w:tr>
      <w:tr>
        <w:trPr>
          <w:trHeight w:val="224"/>
        </w:trPr>
        <w:tc>
          <w:tcPr>
            <w:tcW w:w="6080" w:type="dxa"/>
            <w:vAlign w:val="bottom"/>
          </w:tcPr>
          <w:p>
            <w:pPr>
              <w:ind w:left="20"/>
              <w:spacing w:after="0" w:line="224"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10,200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Returned for payroll taxes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10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9" w:lineRule="exact"/>
        <w:rPr>
          <w:sz w:val="20"/>
          <w:szCs w:val="20"/>
          <w:color w:val="auto"/>
        </w:rPr>
      </w:pPr>
    </w:p>
    <w:p>
      <w:pPr>
        <w:ind w:left="400" w:right="60" w:hanging="377"/>
        <w:spacing w:after="0" w:line="185" w:lineRule="auto"/>
        <w:tabs>
          <w:tab w:leader="none" w:pos="400" w:val="left"/>
        </w:tabs>
        <w:numPr>
          <w:ilvl w:val="0"/>
          <w:numId w:val="26"/>
        </w:numPr>
        <w:rPr>
          <w:rFonts w:ascii="Arial" w:cs="Arial" w:eastAsia="Arial" w:hAnsi="Arial"/>
          <w:sz w:val="23"/>
          <w:szCs w:val="23"/>
          <w:color w:val="auto"/>
          <w:vertAlign w:val="superscript"/>
        </w:rPr>
      </w:pPr>
      <w:r>
        <w:rPr>
          <w:rFonts w:ascii="Arial" w:cs="Arial" w:eastAsia="Arial" w:hAnsi="Arial"/>
          <w:sz w:val="12"/>
          <w:szCs w:val="12"/>
          <w:color w:val="auto"/>
        </w:rPr>
        <w:t>Restricted stock granted during the years ended December 31, 2020 and 2021 will vest over a three-year period, if the employee has remained continuously employed by us during the vesting period, at a weighted average stock price of $25.00 and $34.79, respectively.</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status of unvested restricted stock as of December 31, 2021, and changes during 2021, is presented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136"/>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Restricted stock awards</w:t>
            </w:r>
          </w:p>
        </w:tc>
        <w:tc>
          <w:tcPr>
            <w:tcW w:w="3280" w:type="dxa"/>
            <w:vAlign w:val="bottom"/>
          </w:tcPr>
          <w:p>
            <w:pPr>
              <w:spacing w:after="0"/>
              <w:rPr>
                <w:sz w:val="13"/>
                <w:szCs w:val="13"/>
                <w:color w:val="auto"/>
              </w:rPr>
            </w:pPr>
          </w:p>
        </w:tc>
        <w:tc>
          <w:tcPr>
            <w:tcW w:w="216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1680" w:type="dxa"/>
            <w:vAlign w:val="bottom"/>
          </w:tcPr>
          <w:p>
            <w:pPr>
              <w:jc w:val="center"/>
              <w:ind w:right="116"/>
              <w:spacing w:after="0" w:line="158"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328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16"/>
              <w:spacing w:after="0" w:line="171" w:lineRule="exact"/>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2021</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9,300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32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Unvested at December 31, 2021</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372"/>
              <w:spacing w:after="0"/>
              <w:rPr>
                <w:sz w:val="20"/>
                <w:szCs w:val="20"/>
                <w:color w:val="auto"/>
              </w:rPr>
            </w:pPr>
            <w:r>
              <w:rPr>
                <w:rFonts w:ascii="Arial" w:cs="Arial" w:eastAsia="Arial" w:hAnsi="Arial"/>
                <w:sz w:val="18"/>
                <w:szCs w:val="18"/>
                <w:color w:val="auto"/>
              </w:rPr>
              <w:t>84</w:t>
            </w: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 xml:space="preserve">We recorded stock-based compensation expense, which is included in </w:t>
      </w:r>
      <w:r>
        <w:rPr>
          <w:rFonts w:ascii="Arial" w:cs="Arial" w:eastAsia="Arial" w:hAnsi="Arial"/>
          <w:sz w:val="16"/>
          <w:szCs w:val="16"/>
          <w:i w:val="1"/>
          <w:iCs w:val="1"/>
          <w:color w:val="auto"/>
        </w:rPr>
        <w:t>Regional and unallocated funeral and cemetery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w:t>
      </w:r>
      <w:r>
        <w:rPr>
          <w:rFonts w:ascii="Arial" w:cs="Arial" w:eastAsia="Arial" w:hAnsi="Arial"/>
          <w:sz w:val="16"/>
          <w:szCs w:val="16"/>
          <w:color w:val="auto"/>
        </w:rPr>
        <w:t>expenses, for restricted stock awards of $828,000, $735,000 and $390,000 for the years ended December 31, 2019, 2020 and 2021, respectively.</w:t>
      </w:r>
    </w:p>
    <w:p>
      <w:pPr>
        <w:spacing w:after="0" w:line="3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we had $616,000 of total unrecognized compensation costs related to unvested restricted stock awards, which are expected to be recognized over a weighted average period of 1.2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the year ended December 31, 2021, we granted 150,000 options to a certain key employee at a weighted average price of $34.79. These options will vest when the price of our common stock closes at or above $53.39 (50,000 options) and $77.34 (100,000 options) for three consecutive days within the ten-year term and the employee has remained continuously employed by us through such date. The fair value of these options was $1.7 million and was calculated using the Monte-Carlo simulation pricing model.</w:t>
      </w:r>
    </w:p>
    <w:p>
      <w:pPr>
        <w:spacing w:after="0" w:line="8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During the year ended December 31, 2021, our stock price closed at or above $53.39 for three consecutive days, which triggered the vesting of the 50,000 options granted during 2021. As a result, we accelerated the recognition of the grant date fair value of these options and recognized stock-based compensation expense of $511,000 during the year ended December 31, 2021. Additionally, we recognized an additional $129,000 of stock-based compensation expense when we accelerated 12,980 options in connection with the resignation of an employee in accordance with the terms of the separation agreement we entered into in connection with such resignation.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stock option activity is as follows (in thousands, except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4"/>
        </w:trPr>
        <w:tc>
          <w:tcPr>
            <w:tcW w:w="60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bottom w:val="single" w:sz="8" w:color="auto"/>
            </w:tcBorders>
          </w:tcPr>
          <w:p>
            <w:pPr>
              <w:spacing w:after="0"/>
              <w:rPr>
                <w:sz w:val="17"/>
                <w:szCs w:val="17"/>
                <w:color w:val="auto"/>
              </w:rPr>
            </w:pPr>
          </w:p>
        </w:tc>
      </w:tr>
      <w:tr>
        <w:trPr>
          <w:trHeight w:val="207"/>
        </w:trPr>
        <w:tc>
          <w:tcPr>
            <w:tcW w:w="60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7"/>
              <w:spacing w:after="0"/>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7"/>
              <w:spacing w:after="0"/>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6"/>
                <w:szCs w:val="16"/>
                <w:b w:val="1"/>
                <w:bCs w:val="1"/>
                <w:color w:val="auto"/>
                <w:w w:val="99"/>
              </w:rPr>
              <w:t>Fair Value</w:t>
            </w:r>
          </w:p>
        </w:tc>
      </w:tr>
      <w:tr>
        <w:trPr>
          <w:trHeight w:val="224"/>
        </w:trPr>
        <w:tc>
          <w:tcPr>
            <w:tcW w:w="6080" w:type="dxa"/>
            <w:vAlign w:val="bottom"/>
          </w:tcPr>
          <w:p>
            <w:pPr>
              <w:ind w:left="20"/>
              <w:spacing w:after="0" w:line="224"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701,400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7,115</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146,034</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1107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left="400" w:right="60" w:hanging="377"/>
        <w:spacing w:after="0" w:line="180" w:lineRule="auto"/>
        <w:tabs>
          <w:tab w:leader="none" w:pos="400" w:val="left"/>
        </w:tabs>
        <w:numPr>
          <w:ilvl w:val="0"/>
          <w:numId w:val="27"/>
        </w:numPr>
        <w:rPr>
          <w:rFonts w:ascii="Arial" w:cs="Arial" w:eastAsia="Arial" w:hAnsi="Arial"/>
          <w:sz w:val="25"/>
          <w:szCs w:val="25"/>
          <w:color w:val="auto"/>
          <w:vertAlign w:val="superscript"/>
        </w:rPr>
      </w:pPr>
      <w:r>
        <w:rPr>
          <w:rFonts w:ascii="Arial" w:cs="Arial" w:eastAsia="Arial" w:hAnsi="Arial"/>
          <w:sz w:val="13"/>
          <w:szCs w:val="13"/>
          <w:color w:val="auto"/>
        </w:rPr>
        <w:t>Stock options granted during the years ended December 31, 2020 and 2021 had a weighted average price of $18.02 and $34.79, respectively. The fair value of these options was calculated using the Black-Scholes option pricing model. The options granted in 2020 vest over a three-year period and have a ten-year term. The options granted in 2021 vest over a five-year period and have a ten-year term. These options will vest if the employee has remained continuously employed by us through the vesting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60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7"/>
                <w:szCs w:val="17"/>
                <w:color w:val="auto"/>
              </w:rPr>
            </w:pPr>
          </w:p>
        </w:tc>
      </w:tr>
      <w:tr>
        <w:trPr>
          <w:trHeight w:val="207"/>
        </w:trPr>
        <w:tc>
          <w:tcPr>
            <w:tcW w:w="60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Shares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Shares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6"/>
                <w:szCs w:val="16"/>
                <w:b w:val="1"/>
                <w:bCs w:val="1"/>
                <w:color w:val="auto"/>
              </w:rPr>
              <w:t>Cash</w:t>
            </w:r>
          </w:p>
        </w:tc>
      </w:tr>
      <w:tr>
        <w:trPr>
          <w:trHeight w:val="224"/>
        </w:trPr>
        <w:tc>
          <w:tcPr>
            <w:tcW w:w="6080" w:type="dxa"/>
            <w:vAlign w:val="bottom"/>
          </w:tcPr>
          <w:p>
            <w:pPr>
              <w:ind w:left="20"/>
              <w:spacing w:after="0" w:line="224" w:lineRule="exact"/>
              <w:rPr>
                <w:sz w:val="20"/>
                <w:szCs w:val="20"/>
                <w:color w:val="auto"/>
              </w:rPr>
            </w:pPr>
            <w:r>
              <w:rPr>
                <w:rFonts w:ascii="Arial" w:cs="Arial" w:eastAsia="Arial" w:hAnsi="Arial"/>
                <w:sz w:val="18"/>
                <w:szCs w:val="18"/>
                <w:color w:val="auto"/>
              </w:rPr>
              <w:t>Exercised</w:t>
            </w:r>
            <w:r>
              <w:rPr>
                <w:rFonts w:ascii="Arial" w:cs="Arial" w:eastAsia="Arial" w:hAnsi="Arial"/>
                <w:sz w:val="22"/>
                <w:szCs w:val="22"/>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40,365</w:t>
            </w:r>
          </w:p>
        </w:tc>
        <w:tc>
          <w:tcPr>
            <w:tcW w:w="340" w:type="dxa"/>
            <w:vAlign w:val="bottom"/>
          </w:tcPr>
          <w:p>
            <w:pPr>
              <w:spacing w:after="0"/>
              <w:rPr>
                <w:sz w:val="19"/>
                <w:szCs w:val="19"/>
                <w:color w:val="auto"/>
              </w:rPr>
            </w:pPr>
          </w:p>
        </w:tc>
        <w:tc>
          <w:tcPr>
            <w:tcW w:w="1100" w:type="dxa"/>
            <w:vAlign w:val="bottom"/>
            <w:gridSpan w:val="2"/>
          </w:tcPr>
          <w:p>
            <w:pPr>
              <w:jc w:val="center"/>
              <w:ind w:left="356"/>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423,294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4"/>
        </w:trPr>
        <w:tc>
          <w:tcPr>
            <w:tcW w:w="60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Returned for option price</w:t>
            </w:r>
            <w:r>
              <w:rPr>
                <w:rFonts w:ascii="Arial" w:cs="Arial" w:eastAsia="Arial" w:hAnsi="Arial"/>
                <w:sz w:val="22"/>
                <w:szCs w:val="22"/>
                <w:color w:val="auto"/>
                <w:vertAlign w:val="superscript"/>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89"/>
              </w:rPr>
              <w:t>19</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211,088</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305"/>
        </w:trPr>
        <w:tc>
          <w:tcPr>
            <w:tcW w:w="6080" w:type="dxa"/>
            <w:vAlign w:val="bottom"/>
          </w:tcPr>
          <w:p>
            <w:pPr>
              <w:ind w:left="20"/>
              <w:spacing w:after="0"/>
              <w:rPr>
                <w:sz w:val="20"/>
                <w:szCs w:val="20"/>
                <w:color w:val="auto"/>
              </w:rPr>
            </w:pPr>
            <w:r>
              <w:rPr>
                <w:rFonts w:ascii="Arial" w:cs="Arial" w:eastAsia="Arial" w:hAnsi="Arial"/>
                <w:sz w:val="18"/>
                <w:szCs w:val="18"/>
                <w:color w:val="auto"/>
              </w:rPr>
              <w:t>Returned for payroll taxes</w:t>
            </w:r>
            <w:r>
              <w:rPr>
                <w:rFonts w:ascii="Arial" w:cs="Arial" w:eastAsia="Arial" w:hAnsi="Arial"/>
                <w:sz w:val="22"/>
                <w:szCs w:val="22"/>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8"/>
                <w:szCs w:val="18"/>
                <w:color w:val="auto"/>
              </w:rPr>
              <w:t>2,954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56"/>
              <w:spacing w:after="0"/>
              <w:rPr>
                <w:sz w:val="20"/>
                <w:szCs w:val="20"/>
                <w:color w:val="auto"/>
              </w:rPr>
            </w:pPr>
            <w:r>
              <w:rPr>
                <w:rFonts w:ascii="Arial" w:cs="Arial" w:eastAsia="Arial" w:hAnsi="Arial"/>
                <w:sz w:val="18"/>
                <w:szCs w:val="18"/>
                <w:color w:val="auto"/>
                <w:w w:val="89"/>
              </w:rPr>
              <w:t>89</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43,534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10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17" w:lineRule="exact"/>
        <w:rPr>
          <w:sz w:val="20"/>
          <w:szCs w:val="20"/>
          <w:color w:val="auto"/>
        </w:rPr>
      </w:pPr>
    </w:p>
    <w:p>
      <w:pPr>
        <w:ind w:left="400" w:right="60" w:hanging="377"/>
        <w:spacing w:after="0" w:line="185" w:lineRule="auto"/>
        <w:tabs>
          <w:tab w:leader="none" w:pos="400" w:val="left"/>
        </w:tabs>
        <w:numPr>
          <w:ilvl w:val="0"/>
          <w:numId w:val="28"/>
        </w:numPr>
        <w:rPr>
          <w:rFonts w:ascii="Arial" w:cs="Arial" w:eastAsia="Arial" w:hAnsi="Arial"/>
          <w:sz w:val="23"/>
          <w:szCs w:val="23"/>
          <w:color w:val="auto"/>
          <w:vertAlign w:val="superscript"/>
        </w:rPr>
      </w:pPr>
      <w:r>
        <w:rPr>
          <w:rFonts w:ascii="Arial" w:cs="Arial" w:eastAsia="Arial" w:hAnsi="Arial"/>
          <w:sz w:val="12"/>
          <w:szCs w:val="12"/>
          <w:color w:val="auto"/>
        </w:rPr>
        <w:t>Stock options exercised during the years ended December 31, 2020 and 2021 had a weighted average exercise price of $13.72 and $21.99, respectively, with an aggregate intrinsic value of $0.5 million and $8.2 million, respectively.</w:t>
      </w:r>
    </w:p>
    <w:p>
      <w:pPr>
        <w:spacing w:after="0" w:line="5" w:lineRule="exact"/>
        <w:rPr>
          <w:rFonts w:ascii="Arial" w:cs="Arial" w:eastAsia="Arial" w:hAnsi="Arial"/>
          <w:sz w:val="23"/>
          <w:szCs w:val="23"/>
          <w:color w:val="auto"/>
          <w:vertAlign w:val="superscript"/>
        </w:rPr>
      </w:pPr>
    </w:p>
    <w:p>
      <w:pPr>
        <w:ind w:left="400" w:hanging="377"/>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cash received for the payment of the option price.</w:t>
      </w:r>
    </w:p>
    <w:p>
      <w:pPr>
        <w:spacing w:after="0" w:line="23" w:lineRule="exact"/>
        <w:rPr>
          <w:rFonts w:ascii="Arial" w:cs="Arial" w:eastAsia="Arial" w:hAnsi="Arial"/>
          <w:sz w:val="14"/>
          <w:szCs w:val="14"/>
          <w:color w:val="auto"/>
        </w:rPr>
      </w:pPr>
    </w:p>
    <w:p>
      <w:pPr>
        <w:ind w:left="400" w:hanging="377"/>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cash withheld for the payment of payroll taxes.</w:t>
      </w:r>
    </w:p>
    <w:p>
      <w:pPr>
        <w:spacing w:after="0" w:line="21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Stock options are granted with an exercise price equal to the closing price of our common stock on the date of grant. All of the options granted and outstanding under this plan have either a seven or ten-year term. We utilized the Black-Scholes option pricing model and Monte-Carlo simulation pricing model for estimating the fair value of our stock options. These models allow for the use of a range of assumptions related to volatility, risk-free interest rate, expected holding period and dividend yield. The expected volatility utilized in these valuation models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options granted using the Monte-Carlo simulation pricing model was estimated on the date of grant with the following assumptions: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794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220"/>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Awards granted</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7940" w:type="dxa"/>
            <w:vAlign w:val="bottom"/>
          </w:tcPr>
          <w:p>
            <w:pPr>
              <w:ind w:left="420"/>
              <w:spacing w:after="0"/>
              <w:rPr>
                <w:sz w:val="20"/>
                <w:szCs w:val="20"/>
                <w:color w:val="auto"/>
              </w:rPr>
            </w:pPr>
            <w:r>
              <w:rPr>
                <w:rFonts w:ascii="Arial" w:cs="Arial" w:eastAsia="Arial" w:hAnsi="Arial"/>
                <w:sz w:val="18"/>
                <w:szCs w:val="18"/>
                <w:color w:val="auto"/>
              </w:rPr>
              <w:t>Dividend yield</w:t>
            </w:r>
          </w:p>
        </w:tc>
        <w:tc>
          <w:tcPr>
            <w:tcW w:w="3000" w:type="dxa"/>
            <w:vAlign w:val="bottom"/>
          </w:tcPr>
          <w:p>
            <w:pPr>
              <w:jc w:val="right"/>
              <w:ind w:right="234"/>
              <w:spacing w:after="0"/>
              <w:rPr>
                <w:sz w:val="20"/>
                <w:szCs w:val="20"/>
                <w:color w:val="auto"/>
              </w:rPr>
            </w:pPr>
            <w:r>
              <w:rPr>
                <w:rFonts w:ascii="Arial" w:cs="Arial" w:eastAsia="Arial" w:hAnsi="Arial"/>
                <w:sz w:val="18"/>
                <w:szCs w:val="18"/>
                <w:color w:val="auto"/>
              </w:rPr>
              <w:t>1.15</w:t>
            </w:r>
          </w:p>
        </w:tc>
      </w:tr>
      <w:tr>
        <w:trPr>
          <w:trHeight w:val="224"/>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Expected volatility</w:t>
            </w:r>
          </w:p>
        </w:tc>
        <w:tc>
          <w:tcPr>
            <w:tcW w:w="3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34.08</w:t>
            </w:r>
          </w:p>
        </w:tc>
      </w:tr>
      <w:tr>
        <w:trPr>
          <w:trHeight w:val="223"/>
        </w:trPr>
        <w:tc>
          <w:tcPr>
            <w:tcW w:w="7940" w:type="dxa"/>
            <w:vAlign w:val="bottom"/>
          </w:tcPr>
          <w:p>
            <w:pPr>
              <w:ind w:left="420"/>
              <w:spacing w:after="0"/>
              <w:rPr>
                <w:sz w:val="20"/>
                <w:szCs w:val="20"/>
                <w:color w:val="auto"/>
              </w:rPr>
            </w:pPr>
            <w:r>
              <w:rPr>
                <w:rFonts w:ascii="Arial" w:cs="Arial" w:eastAsia="Arial" w:hAnsi="Arial"/>
                <w:sz w:val="18"/>
                <w:szCs w:val="18"/>
                <w:color w:val="auto"/>
              </w:rPr>
              <w:t>Risk-free interest rate</w:t>
            </w:r>
          </w:p>
        </w:tc>
        <w:tc>
          <w:tcPr>
            <w:tcW w:w="3000" w:type="dxa"/>
            <w:vAlign w:val="bottom"/>
          </w:tcPr>
          <w:p>
            <w:pPr>
              <w:jc w:val="right"/>
              <w:ind w:right="234"/>
              <w:spacing w:after="0"/>
              <w:rPr>
                <w:sz w:val="20"/>
                <w:szCs w:val="20"/>
                <w:color w:val="auto"/>
              </w:rPr>
            </w:pPr>
            <w:r>
              <w:rPr>
                <w:rFonts w:ascii="Arial" w:cs="Arial" w:eastAsia="Arial" w:hAnsi="Arial"/>
                <w:sz w:val="18"/>
                <w:szCs w:val="18"/>
                <w:color w:val="auto"/>
              </w:rPr>
              <w:t>1.29</w:t>
            </w: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fair value of the options granted using the Black-Scholes option pricing model was estimated on the date of grant with the following assumptions: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93"/>
              </w:rPr>
              <w:t>Years Ended December 31,</w:t>
            </w:r>
          </w:p>
        </w:tc>
        <w:tc>
          <w:tcPr>
            <w:tcW w:w="1640" w:type="dxa"/>
            <w:vAlign w:val="bottom"/>
            <w:tcBorders>
              <w:bottom w:val="single" w:sz="8" w:color="auto"/>
            </w:tcBorders>
          </w:tcPr>
          <w:p>
            <w:pPr>
              <w:spacing w:after="0"/>
              <w:rPr>
                <w:sz w:val="18"/>
                <w:szCs w:val="18"/>
                <w:color w:val="auto"/>
              </w:rPr>
            </w:pPr>
          </w:p>
        </w:tc>
      </w:tr>
      <w:tr>
        <w:trPr>
          <w:trHeight w:val="204"/>
        </w:trPr>
        <w:tc>
          <w:tcPr>
            <w:tcW w:w="58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r>
      <w:tr>
        <w:trPr>
          <w:trHeight w:val="220"/>
        </w:trPr>
        <w:tc>
          <w:tcPr>
            <w:tcW w:w="58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Awards granted</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100,000</w:t>
            </w:r>
          </w:p>
        </w:tc>
        <w:tc>
          <w:tcPr>
            <w:tcW w:w="1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701,400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tcPr>
          <w:p>
            <w:pPr>
              <w:jc w:val="right"/>
              <w:spacing w:after="0"/>
              <w:rPr>
                <w:sz w:val="20"/>
                <w:szCs w:val="20"/>
                <w:color w:val="auto"/>
              </w:rPr>
            </w:pPr>
            <w:r>
              <w:rPr>
                <w:rFonts w:ascii="Arial" w:cs="Arial" w:eastAsia="Arial" w:hAnsi="Arial"/>
                <w:sz w:val="18"/>
                <w:szCs w:val="18"/>
                <w:color w:val="auto"/>
              </w:rPr>
              <w:t>1.23 %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27.45 %</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38.54 %</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36.72 %</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1.65 %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0.25 %</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0.57 %</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holding period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Black-Scholes value</w:t>
            </w:r>
          </w:p>
        </w:tc>
        <w:tc>
          <w:tcPr>
            <w:tcW w:w="1660" w:type="dxa"/>
            <w:vAlign w:val="bottom"/>
          </w:tcPr>
          <w:p>
            <w:pPr>
              <w:jc w:val="right"/>
              <w:spacing w:after="0"/>
              <w:rPr>
                <w:sz w:val="20"/>
                <w:szCs w:val="20"/>
                <w:color w:val="auto"/>
              </w:rPr>
            </w:pPr>
            <w:r>
              <w:rPr>
                <w:rFonts w:ascii="Arial" w:cs="Arial" w:eastAsia="Arial" w:hAnsi="Arial"/>
                <w:sz w:val="18"/>
                <w:szCs w:val="18"/>
                <w:color w:val="auto"/>
              </w:rPr>
              <w:t>$5.70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$10.14</w:t>
            </w: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stock options at and changes during the three years ended December 31, 2021 is presented in the table below (shares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980" w:type="dxa"/>
            <w:vAlign w:val="bottom"/>
          </w:tcPr>
          <w:p>
            <w:pPr>
              <w:spacing w:after="0"/>
              <w:rPr>
                <w:sz w:val="13"/>
                <w:szCs w:val="13"/>
                <w:color w:val="auto"/>
              </w:rPr>
            </w:pPr>
          </w:p>
        </w:tc>
        <w:tc>
          <w:tcPr>
            <w:tcW w:w="110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34"/>
              <w:spacing w:after="0" w:line="154" w:lineRule="exact"/>
              <w:rPr>
                <w:sz w:val="20"/>
                <w:szCs w:val="20"/>
                <w:color w:val="auto"/>
              </w:rPr>
            </w:pPr>
            <w:r>
              <w:rPr>
                <w:rFonts w:ascii="Arial" w:cs="Arial" w:eastAsia="Arial" w:hAnsi="Arial"/>
                <w:sz w:val="16"/>
                <w:szCs w:val="16"/>
                <w:b w:val="1"/>
                <w:bCs w:val="1"/>
                <w:color w:val="auto"/>
                <w:w w:val="94"/>
              </w:rPr>
              <w:t>Wtd. Avg.</w:t>
            </w:r>
          </w:p>
        </w:tc>
        <w:tc>
          <w:tcPr>
            <w:tcW w:w="120" w:type="dxa"/>
            <w:vAlign w:val="bottom"/>
          </w:tcPr>
          <w:p>
            <w:pPr>
              <w:spacing w:after="0"/>
              <w:rPr>
                <w:sz w:val="13"/>
                <w:szCs w:val="13"/>
                <w:color w:val="auto"/>
              </w:rPr>
            </w:pPr>
          </w:p>
        </w:tc>
        <w:tc>
          <w:tcPr>
            <w:tcW w:w="1100" w:type="dxa"/>
            <w:vAlign w:val="bottom"/>
            <w:vMerge w:val="restart"/>
          </w:tcPr>
          <w:p>
            <w:pPr>
              <w:jc w:val="right"/>
              <w:ind w:right="23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34"/>
              <w:spacing w:after="0" w:line="154" w:lineRule="exact"/>
              <w:rPr>
                <w:sz w:val="20"/>
                <w:szCs w:val="20"/>
                <w:color w:val="auto"/>
              </w:rPr>
            </w:pPr>
            <w:r>
              <w:rPr>
                <w:rFonts w:ascii="Arial" w:cs="Arial" w:eastAsia="Arial" w:hAnsi="Arial"/>
                <w:sz w:val="16"/>
                <w:szCs w:val="16"/>
                <w:b w:val="1"/>
                <w:bCs w:val="1"/>
                <w:color w:val="auto"/>
                <w:w w:val="94"/>
              </w:rPr>
              <w:t>Wtd. Avg.</w:t>
            </w:r>
          </w:p>
        </w:tc>
        <w:tc>
          <w:tcPr>
            <w:tcW w:w="100" w:type="dxa"/>
            <w:vAlign w:val="bottom"/>
          </w:tcPr>
          <w:p>
            <w:pPr>
              <w:spacing w:after="0"/>
              <w:rPr>
                <w:sz w:val="13"/>
                <w:szCs w:val="13"/>
                <w:color w:val="auto"/>
              </w:rPr>
            </w:pPr>
          </w:p>
        </w:tc>
        <w:tc>
          <w:tcPr>
            <w:tcW w:w="112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54"/>
              <w:spacing w:after="0" w:line="154" w:lineRule="exact"/>
              <w:rPr>
                <w:sz w:val="20"/>
                <w:szCs w:val="20"/>
                <w:color w:val="auto"/>
              </w:rPr>
            </w:pPr>
            <w:r>
              <w:rPr>
                <w:rFonts w:ascii="Arial" w:cs="Arial" w:eastAsia="Arial" w:hAnsi="Arial"/>
                <w:sz w:val="16"/>
                <w:szCs w:val="16"/>
                <w:b w:val="1"/>
                <w:bCs w:val="1"/>
                <w:color w:val="auto"/>
                <w:w w:val="94"/>
              </w:rPr>
              <w:t>Wtd. Avg.</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Ex. Price</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Ex. Price</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Ex. Price</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at January 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at December 31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A summary of the intrinsic value of stock options exercised and the fair value of stock options vested for the three years ended December 31, 2021 is presented in the table below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Years Ended 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4"/>
        </w:trPr>
        <w:tc>
          <w:tcPr>
            <w:tcW w:w="6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ind w:right="675"/>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7"/>
                <w:szCs w:val="17"/>
                <w:color w:val="auto"/>
              </w:rPr>
            </w:pPr>
          </w:p>
        </w:tc>
        <w:tc>
          <w:tcPr>
            <w:tcW w:w="1160" w:type="dxa"/>
            <w:vAlign w:val="bottom"/>
          </w:tcPr>
          <w:p>
            <w:pPr>
              <w:jc w:val="right"/>
              <w:ind w:right="515"/>
              <w:spacing w:after="0"/>
              <w:rPr>
                <w:sz w:val="20"/>
                <w:szCs w:val="20"/>
                <w:color w:val="auto"/>
              </w:rPr>
            </w:pPr>
            <w:r>
              <w:rPr>
                <w:rFonts w:ascii="Arial" w:cs="Arial" w:eastAsia="Arial" w:hAnsi="Arial"/>
                <w:sz w:val="16"/>
                <w:szCs w:val="16"/>
                <w:b w:val="1"/>
                <w:bCs w:val="1"/>
                <w:color w:val="auto"/>
              </w:rPr>
              <w:t>2021</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1,197</w:t>
            </w:r>
          </w:p>
        </w:tc>
        <w:tc>
          <w:tcPr>
            <w:tcW w:w="5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517</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r>
      <w:tr>
        <w:trPr>
          <w:trHeight w:val="328"/>
        </w:trPr>
        <w:tc>
          <w:tcPr>
            <w:tcW w:w="6340" w:type="dxa"/>
            <w:vAlign w:val="bottom"/>
          </w:tcPr>
          <w:p>
            <w:pPr>
              <w:ind w:left="20"/>
              <w:spacing w:after="0"/>
              <w:rPr>
                <w:sz w:val="20"/>
                <w:szCs w:val="20"/>
                <w:color w:val="auto"/>
              </w:rPr>
            </w:pPr>
            <w:r>
              <w:rPr>
                <w:rFonts w:ascii="Arial" w:cs="Arial" w:eastAsia="Arial" w:hAnsi="Arial"/>
                <w:sz w:val="18"/>
                <w:szCs w:val="18"/>
                <w:color w:val="auto"/>
              </w:rPr>
              <w:t>Fair value of stock options vested</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853</w:t>
            </w:r>
          </w:p>
        </w:tc>
        <w:tc>
          <w:tcPr>
            <w:tcW w:w="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735</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1,413</w:t>
            </w: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further describes our outstanding stock options at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 Outstanding</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Options Exercisable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Actual Ranges of</w:t>
            </w:r>
          </w:p>
        </w:tc>
        <w:tc>
          <w:tcPr>
            <w:tcW w:w="156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Number</w:t>
            </w:r>
          </w:p>
        </w:tc>
        <w:tc>
          <w:tcPr>
            <w:tcW w:w="168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8"/>
              </w:rPr>
              <w:t>Weighted-Average</w:t>
            </w:r>
          </w:p>
        </w:tc>
        <w:tc>
          <w:tcPr>
            <w:tcW w:w="15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Weighted-Average</w:t>
            </w: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Number Exercisable</w:t>
            </w:r>
          </w:p>
        </w:tc>
        <w:tc>
          <w:tcPr>
            <w:tcW w:w="170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88"/>
              </w:rPr>
              <w:t>Weighted-Average</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Weighted-Average</w:t>
            </w:r>
          </w:p>
        </w:tc>
        <w:tc>
          <w:tcPr>
            <w:tcW w:w="0" w:type="dxa"/>
            <w:vAlign w:val="bottom"/>
          </w:tcPr>
          <w:p>
            <w:pPr>
              <w:spacing w:after="0"/>
              <w:rPr>
                <w:sz w:val="1"/>
                <w:szCs w:val="1"/>
                <w:color w:val="auto"/>
              </w:rPr>
            </w:pPr>
          </w:p>
        </w:tc>
      </w:tr>
      <w:tr>
        <w:trPr>
          <w:trHeight w:val="158"/>
        </w:trPr>
        <w:tc>
          <w:tcPr>
            <w:tcW w:w="1720" w:type="dxa"/>
            <w:vAlign w:val="bottom"/>
            <w:vMerge w:val="continue"/>
          </w:tcPr>
          <w:p>
            <w:pPr>
              <w:spacing w:after="0"/>
              <w:rPr>
                <w:sz w:val="13"/>
                <w:szCs w:val="13"/>
                <w:color w:val="auto"/>
              </w:rPr>
            </w:pPr>
          </w:p>
        </w:tc>
        <w:tc>
          <w:tcPr>
            <w:tcW w:w="156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8"/>
              </w:rPr>
              <w:t>Outstanding at</w:t>
            </w:r>
          </w:p>
        </w:tc>
        <w:tc>
          <w:tcPr>
            <w:tcW w:w="16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Remaining</w:t>
            </w:r>
          </w:p>
        </w:tc>
        <w:tc>
          <w:tcPr>
            <w:tcW w:w="1580" w:type="dxa"/>
            <w:vAlign w:val="bottom"/>
            <w:gridSpan w:val="3"/>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7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0"/>
              </w:rPr>
              <w:t>Remaining</w:t>
            </w: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Exercise Prices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12/31/21</w:t>
            </w: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Contractual Life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1"/>
              </w:rPr>
              <w:t>Exercise Price</w:t>
            </w: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at 12/31/21</w:t>
            </w:r>
          </w:p>
        </w:tc>
        <w:tc>
          <w:tcPr>
            <w:tcW w:w="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Contractual Life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1"/>
              </w:rPr>
              <w:t>Exercise Price</w:t>
            </w:r>
          </w:p>
        </w:tc>
        <w:tc>
          <w:tcPr>
            <w:tcW w:w="0" w:type="dxa"/>
            <w:vAlign w:val="bottom"/>
          </w:tcPr>
          <w:p>
            <w:pPr>
              <w:spacing w:after="0"/>
              <w:rPr>
                <w:sz w:val="1"/>
                <w:szCs w:val="1"/>
                <w:color w:val="auto"/>
              </w:rPr>
            </w:pPr>
          </w:p>
        </w:tc>
      </w:tr>
      <w:tr>
        <w:trPr>
          <w:trHeight w:val="22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$18.02 - $18.02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center"/>
              <w:ind w:left="997"/>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20" w:type="dxa"/>
            <w:vAlign w:val="bottom"/>
          </w:tcPr>
          <w:p>
            <w:pPr>
              <w:ind w:left="20"/>
              <w:spacing w:after="0"/>
              <w:rPr>
                <w:sz w:val="20"/>
                <w:szCs w:val="20"/>
                <w:color w:val="auto"/>
              </w:rPr>
            </w:pPr>
            <w:r>
              <w:rPr>
                <w:rFonts w:ascii="Arial" w:cs="Arial" w:eastAsia="Arial" w:hAnsi="Arial"/>
                <w:sz w:val="18"/>
                <w:szCs w:val="18"/>
                <w:color w:val="auto"/>
              </w:rPr>
              <w:t>$20.06 - $26.54</w:t>
            </w:r>
          </w:p>
        </w:tc>
        <w:tc>
          <w:tcPr>
            <w:tcW w:w="1400" w:type="dxa"/>
            <w:vAlign w:val="bottom"/>
          </w:tcPr>
          <w:p>
            <w:pPr>
              <w:jc w:val="right"/>
              <w:spacing w:after="0"/>
              <w:rPr>
                <w:sz w:val="20"/>
                <w:szCs w:val="20"/>
                <w:color w:val="auto"/>
              </w:rPr>
            </w:pPr>
            <w:r>
              <w:rPr>
                <w:rFonts w:ascii="Arial" w:cs="Arial" w:eastAsia="Arial" w:hAnsi="Arial"/>
                <w:sz w:val="18"/>
                <w:szCs w:val="18"/>
                <w:color w:val="auto"/>
              </w:rPr>
              <w:t>464,921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375,793</w:t>
            </w:r>
          </w:p>
        </w:tc>
        <w:tc>
          <w:tcPr>
            <w:tcW w:w="160" w:type="dxa"/>
            <w:vAlign w:val="bottom"/>
          </w:tcPr>
          <w:p>
            <w:pPr>
              <w:spacing w:after="0"/>
              <w:rPr>
                <w:sz w:val="19"/>
                <w:szCs w:val="19"/>
                <w:color w:val="auto"/>
              </w:rPr>
            </w:pPr>
          </w:p>
        </w:tc>
        <w:tc>
          <w:tcPr>
            <w:tcW w:w="1540" w:type="dxa"/>
            <w:vAlign w:val="bottom"/>
          </w:tcPr>
          <w:p>
            <w:pPr>
              <w:jc w:val="center"/>
              <w:ind w:left="1117"/>
              <w:spacing w:after="0"/>
              <w:rPr>
                <w:sz w:val="20"/>
                <w:szCs w:val="20"/>
                <w:color w:val="auto"/>
              </w:rPr>
            </w:pPr>
            <w:r>
              <w:rPr>
                <w:rFonts w:ascii="Arial" w:cs="Arial" w:eastAsia="Arial" w:hAnsi="Arial"/>
                <w:sz w:val="18"/>
                <w:szCs w:val="18"/>
                <w:color w:val="auto"/>
                <w:w w:val="85"/>
              </w:rPr>
              <w:t>5.07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4"/>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$34.79 - $34.79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786,900</w:t>
            </w:r>
          </w:p>
        </w:tc>
        <w:tc>
          <w:tcPr>
            <w:tcW w:w="1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6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117"/>
              <w:spacing w:after="0"/>
              <w:rPr>
                <w:sz w:val="20"/>
                <w:szCs w:val="20"/>
                <w:color w:val="auto"/>
              </w:rPr>
            </w:pPr>
            <w:r>
              <w:rPr>
                <w:rFonts w:ascii="Arial" w:cs="Arial" w:eastAsia="Arial" w:hAnsi="Arial"/>
                <w:sz w:val="18"/>
                <w:szCs w:val="18"/>
                <w:color w:val="auto"/>
                <w:w w:val="85"/>
              </w:rPr>
              <w:t>9.14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line="203" w:lineRule="exact"/>
              <w:rPr>
                <w:sz w:val="20"/>
                <w:szCs w:val="20"/>
                <w:color w:val="auto"/>
              </w:rPr>
            </w:pPr>
            <w:r>
              <w:rPr>
                <w:rFonts w:ascii="Arial" w:cs="Arial" w:eastAsia="Arial" w:hAnsi="Arial"/>
                <w:sz w:val="18"/>
                <w:szCs w:val="18"/>
                <w:color w:val="auto"/>
              </w:rPr>
              <w:t>$18.02 - $34.79</w:t>
            </w:r>
          </w:p>
        </w:tc>
        <w:tc>
          <w:tcPr>
            <w:tcW w:w="1400" w:type="dxa"/>
            <w:vAlign w:val="bottom"/>
          </w:tcPr>
          <w:p>
            <w:pPr>
              <w:jc w:val="right"/>
              <w:spacing w:after="0"/>
              <w:rPr>
                <w:sz w:val="20"/>
                <w:szCs w:val="20"/>
                <w:color w:val="auto"/>
              </w:rPr>
            </w:pPr>
            <w:r>
              <w:rPr>
                <w:rFonts w:ascii="Arial" w:cs="Arial" w:eastAsia="Arial" w:hAnsi="Arial"/>
                <w:sz w:val="18"/>
                <w:szCs w:val="18"/>
                <w:color w:val="auto"/>
              </w:rPr>
              <w:t>1,265,154</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425,793</w:t>
            </w:r>
          </w:p>
        </w:tc>
        <w:tc>
          <w:tcPr>
            <w:tcW w:w="160" w:type="dxa"/>
            <w:vAlign w:val="bottom"/>
          </w:tcPr>
          <w:p>
            <w:pPr>
              <w:spacing w:after="0"/>
              <w:rPr>
                <w:sz w:val="18"/>
                <w:szCs w:val="18"/>
                <w:color w:val="auto"/>
              </w:rPr>
            </w:pPr>
          </w:p>
        </w:tc>
        <w:tc>
          <w:tcPr>
            <w:tcW w:w="1540" w:type="dxa"/>
            <w:vAlign w:val="bottom"/>
          </w:tcPr>
          <w:p>
            <w:pPr>
              <w:jc w:val="center"/>
              <w:ind w:left="1117"/>
              <w:spacing w:after="0"/>
              <w:rPr>
                <w:sz w:val="20"/>
                <w:szCs w:val="20"/>
                <w:color w:val="auto"/>
              </w:rPr>
            </w:pPr>
            <w:r>
              <w:rPr>
                <w:rFonts w:ascii="Arial" w:cs="Arial" w:eastAsia="Arial" w:hAnsi="Arial"/>
                <w:sz w:val="18"/>
                <w:szCs w:val="18"/>
                <w:color w:val="auto"/>
                <w:w w:val="85"/>
              </w:rPr>
              <w:t>5.55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829"/>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74"/>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aggregate intrinsic value of the outstanding and exercisable stock options was $42.4 million and $16.5 million, respectively, at December 31, 2021. We had $6.1 million of unrecognized compensation cost, net of estimated forfeitures, related to unvested stock options expected to be recognized over a weighted average period of approximately 4.79 years at December 31, 2021.</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Regional and unallocated funeral and cemetery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w:t>
      </w:r>
      <w:r>
        <w:rPr>
          <w:rFonts w:ascii="Arial" w:cs="Arial" w:eastAsia="Arial" w:hAnsi="Arial"/>
          <w:sz w:val="18"/>
          <w:szCs w:val="18"/>
          <w:color w:val="auto"/>
        </w:rPr>
        <w:t>expenses, for stock options, including the accelerated stock options discussed above of $682,000, $669,000 and $2,355,000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2020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09"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During the year ended December 31, 2020</w:t>
      </w:r>
      <w:r>
        <w:rPr>
          <w:rFonts w:ascii="Arial" w:cs="Arial" w:eastAsia="Arial" w:hAnsi="Arial"/>
          <w:sz w:val="13"/>
          <w:szCs w:val="13"/>
          <w:color w:val="auto"/>
        </w:rPr>
        <w:t>,</w:t>
      </w:r>
      <w:r>
        <w:rPr>
          <w:rFonts w:ascii="Arial" w:cs="Arial" w:eastAsia="Arial" w:hAnsi="Arial"/>
          <w:sz w:val="15"/>
          <w:szCs w:val="15"/>
          <w:color w:val="auto"/>
        </w:rPr>
        <w:t xml:space="preserve"> we issued 237,500 performance awards to certain employees, payable in shares, with a fair value of $2.8 million. On May 19, 2020, we cancelled all performance award agreements previously awarded to all individuals during 2019, as well as the 237,500 performance awards previously granted in 2020. Concurrently with the cancellation of those performance awards, the Compensation Committee of the Board approved 368,921 new performance awards to be issued to certain employees. These new performance awards were treated as a modification of the cancelled awards and resulted in an additional $1.7 million of incremental compensation expense. These awards will vest (if at all) on December 31, 2024, provided that the Company’s common stock reaches the predetermined growth targets for a sustained period beginning on the grant date and ending on December 31, 2024.</w:t>
      </w:r>
    </w:p>
    <w:p>
      <w:pPr>
        <w:spacing w:after="0" w:line="4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June 1, 2021, we amended the performance award agreements granted on May 19, 2020 for three of our executives. The amendment increased the amount of performance awards payable in shares for the last three predetermined growth targets. It was treated as a modification of the original performance award agreement and resulted in an additional $2.6 million of incremental compensation expense, expected to be recognized over the remaining term of 36 months.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performance award activity is as follows (in thousands, except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6"/>
                <w:szCs w:val="16"/>
                <w:b w:val="1"/>
                <w:bCs w:val="1"/>
                <w:color w:val="auto"/>
                <w:w w:val="90"/>
              </w:rPr>
              <w:t>Years Ended December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r>
      <w:tr>
        <w:trPr>
          <w:trHeight w:val="207"/>
        </w:trPr>
        <w:tc>
          <w:tcPr>
            <w:tcW w:w="69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6"/>
                <w:szCs w:val="16"/>
                <w:b w:val="1"/>
                <w:bCs w:val="1"/>
                <w:color w:val="auto"/>
                <w:w w:val="91"/>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91"/>
              </w:rPr>
              <w:t>Fair Value</w:t>
            </w: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30,743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2,116</w:t>
            </w:r>
          </w:p>
        </w:tc>
      </w:tr>
      <w:tr>
        <w:trPr>
          <w:trHeight w:val="224"/>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new performance award and changes during the year ended December 31, 2021 is presented in the table and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136"/>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Performance Awards</w:t>
            </w:r>
          </w:p>
        </w:tc>
        <w:tc>
          <w:tcPr>
            <w:tcW w:w="210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1680" w:type="dxa"/>
            <w:vAlign w:val="bottom"/>
          </w:tcPr>
          <w:p>
            <w:pPr>
              <w:jc w:val="center"/>
              <w:ind w:right="116"/>
              <w:spacing w:after="0" w:line="158"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16"/>
              <w:spacing w:after="0" w:line="171" w:lineRule="exact"/>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55,302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At December 31,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435,766</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reflects the new performance awards granted during the year ended December 31, 2021, their respective fair values and the assumptions utilized in the Monte-Carlo simulation pricing model:</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Grant date</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16, 2021</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1, 2021</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12, 2021</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15, 2021</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November 29, 2021</w:t>
            </w:r>
          </w:p>
        </w:tc>
      </w:tr>
      <w:tr>
        <w:trPr>
          <w:trHeight w:val="22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Simulation period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Share price at grant date</w:t>
            </w:r>
          </w:p>
        </w:tc>
        <w:tc>
          <w:tcPr>
            <w:tcW w:w="1520" w:type="dxa"/>
            <w:vAlign w:val="bottom"/>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24"/>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45.50 %</w:t>
            </w:r>
          </w:p>
        </w:tc>
      </w:tr>
      <w:tr>
        <w:trPr>
          <w:trHeight w:val="223"/>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0.52 %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0.49 %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0.85 %</w:t>
            </w:r>
          </w:p>
        </w:tc>
      </w:tr>
    </w:tbl>
    <w:p>
      <w:pPr>
        <w:spacing w:after="0" w:line="18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At December 31, 2021, there was $7.2 million of unrecognized compensation cost related to performance awards expected to be recognized over a weighted average period of 36 months. If all of the predetermined growth targets are met as of December 31, 2024, a total of 1,052,532 shares of common stock would be awarded to participants under this program.</w:t>
      </w:r>
    </w:p>
    <w:p>
      <w:pPr>
        <w:spacing w:after="0" w:line="85"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 xml:space="preserve">We recorded stock-based compensation expense, which is included in </w:t>
      </w:r>
      <w:r>
        <w:rPr>
          <w:rFonts w:ascii="Arial" w:cs="Arial" w:eastAsia="Arial" w:hAnsi="Arial"/>
          <w:sz w:val="15"/>
          <w:szCs w:val="15"/>
          <w:i w:val="1"/>
          <w:iCs w:val="1"/>
          <w:color w:val="auto"/>
        </w:rPr>
        <w:t>Regional and unallocated funeral and cemetery costs</w:t>
      </w:r>
      <w:r>
        <w:rPr>
          <w:rFonts w:ascii="Arial" w:cs="Arial" w:eastAsia="Arial" w:hAnsi="Arial"/>
          <w:sz w:val="15"/>
          <w:szCs w:val="15"/>
          <w:color w:val="auto"/>
        </w:rPr>
        <w:t xml:space="preserve"> and </w:t>
      </w:r>
      <w:r>
        <w:rPr>
          <w:rFonts w:ascii="Arial" w:cs="Arial" w:eastAsia="Arial" w:hAnsi="Arial"/>
          <w:sz w:val="15"/>
          <w:szCs w:val="15"/>
          <w:i w:val="1"/>
          <w:iCs w:val="1"/>
          <w:color w:val="auto"/>
        </w:rPr>
        <w:t>General, administrative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other </w:t>
      </w:r>
      <w:r>
        <w:rPr>
          <w:rFonts w:ascii="Arial" w:cs="Arial" w:eastAsia="Arial" w:hAnsi="Arial"/>
          <w:sz w:val="15"/>
          <w:szCs w:val="15"/>
          <w:color w:val="auto"/>
        </w:rPr>
        <w:t>expenses, for performance awards of $196,000, $894,000 and $1,573,000 during the years ended December 31, 2019, 2020 and 2021,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ESPP activity is as follows (in thousands, except shares):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8"/>
              </w:rPr>
              <w:t>Years Ended December 31,</w:t>
            </w: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4"/>
        </w:trPr>
        <w:tc>
          <w:tcPr>
            <w:tcW w:w="4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r>
      <w:tr>
        <w:trPr>
          <w:trHeight w:val="207"/>
        </w:trPr>
        <w:tc>
          <w:tcPr>
            <w:tcW w:w="4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Arial" w:cs="Arial" w:eastAsia="Arial" w:hAnsi="Arial"/>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780" w:type="dxa"/>
            <w:vAlign w:val="bottom"/>
            <w:shd w:val="clear" w:color="auto" w:fill="CCEEFF"/>
          </w:tcPr>
          <w:p>
            <w:pPr>
              <w:jc w:val="right"/>
              <w:ind w:right="257"/>
              <w:spacing w:after="0"/>
              <w:rPr>
                <w:sz w:val="20"/>
                <w:szCs w:val="20"/>
                <w:color w:val="auto"/>
              </w:rPr>
            </w:pPr>
            <w:r>
              <w:rPr>
                <w:rFonts w:ascii="Arial" w:cs="Arial" w:eastAsia="Arial" w:hAnsi="Arial"/>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Arial" w:cs="Arial" w:eastAsia="Arial" w:hAnsi="Arial"/>
                <w:sz w:val="16"/>
                <w:szCs w:val="16"/>
                <w:b w:val="1"/>
                <w:bCs w:val="1"/>
                <w:color w:val="auto"/>
              </w:rPr>
              <w:t>Price</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ESPP</w:t>
            </w:r>
          </w:p>
        </w:tc>
        <w:tc>
          <w:tcPr>
            <w:tcW w:w="1020" w:type="dxa"/>
            <w:vAlign w:val="bottom"/>
          </w:tcPr>
          <w:p>
            <w:pPr>
              <w:jc w:val="right"/>
              <w:spacing w:after="0"/>
              <w:rPr>
                <w:sz w:val="20"/>
                <w:szCs w:val="20"/>
                <w:color w:val="auto"/>
              </w:rPr>
            </w:pPr>
            <w:r>
              <w:rPr>
                <w:rFonts w:ascii="Arial" w:cs="Arial" w:eastAsia="Arial" w:hAnsi="Arial"/>
                <w:sz w:val="18"/>
                <w:szCs w:val="18"/>
                <w:color w:val="auto"/>
              </w:rPr>
              <w:t>73,731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8"/>
                <w:szCs w:val="18"/>
                <w:color w:val="auto"/>
              </w:rPr>
              <w:t>71,908 $</w:t>
            </w:r>
          </w:p>
        </w:tc>
        <w:tc>
          <w:tcPr>
            <w:tcW w:w="780" w:type="dxa"/>
            <w:vAlign w:val="bottom"/>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61,904</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26.32</w:t>
            </w:r>
          </w:p>
        </w:tc>
      </w:tr>
    </w:tbl>
    <w:p>
      <w:pPr>
        <w:spacing w:after="0" w:line="18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 xml:space="preserve">We recorded stock-based compensation expense, which is included in </w:t>
      </w:r>
      <w:r>
        <w:rPr>
          <w:rFonts w:ascii="Arial" w:cs="Arial" w:eastAsia="Arial" w:hAnsi="Arial"/>
          <w:sz w:val="16"/>
          <w:szCs w:val="16"/>
          <w:i w:val="1"/>
          <w:iCs w:val="1"/>
          <w:color w:val="auto"/>
        </w:rPr>
        <w:t>Regional and unallocated funeral and cemetery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w:t>
      </w:r>
      <w:r>
        <w:rPr>
          <w:rFonts w:ascii="Arial" w:cs="Arial" w:eastAsia="Arial" w:hAnsi="Arial"/>
          <w:sz w:val="16"/>
          <w:szCs w:val="16"/>
          <w:color w:val="auto"/>
        </w:rPr>
        <w:t>expenses, for our ESPP of $292,000, $434,000 and $552,000 during the years ended December 31, 2019, 2020 and 2021, respectively.</w:t>
      </w:r>
    </w:p>
    <w:p>
      <w:pPr>
        <w:spacing w:after="0" w:line="3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values of the right to purchase shares under the ESPP are estimated at the date of purchase with the four quarterly purchase dates using the following assumptions: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Years Ended December 31,</w:t>
            </w:r>
          </w:p>
        </w:tc>
        <w:tc>
          <w:tcPr>
            <w:tcW w:w="2840" w:type="dxa"/>
            <w:vAlign w:val="bottom"/>
            <w:tcBorders>
              <w:bottom w:val="single" w:sz="8" w:color="auto"/>
            </w:tcBorders>
          </w:tcPr>
          <w:p>
            <w:pPr>
              <w:spacing w:after="0"/>
              <w:rPr>
                <w:sz w:val="18"/>
                <w:szCs w:val="18"/>
                <w:color w:val="auto"/>
              </w:rPr>
            </w:pPr>
          </w:p>
        </w:tc>
      </w:tr>
      <w:tr>
        <w:trPr>
          <w:trHeight w:val="204"/>
        </w:trPr>
        <w:tc>
          <w:tcPr>
            <w:tcW w:w="2500" w:type="dxa"/>
            <w:vAlign w:val="bottom"/>
            <w:tcBorders>
              <w:bottom w:val="single" w:sz="8" w:color="CCEEFF"/>
            </w:tcBorders>
          </w:tcPr>
          <w:p>
            <w:pPr>
              <w:spacing w:after="0"/>
              <w:rPr>
                <w:sz w:val="17"/>
                <w:szCs w:val="17"/>
                <w:color w:val="auto"/>
              </w:rPr>
            </w:pPr>
          </w:p>
        </w:tc>
        <w:tc>
          <w:tcPr>
            <w:tcW w:w="28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2021</w:t>
            </w:r>
          </w:p>
        </w:tc>
      </w:tr>
      <w:tr>
        <w:trPr>
          <w:trHeight w:val="220"/>
        </w:trPr>
        <w:tc>
          <w:tcPr>
            <w:tcW w:w="2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Dividend yield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right"/>
              <w:spacing w:after="0"/>
              <w:rPr>
                <w:sz w:val="20"/>
                <w:szCs w:val="20"/>
                <w:color w:val="auto"/>
              </w:rPr>
            </w:pPr>
            <w:r>
              <w:rPr>
                <w:rFonts w:ascii="Arial" w:cs="Arial" w:eastAsia="Arial" w:hAnsi="Arial"/>
                <w:sz w:val="18"/>
                <w:szCs w:val="18"/>
                <w:color w:val="auto"/>
              </w:rPr>
              <w:t>36.1 %</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48.1 %</w:t>
            </w:r>
          </w:p>
        </w:tc>
      </w:tr>
      <w:tr>
        <w:trPr>
          <w:trHeight w:val="224"/>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2.51%, 2.56%, 2.60%</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1.57%, 1.57%,1.56%</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0.09%, 0.10%, 0.10%</w:t>
            </w: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820" w:type="dxa"/>
            <w:vAlign w:val="bottom"/>
          </w:tcPr>
          <w:p>
            <w:pPr>
              <w:jc w:val="right"/>
              <w:spacing w:after="0"/>
              <w:rPr>
                <w:sz w:val="20"/>
                <w:szCs w:val="20"/>
                <w:color w:val="auto"/>
              </w:rPr>
            </w:pPr>
            <w:r>
              <w:rPr>
                <w:rFonts w:ascii="Arial" w:cs="Arial" w:eastAsia="Arial" w:hAnsi="Arial"/>
                <w:sz w:val="18"/>
                <w:szCs w:val="18"/>
                <w:color w:val="auto"/>
              </w:rPr>
              <w:t>0.25, 0.50, 0.75, 1.00</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0.25, 0.50, 0.75, 1.00</w:t>
            </w:r>
          </w:p>
        </w:tc>
        <w:tc>
          <w:tcPr>
            <w:tcW w:w="10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0.25, 0.50, 0.75, 1.00</w:t>
            </w:r>
          </w:p>
        </w:tc>
      </w:tr>
    </w:tbl>
    <w:p>
      <w:pPr>
        <w:spacing w:after="0" w:line="17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To Great Incentive Program</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issue any shares of common stock in 2021 related to our Good To Great program.</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February 19, 2020, we issued 17,991 shares of our common stock to certain employees, which were valued at $449,000 at a grant date stock price of $25.00.</w:t>
      </w:r>
    </w:p>
    <w:p>
      <w:pPr>
        <w:spacing w:after="0" w:line="76" w:lineRule="exact"/>
        <w:rPr>
          <w:sz w:val="20"/>
          <w:szCs w:val="20"/>
          <w:color w:val="auto"/>
        </w:rPr>
      </w:pPr>
    </w:p>
    <w:p>
      <w:pPr>
        <w:ind w:right="240" w:firstLine="395"/>
        <w:spacing w:after="0" w:line="366" w:lineRule="auto"/>
        <w:rPr>
          <w:sz w:val="20"/>
          <w:szCs w:val="20"/>
          <w:color w:val="auto"/>
        </w:rPr>
      </w:pPr>
      <w:r>
        <w:rPr>
          <w:rFonts w:ascii="Arial" w:cs="Arial" w:eastAsia="Arial" w:hAnsi="Arial"/>
          <w:sz w:val="18"/>
          <w:szCs w:val="18"/>
          <w:color w:val="auto"/>
        </w:rPr>
        <w:t xml:space="preserve">During 2019, we issued 14,844 shares of our common stock to certain employees, which were valued at $294,000 at a grant date stock price of $19.92. </w:t>
      </w:r>
      <w:r>
        <w:rPr>
          <w:rFonts w:ascii="Arial" w:cs="Arial" w:eastAsia="Arial" w:hAnsi="Arial"/>
          <w:sz w:val="18"/>
          <w:szCs w:val="18"/>
          <w:i w:val="1"/>
          <w:iCs w:val="1"/>
          <w:color w:val="auto"/>
        </w:rPr>
        <w:t>Non-Employee Director and Board Advisor Compensation</w:t>
      </w:r>
    </w:p>
    <w:p>
      <w:pPr>
        <w:jc w:val="both"/>
        <w:ind w:firstLine="632"/>
        <w:spacing w:after="0" w:line="280" w:lineRule="auto"/>
        <w:rPr>
          <w:sz w:val="20"/>
          <w:szCs w:val="20"/>
          <w:color w:val="auto"/>
        </w:rPr>
      </w:pPr>
      <w:r>
        <w:rPr>
          <w:rFonts w:ascii="Arial" w:cs="Arial" w:eastAsia="Arial" w:hAnsi="Arial"/>
          <w:sz w:val="16"/>
          <w:szCs w:val="16"/>
          <w:color w:val="auto"/>
        </w:rPr>
        <w:t>Our Director Compensation Policy provides that each independent director is entitled to a quarterly retainer of $35,000 payable in cash and/or unrestricted shares of our common stock at the end of each quarter. The Lead Director and chairman of our Audit Committee are entitled to an additional annual retainer of $10,000, payable in quarterly installments of $2,500 each at the end of each quarter, and the chairman of our Corporate Governance and Compensation Committees are entitled to an additional annual retainer of $5,000, payable in quarterly installments of $1,250 each at the end of each quarter. 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Board Advisor is entitled to a quarterly retainer of $18,750 payable in cash and/or unrestricted shares of our common stock at the end of each quarter. The number of shares of such common stock will be determined by dividing the cash amount by the closing price of our common stock on the date of grant, which will be the date of admission to the Board.</w:t>
      </w:r>
    </w:p>
    <w:p>
      <w:pPr>
        <w:spacing w:after="0" w:line="68"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color w:val="auto"/>
        </w:rPr>
        <w:t>On May 17, 2021, James R. Schenck provided notice of his resignation from the Board effective on that date. He served as the chairman of the Corporate Governance Committee and as a member of the Audit Committee and the Compensation Committee. On June 1, 2021, the Board appointed Dr. Achille Messac to be the chairman of the Corporate Governance Committee.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Non-Employee Director and Board Advisor common stock activity is as follows (in thousands, except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4"/>
        </w:trPr>
        <w:tc>
          <w:tcPr>
            <w:tcW w:w="4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r>
      <w:tr>
        <w:trPr>
          <w:trHeight w:val="207"/>
        </w:trPr>
        <w:tc>
          <w:tcPr>
            <w:tcW w:w="4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77"/>
              <w:spacing w:after="0"/>
              <w:rPr>
                <w:sz w:val="20"/>
                <w:szCs w:val="20"/>
                <w:color w:val="auto"/>
              </w:rPr>
            </w:pPr>
            <w:r>
              <w:rPr>
                <w:rFonts w:ascii="Arial" w:cs="Arial" w:eastAsia="Arial" w:hAnsi="Arial"/>
                <w:sz w:val="16"/>
                <w:szCs w:val="16"/>
                <w:b w:val="1"/>
                <w:bCs w:val="1"/>
                <w:color w:val="auto"/>
              </w:rPr>
              <w:t>Shares</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88"/>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91"/>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91"/>
              </w:rPr>
              <w:t>Fair Value</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7,458 $</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 to the Board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42" w:lineRule="exact"/>
        <w:rPr>
          <w:sz w:val="20"/>
          <w:szCs w:val="20"/>
          <w:color w:val="auto"/>
        </w:rPr>
      </w:pPr>
    </w:p>
    <w:p>
      <w:pPr>
        <w:ind w:left="400" w:hanging="377"/>
        <w:spacing w:after="0"/>
        <w:tabs>
          <w:tab w:leader="none" w:pos="400" w:val="left"/>
        </w:tabs>
        <w:numPr>
          <w:ilvl w:val="0"/>
          <w:numId w:val="29"/>
        </w:numPr>
        <w:rPr>
          <w:rFonts w:ascii="Arial" w:cs="Arial" w:eastAsia="Arial" w:hAnsi="Arial"/>
          <w:sz w:val="28"/>
          <w:szCs w:val="28"/>
          <w:color w:val="auto"/>
          <w:vertAlign w:val="superscript"/>
        </w:rPr>
      </w:pPr>
      <w:r>
        <w:rPr>
          <w:rFonts w:ascii="Arial" w:cs="Arial" w:eastAsia="Arial" w:hAnsi="Arial"/>
          <w:sz w:val="14"/>
          <w:szCs w:val="14"/>
          <w:color w:val="auto"/>
        </w:rPr>
        <w:t>Common stock granted during the years ended December 31, 2019, 2020 and 2021 had a weighted average price of $20.78, $21.16 and $42.14, respectively.</w:t>
      </w:r>
    </w:p>
    <w:p>
      <w:pPr>
        <w:spacing w:after="0" w:line="19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We recorded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related to annual retainers, including the value of stock granted to non-employee Directors and an advisor to our Board, of $455,000, $889,000 and $858,000 during the years ended December 31, 2019, 2020 and 2021,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October 27, 2021, our Board approved an annual increase of $0.05 per share for a total annual dividend of $0.45 per share beginning with the dividend declaration in the fourth quarter.</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Board declared the following dividends payable on the dates below (in thousands,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36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June 1st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24"/>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December 1st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0.1125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11"/>
        </w:trPr>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45"/>
        </w:trPr>
        <w:tc>
          <w:tcPr>
            <w:tcW w:w="79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52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1360" w:type="dxa"/>
            <w:vAlign w:val="bottom"/>
          </w:tcPr>
          <w:p>
            <w:pPr>
              <w:jc w:val="right"/>
              <w:ind w:right="476"/>
              <w:spacing w:after="0" w:line="145" w:lineRule="exact"/>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June 1st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0.0750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24"/>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December 1st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1,797</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REPURCHASE PROGRAM</w:t>
      </w:r>
    </w:p>
    <w:p>
      <w:pPr>
        <w:spacing w:after="0" w:line="102"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w:t>
      </w:r>
    </w:p>
    <w:p>
      <w:pPr>
        <w:spacing w:after="0" w:line="68"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On May 18, 2021, July 26, 2021 and October 27, 2021, our Board increased our share repurchase authorization by an additional $25.0 million, $25.0 million and $75.0 million, respectively, that including amounts previously authorized and outstanding, totaled up to $190.0 million in share repurchase authorizations.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repurchase activity is as follows (dollar value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Years Ended December 31,</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2021</w:t>
            </w:r>
          </w:p>
        </w:tc>
      </w:tr>
      <w:tr>
        <w:trPr>
          <w:trHeight w:val="220"/>
        </w:trPr>
        <w:tc>
          <w:tcPr>
            <w:tcW w:w="516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Number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400,000</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2,906,983</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1200" w:type="dxa"/>
            <w:vAlign w:val="bottom"/>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19.39</w:t>
            </w:r>
          </w:p>
        </w:tc>
        <w:tc>
          <w:tcPr>
            <w:tcW w:w="56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49.01</w:t>
            </w:r>
          </w:p>
        </w:tc>
      </w:tr>
      <w:tr>
        <w:trPr>
          <w:trHeight w:val="224"/>
        </w:trPr>
        <w:tc>
          <w:tcPr>
            <w:tcW w:w="5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Dollar Value of Shares Repurchased</w:t>
            </w:r>
            <w:r>
              <w:rPr>
                <w:rFonts w:ascii="Arial" w:cs="Arial" w:eastAsia="Arial" w:hAnsi="Arial"/>
                <w:sz w:val="22"/>
                <w:szCs w:val="22"/>
                <w:color w:val="auto"/>
                <w:vertAlign w:val="superscript"/>
              </w:rPr>
              <w:t>(1)</w:t>
            </w: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7,756</w:t>
            </w:r>
          </w:p>
        </w:tc>
        <w:tc>
          <w:tcPr>
            <w:tcW w:w="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10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85" w:lineRule="exact"/>
        <w:rPr>
          <w:sz w:val="20"/>
          <w:szCs w:val="20"/>
          <w:color w:val="auto"/>
        </w:rPr>
      </w:pPr>
    </w:p>
    <w:p>
      <w:pPr>
        <w:ind w:left="400" w:right="60" w:hanging="377"/>
        <w:spacing w:after="0" w:line="185" w:lineRule="auto"/>
        <w:tabs>
          <w:tab w:leader="none" w:pos="400" w:val="left"/>
        </w:tabs>
        <w:numPr>
          <w:ilvl w:val="0"/>
          <w:numId w:val="30"/>
        </w:numPr>
        <w:rPr>
          <w:rFonts w:ascii="Arial" w:cs="Arial" w:eastAsia="Arial" w:hAnsi="Arial"/>
          <w:sz w:val="23"/>
          <w:szCs w:val="23"/>
          <w:color w:val="auto"/>
          <w:vertAlign w:val="superscript"/>
        </w:rPr>
      </w:pPr>
      <w:r>
        <w:rPr>
          <w:rFonts w:ascii="Arial" w:cs="Arial" w:eastAsia="Arial" w:hAnsi="Arial"/>
          <w:sz w:val="12"/>
          <w:szCs w:val="12"/>
          <w:color w:val="auto"/>
        </w:rPr>
        <w:t>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w:t>
      </w:r>
    </w:p>
    <w:p>
      <w:pPr>
        <w:spacing w:after="0" w:line="15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2021, we had $8.1 million remaining available for repurchase under our authorized program.</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24 to the Consolidated Financial Statements included herein for additional information related to our share repurchases.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Our grants of stock awards to our employees are considered participating securities and we have prepared our earnings per share calculations to exclude earnings allocated to unvested restricted stock awards, using the two-class method, in the basic and diluted weighted average shares outstanding calculation.</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computation of the basic and diluted earnings per share (in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0"/>
              </w:rPr>
              <w:t>Years Ended December 31,</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6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33,159</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Earnings allocated to unvested restricted stock</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attributable to common stockholders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6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240" w:type="dxa"/>
            <w:vAlign w:val="bottom"/>
          </w:tcPr>
          <w:p>
            <w:pPr>
              <w:ind w:left="220"/>
              <w:spacing w:after="0" w:line="172" w:lineRule="exact"/>
              <w:rPr>
                <w:sz w:val="20"/>
                <w:szCs w:val="20"/>
                <w:color w:val="auto"/>
              </w:rPr>
            </w:pPr>
            <w:r>
              <w:rPr>
                <w:rFonts w:ascii="Arial" w:cs="Arial" w:eastAsia="Arial" w:hAnsi="Arial"/>
                <w:sz w:val="18"/>
                <w:szCs w:val="18"/>
                <w:color w:val="auto"/>
                <w:w w:val="96"/>
              </w:rPr>
              <w:t>Denominator for basic earnings per common share - weighted average shares</w:t>
            </w:r>
          </w:p>
        </w:tc>
        <w:tc>
          <w:tcPr>
            <w:tcW w:w="4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17,877</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17,872</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17,409</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Performance awards</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52"/>
        </w:trPr>
        <w:tc>
          <w:tcPr>
            <w:tcW w:w="624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Denominator for diluted earnings per common share - weighted average shares</w:t>
            </w:r>
          </w:p>
        </w:tc>
        <w:tc>
          <w:tcPr>
            <w:tcW w:w="4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18,005</w:t>
            </w: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17"/>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44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0.80</w:t>
            </w:r>
          </w:p>
        </w:tc>
        <w:tc>
          <w:tcPr>
            <w:tcW w:w="640" w:type="dxa"/>
            <w:vAlign w:val="bottom"/>
            <w:gridSpan w:val="2"/>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0.89</w:t>
            </w:r>
          </w:p>
        </w:tc>
        <w:tc>
          <w:tcPr>
            <w:tcW w:w="220" w:type="dxa"/>
            <w:vAlign w:val="bottom"/>
          </w:tcPr>
          <w:p>
            <w:pPr>
              <w:spacing w:after="0"/>
              <w:rPr>
                <w:sz w:val="17"/>
                <w:szCs w:val="17"/>
                <w:color w:val="auto"/>
              </w:rPr>
            </w:pPr>
          </w:p>
        </w:tc>
        <w:tc>
          <w:tcPr>
            <w:tcW w:w="420" w:type="dxa"/>
            <w:vAlign w:val="bottom"/>
          </w:tcPr>
          <w:p>
            <w:pPr>
              <w:jc w:val="right"/>
              <w:ind w:right="232"/>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fully diluted weighted average shares outstanding for the years ended December 31, 2019 and 2020, and the corresponding calculation of fully diluted earnings per share, included approximately 10,000 and 9,000 shares that would have been issued upon the conversion of our Convertible Notes as a result of the application of the if-converted method prescribed by the FASB ASC 260. At December 31, 2021, we had no Convertible Notes outstanding.</w:t>
      </w:r>
    </w:p>
    <w:p>
      <w:pPr>
        <w:spacing w:after="0" w:line="4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 ended December 31, 2019, there were 338,440 stock options excluded from the computation of diluted earnings per share because the inclusion of such stock options would result in an antidilutive effect. For the years ended December 31, 2020 and 2021, no stock options were excluded from the computation of diluted earnings per share.</w:t>
      </w:r>
    </w:p>
    <w:p>
      <w:pPr>
        <w:spacing w:after="0" w:line="8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performance awards are considered to be contingently issuable shares because their issuance is contingent upon the satisfaction of certain performance and service conditions. At December 31, 2021,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REPORTING</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 disaggregated by major source for each of our reportable segments was as follows (in thousands):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Funeral</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Cemetery</w:t>
            </w: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180,572</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13,741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105,764</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61,957</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105,799</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120" w:type="dxa"/>
            <w:vAlign w:val="bottom"/>
            <w:tcBorders>
              <w:bottom w:val="single" w:sz="8" w:color="auto"/>
            </w:tcBorders>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Funeral</w:t>
            </w:r>
          </w:p>
        </w:tc>
        <w:tc>
          <w:tcPr>
            <w:tcW w:w="2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Cemetery</w:t>
            </w:r>
          </w:p>
        </w:tc>
        <w:tc>
          <w:tcPr>
            <w:tcW w:w="2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164,984</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84,787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95,565</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24,834</w:t>
            </w: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249,138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80,310</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12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Funeral</w:t>
            </w:r>
          </w:p>
        </w:tc>
        <w:tc>
          <w:tcPr>
            <w:tcW w:w="2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Cemetery</w:t>
            </w:r>
          </w:p>
        </w:tc>
        <w:tc>
          <w:tcPr>
            <w:tcW w:w="2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100" w:type="dxa"/>
            <w:vAlign w:val="bottom"/>
            <w:tcBorders>
              <w:top w:val="single" w:sz="8" w:color="auto"/>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142,554</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Merchandise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83,347</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2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216,868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57,239</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274,107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432"/>
              <w:spacing w:after="0"/>
              <w:rPr>
                <w:sz w:val="20"/>
                <w:szCs w:val="20"/>
                <w:color w:val="auto"/>
              </w:rPr>
            </w:pPr>
            <w:r>
              <w:rPr>
                <w:rFonts w:ascii="Arial" w:cs="Arial" w:eastAsia="Arial" w:hAnsi="Arial"/>
                <w:sz w:val="18"/>
                <w:szCs w:val="18"/>
                <w:color w:val="auto"/>
              </w:rPr>
              <w:t>91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table presents operating income (loss), income (loss) before income taxes, depreciation and amortization, interest expense, income tax expense (benefit), total assets, long-lived assets, goodwill, capital expenditures and number of operating locations by segment (in thousands, except number of operating locations):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Funeral</w:t>
            </w: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Cemetery</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1240" w:type="dxa"/>
            <w:vAlign w:val="bottom"/>
          </w:tcPr>
          <w:p>
            <w:pPr>
              <w:jc w:val="right"/>
              <w:ind w:right="193"/>
              <w:spacing w:after="0"/>
              <w:rPr>
                <w:sz w:val="20"/>
                <w:szCs w:val="20"/>
                <w:color w:val="auto"/>
              </w:rPr>
            </w:pPr>
            <w:r>
              <w:rPr>
                <w:rFonts w:ascii="Arial" w:cs="Arial" w:eastAsia="Arial" w:hAnsi="Arial"/>
                <w:sz w:val="16"/>
                <w:szCs w:val="16"/>
                <w:b w:val="1"/>
                <w:bCs w:val="1"/>
                <w:color w:val="auto"/>
                <w:w w:val="92"/>
              </w:rPr>
              <w:t>Consolidated</w:t>
            </w:r>
          </w:p>
        </w:tc>
      </w:tr>
      <w:tr>
        <w:trPr>
          <w:trHeight w:val="20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88,591</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40,353</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(35,284)</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93,660</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57,227</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47,443</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88,015</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40,473</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(84,184)</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44,304</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22,416</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11,062</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8,217</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20,520</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17,771</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24,610</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25,445</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25,522</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22,141</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10,181</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(21,177)</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11,145</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7,883</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769,539</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390,344</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18,748</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1,178,631</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764,535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1,145,825</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790,459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314,413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24,883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1,129,755</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611,181</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176,398</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3,839</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791,418</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619,588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792,705</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650,179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145,158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796,640</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344,823</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47,149</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391,972</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392,978</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361,451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398,292</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11,511</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9,704</w:t>
            </w:r>
          </w:p>
        </w:tc>
        <w:tc>
          <w:tcPr>
            <w:tcW w:w="1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24,883</w:t>
            </w:r>
          </w:p>
        </w:tc>
      </w:tr>
      <w:tr>
        <w:trPr>
          <w:trHeight w:val="224"/>
        </w:trPr>
        <w:tc>
          <w:tcPr>
            <w:tcW w:w="496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w:t>
            </w:r>
          </w:p>
        </w:tc>
      </w:tr>
      <w:tr>
        <w:trPr>
          <w:trHeight w:val="223"/>
        </w:trPr>
        <w:tc>
          <w:tcPr>
            <w:tcW w:w="4960" w:type="dxa"/>
            <w:vAlign w:val="bottom"/>
          </w:tcPr>
          <w:p>
            <w:pPr>
              <w:jc w:val="right"/>
              <w:ind w:right="4292"/>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15,379</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88"/>
              </w:rPr>
              <w:t>Number of operating locations at year end:</w:t>
            </w:r>
          </w:p>
        </w:tc>
        <w:tc>
          <w:tcPr>
            <w:tcW w:w="28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4280" w:type="dxa"/>
            <w:vAlign w:val="bottom"/>
          </w:tcPr>
          <w:p>
            <w:pPr>
              <w:jc w:val="right"/>
              <w:ind w:right="3612"/>
              <w:spacing w:after="0"/>
              <w:rPr>
                <w:sz w:val="20"/>
                <w:szCs w:val="20"/>
                <w:color w:val="auto"/>
              </w:rPr>
            </w:pPr>
            <w:r>
              <w:rPr>
                <w:rFonts w:ascii="Arial" w:cs="Arial" w:eastAsia="Arial" w:hAnsi="Arial"/>
                <w:sz w:val="18"/>
                <w:szCs w:val="18"/>
                <w:color w:val="auto"/>
              </w:rPr>
              <w:t>2021</w:t>
            </w:r>
          </w:p>
        </w:tc>
        <w:tc>
          <w:tcPr>
            <w:tcW w:w="2820" w:type="dxa"/>
            <w:vAlign w:val="bottom"/>
          </w:tcPr>
          <w:p>
            <w:pPr>
              <w:jc w:val="right"/>
              <w:ind w:right="652"/>
              <w:spacing w:after="0"/>
              <w:rPr>
                <w:sz w:val="20"/>
                <w:szCs w:val="20"/>
                <w:color w:val="auto"/>
              </w:rPr>
            </w:pPr>
            <w:r>
              <w:rPr>
                <w:rFonts w:ascii="Arial" w:cs="Arial" w:eastAsia="Arial" w:hAnsi="Arial"/>
                <w:sz w:val="18"/>
                <w:szCs w:val="18"/>
                <w:color w:val="auto"/>
              </w:rPr>
              <w:t>170</w:t>
            </w:r>
          </w:p>
        </w:tc>
        <w:tc>
          <w:tcPr>
            <w:tcW w:w="158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1580" w:type="dxa"/>
            <w:vAlign w:val="bottom"/>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4"/>
        </w:trPr>
        <w:tc>
          <w:tcPr>
            <w:tcW w:w="4280" w:type="dxa"/>
            <w:vAlign w:val="bottom"/>
            <w:shd w:val="clear" w:color="auto" w:fill="CCEEFF"/>
          </w:tcPr>
          <w:p>
            <w:pPr>
              <w:jc w:val="right"/>
              <w:ind w:right="3612"/>
              <w:spacing w:after="0"/>
              <w:rPr>
                <w:sz w:val="20"/>
                <w:szCs w:val="20"/>
                <w:color w:val="auto"/>
              </w:rPr>
            </w:pPr>
            <w:r>
              <w:rPr>
                <w:rFonts w:ascii="Arial" w:cs="Arial" w:eastAsia="Arial" w:hAnsi="Arial"/>
                <w:sz w:val="18"/>
                <w:szCs w:val="18"/>
                <w:color w:val="auto"/>
              </w:rPr>
              <w:t>2020</w:t>
            </w:r>
          </w:p>
        </w:tc>
        <w:tc>
          <w:tcPr>
            <w:tcW w:w="28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178</w:t>
            </w:r>
          </w:p>
        </w:tc>
        <w:tc>
          <w:tcPr>
            <w:tcW w:w="15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32</w:t>
            </w:r>
          </w:p>
        </w:tc>
        <w:tc>
          <w:tcPr>
            <w:tcW w:w="1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4280" w:type="dxa"/>
            <w:vAlign w:val="bottom"/>
          </w:tcPr>
          <w:p>
            <w:pPr>
              <w:jc w:val="right"/>
              <w:ind w:right="3612"/>
              <w:spacing w:after="0"/>
              <w:rPr>
                <w:sz w:val="20"/>
                <w:szCs w:val="20"/>
                <w:color w:val="auto"/>
              </w:rPr>
            </w:pPr>
            <w:r>
              <w:rPr>
                <w:rFonts w:ascii="Arial" w:cs="Arial" w:eastAsia="Arial" w:hAnsi="Arial"/>
                <w:sz w:val="18"/>
                <w:szCs w:val="18"/>
                <w:color w:val="auto"/>
              </w:rPr>
              <w:t>2019</w:t>
            </w:r>
          </w:p>
        </w:tc>
        <w:tc>
          <w:tcPr>
            <w:tcW w:w="2820" w:type="dxa"/>
            <w:vAlign w:val="bottom"/>
          </w:tcPr>
          <w:p>
            <w:pPr>
              <w:jc w:val="right"/>
              <w:ind w:right="652"/>
              <w:spacing w:after="0"/>
              <w:rPr>
                <w:sz w:val="20"/>
                <w:szCs w:val="20"/>
                <w:color w:val="auto"/>
              </w:rPr>
            </w:pPr>
            <w:r>
              <w:rPr>
                <w:rFonts w:ascii="Arial" w:cs="Arial" w:eastAsia="Arial" w:hAnsi="Arial"/>
                <w:sz w:val="18"/>
                <w:szCs w:val="18"/>
                <w:color w:val="auto"/>
              </w:rPr>
              <w:t>186</w:t>
            </w:r>
          </w:p>
        </w:tc>
        <w:tc>
          <w:tcPr>
            <w:tcW w:w="158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1580" w:type="dxa"/>
            <w:vAlign w:val="bottom"/>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842"/>
        </w:trPr>
        <w:tc>
          <w:tcPr>
            <w:tcW w:w="4280" w:type="dxa"/>
            <w:vAlign w:val="bottom"/>
          </w:tcPr>
          <w:p>
            <w:pPr>
              <w:spacing w:after="0"/>
              <w:rPr>
                <w:sz w:val="24"/>
                <w:szCs w:val="24"/>
                <w:color w:val="auto"/>
              </w:rPr>
            </w:pPr>
          </w:p>
        </w:tc>
        <w:tc>
          <w:tcPr>
            <w:tcW w:w="2820" w:type="dxa"/>
            <w:vAlign w:val="bottom"/>
          </w:tcPr>
          <w:p>
            <w:pPr>
              <w:jc w:val="right"/>
              <w:ind w:right="1292"/>
              <w:spacing w:after="0"/>
              <w:rPr>
                <w:sz w:val="20"/>
                <w:szCs w:val="20"/>
                <w:color w:val="auto"/>
              </w:rPr>
            </w:pPr>
            <w:r>
              <w:rPr>
                <w:rFonts w:ascii="Arial" w:cs="Arial" w:eastAsia="Arial" w:hAnsi="Arial"/>
                <w:sz w:val="18"/>
                <w:szCs w:val="18"/>
                <w:color w:val="auto"/>
              </w:rPr>
              <w:t>92</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SUPPLEMENTARY DATA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detail of certain balance sheet accounts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1"/>
        </w:trPr>
        <w:tc>
          <w:tcPr>
            <w:tcW w:w="79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Prepaids and other current assets: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Federal income tax receivable</w:t>
            </w:r>
          </w:p>
        </w:tc>
        <w:tc>
          <w:tcPr>
            <w:tcW w:w="4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4,064</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Total prepaid and other current assets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2"/>
        </w:trPr>
        <w:tc>
          <w:tcPr>
            <w:tcW w:w="7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Current portion of debt and lease obligations: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debt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Finance lease obligations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Total current portion of debt and lease obligations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2"/>
        </w:trPr>
        <w:tc>
          <w:tcPr>
            <w:tcW w:w="7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Incentive compensation</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3,016</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tax benefit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Vacation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24"/>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disaster liability</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and wages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Employer payroll tax deferral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meetings and award trips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Income tax payable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Perpetual care trust payable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 valorem and franchise taxes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accrued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r>
      <w:tr>
        <w:trPr>
          <w:trHeight w:val="24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and other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31,138</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7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Incentive compensation</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2,975</w:t>
            </w:r>
          </w:p>
        </w:tc>
        <w:tc>
          <w:tcPr>
            <w:tcW w:w="22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24"/>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payroll tax deferral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4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2"/>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SUPPLEMENTAL DISCLOSURE OF CASH FLOW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information is supplemental disclosure for the Consolidated Statements of Cash Flows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7"/>
              </w:rPr>
              <w:t>Years Ended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4"/>
        </w:trPr>
        <w:tc>
          <w:tcPr>
            <w:tcW w:w="65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and financing costs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24,127</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Cash paid (refunded) for taxes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16,110</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Unsettled share repurchases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Fair value of donated real property</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On January 5, 2022, the Company and the Plaintiff, a former employee, mediated the </w:t>
      </w:r>
      <w:r>
        <w:rPr>
          <w:rFonts w:ascii="Arial" w:cs="Arial" w:eastAsia="Arial" w:hAnsi="Arial"/>
          <w:sz w:val="18"/>
          <w:szCs w:val="18"/>
          <w:i w:val="1"/>
          <w:iCs w:val="1"/>
          <w:color w:val="auto"/>
        </w:rPr>
        <w:t>Chinchilla v. Carriage Services, Inc., et al.,</w:t>
      </w:r>
      <w:r>
        <w:rPr>
          <w:rFonts w:ascii="Arial" w:cs="Arial" w:eastAsia="Arial" w:hAnsi="Arial"/>
          <w:sz w:val="18"/>
          <w:szCs w:val="18"/>
          <w:color w:val="auto"/>
        </w:rPr>
        <w:t xml:space="preserve"> matter and executed a Memorandum of Understanding for class settlement in the amount of $1.0 million. The parties will seek preliminary approval of the class settlement after executing a long-form class settlement agreement. At December 31, 2021, we accrued $1.1 million for the expected settlement amount and associated legal fees.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February 23, 2022, our Board increased our share repurchase program authorization by an additional $75 million. Prior to the Board’s approval of the increase, at December 31, 2021, we had $8.1 million remaining available for repurchase under our authorized program. At February 23, 2022, we had $83.1 million of share repurchase authorization remaining under the revised repurchase program.</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Balance at</w:t>
            </w:r>
          </w:p>
        </w:tc>
        <w:tc>
          <w:tcPr>
            <w:tcW w:w="16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Charged to</w:t>
            </w:r>
          </w:p>
        </w:tc>
        <w:tc>
          <w:tcPr>
            <w:tcW w:w="18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Deduction</w:t>
            </w:r>
          </w:p>
        </w:tc>
        <w:tc>
          <w:tcPr>
            <w:tcW w:w="18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6"/>
              </w:rPr>
              <w:t>beginning</w:t>
            </w:r>
          </w:p>
        </w:tc>
        <w:tc>
          <w:tcPr>
            <w:tcW w:w="160" w:type="dxa"/>
            <w:vAlign w:val="bottom"/>
          </w:tcPr>
          <w:p>
            <w:pPr>
              <w:spacing w:after="0"/>
              <w:rPr>
                <w:sz w:val="13"/>
                <w:szCs w:val="13"/>
                <w:color w:val="auto"/>
              </w:rPr>
            </w:pPr>
          </w:p>
        </w:tc>
        <w:tc>
          <w:tcPr>
            <w:tcW w:w="12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2"/>
              </w:rPr>
              <w:t>costs and</w:t>
            </w:r>
          </w:p>
        </w:tc>
        <w:tc>
          <w:tcPr>
            <w:tcW w:w="1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1"/>
              </w:rPr>
              <w:t>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87"/>
              </w:rPr>
              <w:t>of year</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line="171" w:lineRule="exact"/>
              <w:rPr>
                <w:sz w:val="20"/>
                <w:szCs w:val="20"/>
                <w:color w:val="auto"/>
              </w:rPr>
            </w:pPr>
            <w:r>
              <w:rPr>
                <w:rFonts w:ascii="Arial" w:cs="Arial" w:eastAsia="Arial" w:hAnsi="Arial"/>
                <w:sz w:val="16"/>
                <w:szCs w:val="16"/>
                <w:b w:val="1"/>
                <w:bCs w:val="1"/>
                <w:color w:val="auto"/>
                <w:w w:val="79"/>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4"/>
              <w:spacing w:after="0" w:line="171" w:lineRule="exact"/>
              <w:rPr>
                <w:sz w:val="20"/>
                <w:szCs w:val="20"/>
                <w:color w:val="auto"/>
              </w:rPr>
            </w:pPr>
            <w:r>
              <w:rPr>
                <w:rFonts w:ascii="Arial" w:cs="Arial" w:eastAsia="Arial" w:hAnsi="Arial"/>
                <w:sz w:val="16"/>
                <w:szCs w:val="16"/>
                <w:b w:val="1"/>
                <w:bCs w:val="1"/>
                <w:color w:val="auto"/>
                <w:w w:val="87"/>
              </w:rPr>
              <w:t>of 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Year ended December 31, 2019:</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Allowance for bad debts, current portion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42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8"/>
                <w:szCs w:val="18"/>
                <w:color w:val="auto"/>
              </w:rPr>
              <w:t>Allowance for bad debts of preneed cemetery receivables,</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non-current portion</w:t>
            </w:r>
          </w:p>
        </w:tc>
        <w:tc>
          <w:tcPr>
            <w:tcW w:w="6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Employee severance accruals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Valuation allowance of the deferred tax asset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Allowance for credit losses, current portion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42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8"/>
                <w:szCs w:val="18"/>
                <w:color w:val="auto"/>
                <w:w w:val="89"/>
              </w:rPr>
              <w:t>Allowance for credit losses of preneed cemetery receivables, non-current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portion</w:t>
            </w:r>
          </w:p>
        </w:tc>
        <w:tc>
          <w:tcPr>
            <w:tcW w:w="6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Employee severance accruals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Valuation allowance of the deferred tax asset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Allowance for credit losses, current portion</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42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8"/>
                <w:szCs w:val="18"/>
                <w:color w:val="auto"/>
                <w:w w:val="89"/>
              </w:rPr>
              <w:t>Allowance for credit losses of preneed cemetery receivables, non-current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portion</w:t>
            </w:r>
          </w:p>
        </w:tc>
        <w:tc>
          <w:tcPr>
            <w:tcW w:w="6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Employee severance accruals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Valuation allowance of the deferred tax asset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82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0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2021 (the end of the period covered by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Management</w:t>
      </w:r>
      <w:r>
        <w:rPr>
          <w:rFonts w:ascii="Arial" w:cs="Arial" w:eastAsia="Arial" w:hAnsi="Arial"/>
          <w:sz w:val="18"/>
          <w:szCs w:val="18"/>
          <w:b w:val="1"/>
          <w:bCs w:val="1"/>
          <w:i w:val="1"/>
          <w:iCs w:val="1"/>
          <w:color w:val="auto"/>
        </w:rPr>
        <w:t>’</w:t>
      </w:r>
      <w:r>
        <w:rPr>
          <w:rFonts w:ascii="Arial" w:cs="Arial" w:eastAsia="Arial" w:hAnsi="Arial"/>
          <w:sz w:val="18"/>
          <w:szCs w:val="18"/>
          <w:color w:val="auto"/>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spacing w:after="0" w:line="85" w:lineRule="exact"/>
        <w:rPr>
          <w:sz w:val="20"/>
          <w:szCs w:val="20"/>
          <w:color w:val="auto"/>
        </w:rPr>
      </w:pPr>
    </w:p>
    <w:p>
      <w:pPr>
        <w:ind w:left="1080" w:hanging="206"/>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1" w:lineRule="exact"/>
        <w:rPr>
          <w:rFonts w:ascii="Arial" w:cs="Arial" w:eastAsia="Arial" w:hAnsi="Arial"/>
          <w:sz w:val="16"/>
          <w:szCs w:val="16"/>
          <w:color w:val="auto"/>
        </w:rPr>
      </w:pPr>
    </w:p>
    <w:p>
      <w:pPr>
        <w:jc w:val="both"/>
        <w:ind w:firstLine="874"/>
        <w:spacing w:after="0" w:line="252" w:lineRule="auto"/>
        <w:tabs>
          <w:tab w:leader="none" w:pos="11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spacing w:after="0" w:line="84" w:lineRule="exact"/>
        <w:rPr>
          <w:rFonts w:ascii="Arial" w:cs="Arial" w:eastAsia="Arial" w:hAnsi="Arial"/>
          <w:sz w:val="18"/>
          <w:szCs w:val="18"/>
          <w:color w:val="auto"/>
        </w:rPr>
      </w:pPr>
    </w:p>
    <w:p>
      <w:pPr>
        <w:ind w:firstLine="874"/>
        <w:spacing w:after="0" w:line="261" w:lineRule="auto"/>
        <w:tabs>
          <w:tab w:leader="none" w:pos="11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 xml:space="preserve">Management conducted an assessment of the Company’s internal control over financial reporting as of December 31, 2021 using the framework specified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published by the Committee of Sponsoring Organizations of the Treadway Commission. Based on such assessment, management has concluded that the Company’s internal control over financial reporting was effective as of December 31, 2021.</w:t>
      </w:r>
    </w:p>
    <w:p>
      <w:pPr>
        <w:spacing w:after="0" w:line="4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Company’s internal control over financial reporting as of December 31, 2021 has been audited by Grant Thornton LLP, an independent registered public accounting firm, which also audited the financial statements of the Company for the year ended December 31, 2021, as stated in their report that is presented in this Annual Report.</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41776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7766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Melvin C. Payne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 of the Board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41776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7766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Benjamin Brink</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three months ended December 31, 2021, there was no change in our system of internal control over financial reporting (as defined in Rules 13a-15(f) or 15d-15(f) under the Exchange Act) that has materially affected, or is reasonably likely to materially affect, our internal control over financial reporting.</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We have adopted a Code of Business Conduct and Ethics (the “Code”), which is applicable to each of our Directors, Officers, and employees, including our principal executive officer and other senior financial officers, who include our principal financial officer, principal accounting officer or controller, and persons performing similar functions. The Code is available on our internet website at </w:t>
      </w:r>
      <w:r>
        <w:rPr>
          <w:rFonts w:ascii="Arial" w:cs="Arial" w:eastAsia="Arial" w:hAnsi="Arial"/>
          <w:sz w:val="16"/>
          <w:szCs w:val="16"/>
          <w:i w:val="1"/>
          <w:iCs w:val="1"/>
          <w:color w:val="auto"/>
        </w:rPr>
        <w:t>www.carriageservices.com</w:t>
      </w:r>
      <w:r>
        <w:rPr>
          <w:rFonts w:ascii="Arial" w:cs="Arial" w:eastAsia="Arial" w:hAnsi="Arial"/>
          <w:sz w:val="16"/>
          <w:szCs w:val="16"/>
          <w:color w:val="auto"/>
        </w:rPr>
        <w:t>. To the extent required by SEC rules, we intend to disclose any amendments to this code and any waiver of a provision of the Code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6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information required by Item 10 is incorporated in this Annual Report on Form 10-K by reference to our definitive proxy statement or an amendment to this Annual Report on Form 10-K to be filed with the SEC not later than 120 days after the end of the fiscal year ended December 31, 2021.</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1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information required by Item 11 is incorporated in this Annual Report on Form 10-K by reference to our definitive proxy statement or an amendment to this Annual Report on Form 10-K to be filed with the SEC not later than 120 days after the end of the fiscal year ended December 31, 2021.</w:t>
      </w:r>
    </w:p>
    <w:p>
      <w:pPr>
        <w:spacing w:after="0" w:line="168" w:lineRule="exact"/>
        <w:rPr>
          <w:sz w:val="20"/>
          <w:szCs w:val="20"/>
          <w:color w:val="auto"/>
        </w:rPr>
      </w:pPr>
    </w:p>
    <w:p>
      <w:pPr>
        <w:ind w:left="960" w:right="660" w:hanging="1262"/>
        <w:spacing w:after="0" w:line="268" w:lineRule="auto"/>
        <w:tabs>
          <w:tab w:leader="none" w:pos="94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70"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The information required by Item 12 is incorporated in this Annual Report on Form 10-K by reference to our definitive proxy statement or an amendment to this Annual Report on Form 10-K to be filed with the SEC not later than 120 days after the end of the fiscal year ended December 31, 2021.</w:t>
      </w:r>
    </w:p>
    <w:p>
      <w:pPr>
        <w:spacing w:after="0" w:line="3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required by Item 201(d) of Regulation S-K, summarizes information regarding the number of shares of our common stock that are available for issuance under all of our existing equity compensation plans as of December 31, 2021.</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Number of securities to</w:t>
            </w:r>
          </w:p>
        </w:tc>
        <w:tc>
          <w:tcPr>
            <w:tcW w:w="180" w:type="dxa"/>
            <w:vAlign w:val="bottom"/>
          </w:tcPr>
          <w:p>
            <w:pPr>
              <w:spacing w:after="0"/>
              <w:rPr>
                <w:sz w:val="11"/>
                <w:szCs w:val="11"/>
                <w:color w:val="auto"/>
              </w:rPr>
            </w:pPr>
          </w:p>
        </w:tc>
        <w:tc>
          <w:tcPr>
            <w:tcW w:w="1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Weighted-average</w:t>
            </w: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4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84"/>
              </w:rPr>
              <w:t>be issued upon exercise</w:t>
            </w:r>
          </w:p>
        </w:tc>
        <w:tc>
          <w:tcPr>
            <w:tcW w:w="180" w:type="dxa"/>
            <w:vAlign w:val="bottom"/>
          </w:tcPr>
          <w:p>
            <w:pPr>
              <w:spacing w:after="0"/>
              <w:rPr>
                <w:sz w:val="11"/>
                <w:szCs w:val="11"/>
                <w:color w:val="auto"/>
              </w:rPr>
            </w:pPr>
          </w:p>
        </w:tc>
        <w:tc>
          <w:tcPr>
            <w:tcW w:w="174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86"/>
              </w:rPr>
              <w:t>exercise price of</w:t>
            </w: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plans (excluding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4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88"/>
              </w:rPr>
              <w:t>of outstanding options,</w:t>
            </w:r>
          </w:p>
        </w:tc>
        <w:tc>
          <w:tcPr>
            <w:tcW w:w="180" w:type="dxa"/>
            <w:vAlign w:val="bottom"/>
          </w:tcPr>
          <w:p>
            <w:pPr>
              <w:spacing w:after="0"/>
              <w:rPr>
                <w:sz w:val="11"/>
                <w:szCs w:val="11"/>
                <w:color w:val="auto"/>
              </w:rPr>
            </w:pPr>
          </w:p>
        </w:tc>
        <w:tc>
          <w:tcPr>
            <w:tcW w:w="174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8"/>
              </w:rPr>
              <w:t>outstanding options,</w:t>
            </w: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securities reflected in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90"/>
              </w:rPr>
              <w:t>warrants and rights</w:t>
            </w:r>
          </w:p>
        </w:tc>
        <w:tc>
          <w:tcPr>
            <w:tcW w:w="180" w:type="dxa"/>
            <w:vAlign w:val="bottom"/>
          </w:tcPr>
          <w:p>
            <w:pPr>
              <w:spacing w:after="0"/>
              <w:rPr>
                <w:sz w:val="11"/>
                <w:szCs w:val="11"/>
                <w:color w:val="auto"/>
              </w:rPr>
            </w:pPr>
          </w:p>
        </w:tc>
        <w:tc>
          <w:tcPr>
            <w:tcW w:w="174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2"/>
              </w:rPr>
              <w:t>warrants and rights</w:t>
            </w:r>
          </w:p>
        </w:tc>
        <w:tc>
          <w:tcPr>
            <w:tcW w:w="19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1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2"/>
                <w:szCs w:val="12"/>
                <w:color w:val="auto"/>
              </w:rPr>
            </w:pPr>
          </w:p>
        </w:tc>
        <w:tc>
          <w:tcPr>
            <w:tcW w:w="17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(b)</w:t>
            </w:r>
          </w:p>
        </w:tc>
        <w:tc>
          <w:tcPr>
            <w:tcW w:w="1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1,265,154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30.94</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2,427,279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w:t>
            </w:r>
          </w:p>
        </w:tc>
        <w:tc>
          <w:tcPr>
            <w:tcW w:w="1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1,265,154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30.94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2,427,279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information required by Item 13 is incorporated in this Annual Report on Form 10-K by reference to our definitive proxy statement or an amendment to this Annual Report on Form 10-K to be filed with the SEC not later than 120 days after the end of the fiscal year ended December 31, 2021.</w:t>
      </w:r>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1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information required by Item 14 is incorporated in this Annual Report on Form 10-K by reference to our definitive proxy statement or an amendment to this Annual Report on Form 10-K to be filed with the SEC not later than 120 days after the end of the fiscal year ended December 31, 2021.</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 FINANCIAL STATEMENTS</w:t>
      </w:r>
    </w:p>
    <w:p>
      <w:pPr>
        <w:spacing w:after="0" w:line="115"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The following financial statements and the Report of Independent Registered Public Accounting Firm are filed as a part of this Form 10-K on the pages indicated:</w:t>
      </w:r>
    </w:p>
    <w:tbl>
      <w:tblPr>
        <w:tblLayout w:type="fixed"/>
        <w:tblInd w:w="18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177"/>
        </w:trPr>
        <w:tc>
          <w:tcPr>
            <w:tcW w:w="240" w:type="dxa"/>
            <w:vAlign w:val="bottom"/>
          </w:tcPr>
          <w:p>
            <w:pPr>
              <w:spacing w:after="0"/>
              <w:rPr>
                <w:sz w:val="15"/>
                <w:szCs w:val="15"/>
                <w:color w:val="auto"/>
              </w:rPr>
            </w:pPr>
          </w:p>
        </w:tc>
        <w:tc>
          <w:tcPr>
            <w:tcW w:w="4460" w:type="dxa"/>
            <w:vAlign w:val="bottom"/>
            <w:tcBorders>
              <w:bottom w:val="single" w:sz="8" w:color="0000FF"/>
            </w:tcBorders>
            <w:gridSpan w:val="3"/>
          </w:tcPr>
          <w:p>
            <w:pPr>
              <w:spacing w:after="0" w:line="152" w:lineRule="exact"/>
              <w:rPr>
                <w:rFonts w:ascii="Arial" w:cs="Arial" w:eastAsia="Arial" w:hAnsi="Arial"/>
                <w:sz w:val="16"/>
                <w:szCs w:val="16"/>
                <w:color w:val="0000FF"/>
              </w:rPr>
            </w:pPr>
            <w:hyperlink w:anchor="page46">
              <w:r>
                <w:rPr>
                  <w:rFonts w:ascii="Arial" w:cs="Arial" w:eastAsia="Arial" w:hAnsi="Arial"/>
                  <w:sz w:val="16"/>
                  <w:szCs w:val="16"/>
                  <w:color w:val="0000FF"/>
                </w:rPr>
                <w:t>Reports of Independent Registered Public Accounting Firm</w:t>
              </w:r>
            </w:hyperlink>
          </w:p>
        </w:tc>
        <w:tc>
          <w:tcPr>
            <w:tcW w:w="5620" w:type="dxa"/>
            <w:vAlign w:val="bottom"/>
            <w:gridSpan w:val="6"/>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52" w:lineRule="exact"/>
              <w:rPr>
                <w:rFonts w:ascii="Arial" w:cs="Arial" w:eastAsia="Arial" w:hAnsi="Arial"/>
                <w:sz w:val="16"/>
                <w:szCs w:val="16"/>
                <w:color w:val="0000FF"/>
                <w:w w:val="89"/>
              </w:rPr>
            </w:pPr>
            <w:hyperlink w:anchor="page46">
              <w:r>
                <w:rPr>
                  <w:rFonts w:ascii="Arial" w:cs="Arial" w:eastAsia="Arial" w:hAnsi="Arial"/>
                  <w:sz w:val="16"/>
                  <w:szCs w:val="16"/>
                  <w:color w:val="0000FF"/>
                  <w:w w:val="89"/>
                </w:rPr>
                <w:t>45</w:t>
              </w:r>
            </w:hyperlink>
          </w:p>
        </w:tc>
        <w:tc>
          <w:tcPr>
            <w:tcW w:w="20" w:type="dxa"/>
            <w:vAlign w:val="bottom"/>
          </w:tcPr>
          <w:p>
            <w:pPr>
              <w:spacing w:after="0"/>
              <w:rPr>
                <w:sz w:val="15"/>
                <w:szCs w:val="15"/>
                <w:color w:val="auto"/>
              </w:rPr>
            </w:pPr>
          </w:p>
        </w:tc>
      </w:tr>
      <w:tr>
        <w:trPr>
          <w:trHeight w:val="211"/>
        </w:trPr>
        <w:tc>
          <w:tcPr>
            <w:tcW w:w="240" w:type="dxa"/>
            <w:vAlign w:val="bottom"/>
          </w:tcPr>
          <w:p>
            <w:pPr>
              <w:spacing w:after="0"/>
              <w:rPr>
                <w:sz w:val="18"/>
                <w:szCs w:val="18"/>
                <w:color w:val="auto"/>
              </w:rPr>
            </w:pPr>
          </w:p>
        </w:tc>
        <w:tc>
          <w:tcPr>
            <w:tcW w:w="446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48">
              <w:r>
                <w:rPr>
                  <w:rFonts w:ascii="Arial" w:cs="Arial" w:eastAsia="Arial" w:hAnsi="Arial"/>
                  <w:sz w:val="18"/>
                  <w:szCs w:val="18"/>
                  <w:color w:val="0000FF"/>
                  <w:w w:val="86"/>
                </w:rPr>
                <w:t>Consolidated Balance Sheet as of December 31, 2020 and 2021</w:t>
              </w:r>
            </w:hyperlink>
          </w:p>
        </w:tc>
        <w:tc>
          <w:tcPr>
            <w:tcW w:w="562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r>
      <w:tr>
        <w:trPr>
          <w:trHeight w:val="204"/>
        </w:trPr>
        <w:tc>
          <w:tcPr>
            <w:tcW w:w="240" w:type="dxa"/>
            <w:vAlign w:val="bottom"/>
          </w:tcPr>
          <w:p>
            <w:pPr>
              <w:spacing w:after="0"/>
              <w:rPr>
                <w:sz w:val="17"/>
                <w:szCs w:val="17"/>
                <w:color w:val="auto"/>
              </w:rPr>
            </w:pPr>
          </w:p>
        </w:tc>
        <w:tc>
          <w:tcPr>
            <w:tcW w:w="10080" w:type="dxa"/>
            <w:vAlign w:val="bottom"/>
            <w:gridSpan w:val="9"/>
          </w:tcPr>
          <w:p>
            <w:pPr>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Consolidated Statements of Operations for the Years Ended December 31, 2019, 2020 and 2021</w:t>
              </w:r>
            </w:hyperlink>
          </w:p>
        </w:tc>
        <w:tc>
          <w:tcPr>
            <w:tcW w:w="720" w:type="dxa"/>
            <w:vAlign w:val="bottom"/>
            <w:gridSpan w:val="3"/>
          </w:tcPr>
          <w:p>
            <w:pPr>
              <w:jc w:val="right"/>
              <w:ind w:right="20"/>
              <w:spacing w:after="0" w:line="204"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2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0080" w:type="dxa"/>
            <w:vAlign w:val="bottom"/>
            <w:gridSpan w:val="9"/>
          </w:tcPr>
          <w:p>
            <w:pPr>
              <w:spacing w:after="0" w:line="204" w:lineRule="exact"/>
              <w:rPr>
                <w:rFonts w:ascii="Arial" w:cs="Arial" w:eastAsia="Arial" w:hAnsi="Arial"/>
                <w:sz w:val="18"/>
                <w:szCs w:val="18"/>
                <w:color w:val="0000FF"/>
              </w:rPr>
            </w:pPr>
            <w:hyperlink w:anchor="page50">
              <w:r>
                <w:rPr>
                  <w:rFonts w:ascii="Arial" w:cs="Arial" w:eastAsia="Arial" w:hAnsi="Arial"/>
                  <w:sz w:val="18"/>
                  <w:szCs w:val="18"/>
                  <w:color w:val="0000FF"/>
                </w:rPr>
                <w:t>Consolidated Statements of Changes in Stockholders’ Equity for the Years Ended December 31, 2019, 2020 and 2021</w:t>
              </w:r>
            </w:hyperlink>
          </w:p>
        </w:tc>
        <w:tc>
          <w:tcPr>
            <w:tcW w:w="720" w:type="dxa"/>
            <w:vAlign w:val="bottom"/>
            <w:gridSpan w:val="3"/>
          </w:tcPr>
          <w:p>
            <w:pPr>
              <w:jc w:val="right"/>
              <w:ind w:right="20"/>
              <w:spacing w:after="0" w:line="204"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4"/>
        </w:trPr>
        <w:tc>
          <w:tcPr>
            <w:tcW w:w="240" w:type="dxa"/>
            <w:vAlign w:val="bottom"/>
          </w:tcPr>
          <w:p>
            <w:pPr>
              <w:spacing w:after="0"/>
              <w:rPr>
                <w:sz w:val="17"/>
                <w:szCs w:val="17"/>
                <w:color w:val="auto"/>
              </w:rPr>
            </w:pPr>
          </w:p>
        </w:tc>
        <w:tc>
          <w:tcPr>
            <w:tcW w:w="6780" w:type="dxa"/>
            <w:vAlign w:val="bottom"/>
            <w:tcBorders>
              <w:top w:val="single" w:sz="8" w:color="0000FF"/>
              <w:bottom w:val="single" w:sz="8" w:color="0000FF"/>
            </w:tcBorders>
            <w:gridSpan w:val="7"/>
          </w:tcPr>
          <w:p>
            <w:pPr>
              <w:spacing w:after="0" w:line="204" w:lineRule="exact"/>
              <w:rPr>
                <w:rFonts w:ascii="Arial" w:cs="Arial" w:eastAsia="Arial" w:hAnsi="Arial"/>
                <w:sz w:val="18"/>
                <w:szCs w:val="18"/>
                <w:color w:val="0000FF"/>
                <w:w w:val="86"/>
              </w:rPr>
            </w:pPr>
            <w:hyperlink w:anchor="page51">
              <w:r>
                <w:rPr>
                  <w:rFonts w:ascii="Arial" w:cs="Arial" w:eastAsia="Arial" w:hAnsi="Arial"/>
                  <w:sz w:val="18"/>
                  <w:szCs w:val="18"/>
                  <w:color w:val="0000FF"/>
                  <w:w w:val="86"/>
                </w:rPr>
                <w:t>Consolidated Statements of Cash Flows for the Years Ended December 31, 2019, 2020 and 2021</w:t>
              </w:r>
            </w:hyperlink>
          </w:p>
        </w:tc>
        <w:tc>
          <w:tcPr>
            <w:tcW w:w="1480" w:type="dxa"/>
            <w:vAlign w:val="bottom"/>
            <w:tcBorders>
              <w:top w:val="single" w:sz="8" w:color="0000FF"/>
            </w:tcBorders>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r>
      <w:tr>
        <w:trPr>
          <w:trHeight w:val="204"/>
        </w:trPr>
        <w:tc>
          <w:tcPr>
            <w:tcW w:w="240" w:type="dxa"/>
            <w:vAlign w:val="bottom"/>
          </w:tcPr>
          <w:p>
            <w:pPr>
              <w:spacing w:after="0"/>
              <w:rPr>
                <w:sz w:val="17"/>
                <w:szCs w:val="17"/>
                <w:color w:val="auto"/>
              </w:rPr>
            </w:pPr>
          </w:p>
        </w:tc>
        <w:tc>
          <w:tcPr>
            <w:tcW w:w="10080" w:type="dxa"/>
            <w:vAlign w:val="bottom"/>
            <w:gridSpan w:val="9"/>
          </w:tcPr>
          <w:p>
            <w:pPr>
              <w:spacing w:after="0" w:line="204" w:lineRule="exact"/>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720" w:type="dxa"/>
            <w:vAlign w:val="bottom"/>
            <w:gridSpan w:val="3"/>
          </w:tcPr>
          <w:p>
            <w:pPr>
              <w:jc w:val="right"/>
              <w:ind w:right="20"/>
              <w:spacing w:after="0" w:line="204" w:lineRule="exact"/>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
        </w:trPr>
        <w:tc>
          <w:tcPr>
            <w:tcW w:w="2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4740" w:type="dxa"/>
            <w:vAlign w:val="bottom"/>
            <w:tcBorders>
              <w:bottom w:val="single" w:sz="8" w:color="0000FF"/>
            </w:tcBorders>
            <w:gridSpan w:val="4"/>
          </w:tcPr>
          <w:p>
            <w:pPr>
              <w:spacing w:after="0" w:line="204"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Management’s Report on Internal Control over Financial Reporting</w:t>
              </w:r>
            </w:hyperlink>
          </w:p>
        </w:tc>
        <w:tc>
          <w:tcPr>
            <w:tcW w:w="53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4"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97</w:t>
              </w:r>
            </w:hyperlink>
          </w:p>
        </w:tc>
        <w:tc>
          <w:tcPr>
            <w:tcW w:w="20" w:type="dxa"/>
            <w:vAlign w:val="bottom"/>
          </w:tcPr>
          <w:p>
            <w:pPr>
              <w:spacing w:after="0"/>
              <w:rPr>
                <w:sz w:val="17"/>
                <w:szCs w:val="17"/>
                <w:color w:val="auto"/>
              </w:rPr>
            </w:pPr>
          </w:p>
        </w:tc>
      </w:tr>
      <w:tr>
        <w:trPr>
          <w:trHeight w:val="479"/>
        </w:trPr>
        <w:tc>
          <w:tcPr>
            <w:tcW w:w="10320" w:type="dxa"/>
            <w:vAlign w:val="bottom"/>
            <w:gridSpan w:val="10"/>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0320" w:type="dxa"/>
            <w:vAlign w:val="bottom"/>
            <w:gridSpan w:val="10"/>
          </w:tcPr>
          <w:p>
            <w:pPr>
              <w:ind w:left="220"/>
              <w:spacing w:after="0"/>
              <w:rPr>
                <w:sz w:val="20"/>
                <w:szCs w:val="20"/>
                <w:color w:val="auto"/>
              </w:rPr>
            </w:pPr>
            <w:r>
              <w:rPr>
                <w:rFonts w:ascii="Arial" w:cs="Arial" w:eastAsia="Arial" w:hAnsi="Arial"/>
                <w:sz w:val="18"/>
                <w:szCs w:val="18"/>
                <w:color w:val="auto"/>
              </w:rPr>
              <w:t>The following Financial Statement Schedule is included in this Form 10-K on the page indicated: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177"/>
        </w:trPr>
        <w:tc>
          <w:tcPr>
            <w:tcW w:w="240" w:type="dxa"/>
            <w:vAlign w:val="bottom"/>
          </w:tcPr>
          <w:p>
            <w:pPr>
              <w:spacing w:after="0"/>
              <w:rPr>
                <w:sz w:val="15"/>
                <w:szCs w:val="15"/>
                <w:color w:val="auto"/>
              </w:rPr>
            </w:pPr>
          </w:p>
        </w:tc>
        <w:tc>
          <w:tcPr>
            <w:tcW w:w="4980" w:type="dxa"/>
            <w:vAlign w:val="bottom"/>
            <w:tcBorders>
              <w:bottom w:val="single" w:sz="8" w:color="0000FF"/>
            </w:tcBorders>
            <w:gridSpan w:val="5"/>
          </w:tcPr>
          <w:p>
            <w:pPr>
              <w:spacing w:after="0" w:line="152" w:lineRule="exact"/>
              <w:rPr>
                <w:rFonts w:ascii="Arial" w:cs="Arial" w:eastAsia="Arial" w:hAnsi="Arial"/>
                <w:sz w:val="16"/>
                <w:szCs w:val="16"/>
                <w:color w:val="0000FF"/>
              </w:rPr>
            </w:pPr>
            <w:hyperlink w:anchor="page96">
              <w:r>
                <w:rPr>
                  <w:rFonts w:ascii="Arial" w:cs="Arial" w:eastAsia="Arial" w:hAnsi="Arial"/>
                  <w:sz w:val="16"/>
                  <w:szCs w:val="16"/>
                  <w:color w:val="0000FF"/>
                </w:rPr>
                <w:t>Financial Statement Schedule II — Valuation and Qualifying Accounts</w:t>
              </w:r>
            </w:hyperlink>
          </w:p>
        </w:tc>
        <w:tc>
          <w:tcPr>
            <w:tcW w:w="510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71" w:lineRule="exact"/>
              <w:rPr>
                <w:rFonts w:ascii="Arial" w:cs="Arial" w:eastAsia="Arial" w:hAnsi="Arial"/>
                <w:sz w:val="18"/>
                <w:szCs w:val="18"/>
                <w:color w:val="0000FF"/>
                <w:w w:val="79"/>
              </w:rPr>
            </w:pPr>
            <w:hyperlink w:anchor="page96">
              <w:r>
                <w:rPr>
                  <w:rFonts w:ascii="Arial" w:cs="Arial" w:eastAsia="Arial" w:hAnsi="Arial"/>
                  <w:sz w:val="18"/>
                  <w:szCs w:val="18"/>
                  <w:color w:val="0000FF"/>
                  <w:w w:val="79"/>
                </w:rPr>
                <w:t>95</w:t>
              </w:r>
            </w:hyperlink>
          </w:p>
        </w:tc>
        <w:tc>
          <w:tcPr>
            <w:tcW w:w="20" w:type="dxa"/>
            <w:vAlign w:val="bottom"/>
          </w:tcPr>
          <w:p>
            <w:pPr>
              <w:spacing w:after="0"/>
              <w:rPr>
                <w:sz w:val="15"/>
                <w:szCs w:val="15"/>
                <w:color w:val="auto"/>
              </w:rPr>
            </w:pPr>
          </w:p>
        </w:tc>
      </w:tr>
    </w:tbl>
    <w:p>
      <w:pPr>
        <w:spacing w:after="0" w:line="19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EXHIBITS</w:t>
      </w:r>
    </w:p>
    <w:p>
      <w:pPr>
        <w:spacing w:after="0" w:line="109" w:lineRule="exact"/>
        <w:rPr>
          <w:sz w:val="20"/>
          <w:szCs w:val="20"/>
          <w:color w:val="auto"/>
        </w:rPr>
      </w:pPr>
    </w:p>
    <w:p>
      <w:pPr>
        <w:jc w:val="both"/>
        <w:ind w:firstLine="395"/>
        <w:spacing w:after="0" w:line="293" w:lineRule="auto"/>
        <w:rPr>
          <w:sz w:val="20"/>
          <w:szCs w:val="20"/>
          <w:color w:val="auto"/>
        </w:rPr>
      </w:pPr>
      <w:r>
        <w:rPr>
          <w:rFonts w:ascii="Arial" w:cs="Arial" w:eastAsia="Arial" w:hAnsi="Arial"/>
          <w:sz w:val="16"/>
          <w:szCs w:val="16"/>
          <w:b w:val="1"/>
          <w:bCs w:val="1"/>
          <w:color w:val="auto"/>
        </w:rPr>
        <w:t>A copy of this Form 10-K, excluding exhibits, will be furnished at no charge to each person to whom a proxy statement for our 2022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8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6"/>
              </w:rPr>
              <w:t>Description</w:t>
            </w:r>
          </w:p>
        </w:tc>
        <w:tc>
          <w:tcPr>
            <w:tcW w:w="4480" w:type="dxa"/>
            <w:vAlign w:val="bottom"/>
            <w:gridSpan w:val="5"/>
          </w:tcPr>
          <w:p>
            <w:pPr>
              <w:spacing w:after="0"/>
              <w:rPr>
                <w:sz w:val="16"/>
                <w:szCs w:val="16"/>
                <w:color w:val="auto"/>
              </w:rPr>
            </w:pPr>
          </w:p>
        </w:tc>
      </w:tr>
      <w:tr>
        <w:trPr>
          <w:trHeight w:val="401"/>
        </w:trPr>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Amended and Restated Certificate of Incorporation, as amended, of the Company. Incorporated by reference to Exhibit 3.1 to the</w:t>
              </w:r>
            </w:hyperlink>
          </w:p>
        </w:tc>
      </w:tr>
      <w:tr>
        <w:trPr>
          <w:trHeight w:val="151"/>
        </w:trPr>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80" w:type="dxa"/>
            <w:vAlign w:val="bottom"/>
            <w:tcBorders>
              <w:bottom w:val="single" w:sz="8" w:color="0000FF"/>
            </w:tcBorders>
            <w:gridSpan w:val="5"/>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Company’s Annual Report on Form 10-K for its fiscal year ended December 31, 1996, filed on March 20, 1997.</w:t>
              </w:r>
            </w:hyperlink>
          </w:p>
        </w:tc>
        <w:tc>
          <w:tcPr>
            <w:tcW w:w="1840" w:type="dxa"/>
            <w:vAlign w:val="bottom"/>
            <w:gridSpan w:val="3"/>
          </w:tcPr>
          <w:p>
            <w:pPr>
              <w:spacing w:after="0"/>
              <w:rPr>
                <w:sz w:val="13"/>
                <w:szCs w:val="13"/>
                <w:color w:val="auto"/>
              </w:rPr>
            </w:pPr>
          </w:p>
        </w:tc>
      </w:tr>
      <w:tr>
        <w:trPr>
          <w:trHeight w:val="362"/>
        </w:trPr>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720" w:type="dxa"/>
            <w:vAlign w:val="bottom"/>
            <w:gridSpan w:val="8"/>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Certificate of Amendment dated May 7, 1997. Incorporated by reference to Exhibit 10.2 to the Company’s Quarterly Report on Form 10-</w:t>
              </w:r>
            </w:hyperlink>
          </w:p>
        </w:tc>
      </w:tr>
      <w:tr>
        <w:trPr>
          <w:trHeight w:val="151"/>
        </w:trPr>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Q for its fiscal quarter ended September 30, 1997, filed on November 14, 1997.</w:t>
              </w:r>
            </w:hyperlink>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2"/>
        </w:trPr>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24"/>
                <w:szCs w:val="24"/>
                <w:color w:val="auto"/>
              </w:rPr>
            </w:pPr>
          </w:p>
        </w:tc>
        <w:tc>
          <w:tcPr>
            <w:tcW w:w="9720" w:type="dxa"/>
            <w:vAlign w:val="bottom"/>
            <w:gridSpan w:val="8"/>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Certificate of Amendment dated May 7, 2002. Incorporated by reference to Exhibit 3.1 to the Company’s Quarterly Report on Form 10-Q</w:t>
              </w:r>
            </w:hyperlink>
          </w:p>
        </w:tc>
      </w:tr>
      <w:tr>
        <w:trPr>
          <w:trHeight w:val="151"/>
        </w:trPr>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for its fiscal quarter ended June 30, 2002, filed on August 13,2002.</w:t>
              </w:r>
            </w:hyperlink>
          </w:p>
        </w:tc>
        <w:tc>
          <w:tcPr>
            <w:tcW w:w="40" w:type="dxa"/>
            <w:vAlign w:val="bottom"/>
            <w:gridSpan w:val="2"/>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1240" w:type="dxa"/>
            <w:vAlign w:val="bottom"/>
            <w:tcBorders>
              <w:top w:val="single" w:sz="8" w:color="0000FF"/>
            </w:tcBorders>
          </w:tcPr>
          <w:p>
            <w:pPr>
              <w:jc w:val="center"/>
              <w:ind w:right="72"/>
              <w:spacing w:after="0"/>
              <w:rPr>
                <w:sz w:val="20"/>
                <w:szCs w:val="20"/>
                <w:color w:val="auto"/>
              </w:rPr>
            </w:pPr>
            <w:r>
              <w:rPr>
                <w:rFonts w:ascii="Arial" w:cs="Arial" w:eastAsia="Arial" w:hAnsi="Arial"/>
                <w:sz w:val="18"/>
                <w:szCs w:val="18"/>
                <w:color w:val="auto"/>
                <w:w w:val="99"/>
              </w:rPr>
              <w:t>*3.4</w:t>
            </w:r>
          </w:p>
        </w:tc>
        <w:tc>
          <w:tcPr>
            <w:tcW w:w="300" w:type="dxa"/>
            <w:vAlign w:val="bottom"/>
          </w:tcPr>
          <w:p>
            <w:pPr>
              <w:spacing w:after="0"/>
              <w:rPr>
                <w:sz w:val="24"/>
                <w:szCs w:val="24"/>
                <w:color w:val="auto"/>
              </w:rPr>
            </w:pPr>
          </w:p>
        </w:tc>
        <w:tc>
          <w:tcPr>
            <w:tcW w:w="618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106">
              <w:r>
                <w:rPr>
                  <w:rFonts w:ascii="Arial" w:cs="Arial" w:eastAsia="Arial" w:hAnsi="Arial"/>
                  <w:sz w:val="18"/>
                  <w:szCs w:val="18"/>
                  <w:color w:val="0000FF"/>
                  <w:w w:val="87"/>
                </w:rPr>
                <w:t>Second Amended and Restated By-Laws of Carriage Services, Inc. dated July 28, 2021.</w:t>
              </w:r>
            </w:hyperlink>
          </w:p>
        </w:tc>
        <w:tc>
          <w:tcPr>
            <w:tcW w:w="37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8"/>
              </w:rPr>
            </w:pPr>
            <w:hyperlink r:id="rId159">
              <w:r>
                <w:rPr>
                  <w:rFonts w:ascii="Arial" w:cs="Arial" w:eastAsia="Arial" w:hAnsi="Arial"/>
                  <w:sz w:val="18"/>
                  <w:szCs w:val="18"/>
                  <w:color w:val="0000FF"/>
                  <w:w w:val="98"/>
                </w:rPr>
                <w:t>Indenture, dated as of May 13, 2021, among the Company, the Guarantors (as defined therein) and Wilmington Trust, National</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6"/>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Association, as Trustee. Incorporated by reference to Exhibit 4.1 to the Company's Current Report on Form 8-K filed May 13,</w:t>
              </w:r>
            </w:hyperlink>
          </w:p>
        </w:tc>
        <w:tc>
          <w:tcPr>
            <w:tcW w:w="400" w:type="dxa"/>
            <w:vAlign w:val="bottom"/>
            <w:tcBorders>
              <w:bottom w:val="single" w:sz="8" w:color="0000FF"/>
            </w:tcBorders>
            <w:gridSpan w:val="2"/>
          </w:tcPr>
          <w:p>
            <w:pPr>
              <w:jc w:val="right"/>
              <w:spacing w:after="0" w:line="152" w:lineRule="exact"/>
              <w:rPr>
                <w:rFonts w:ascii="Arial" w:cs="Arial" w:eastAsia="Arial" w:hAnsi="Arial"/>
                <w:sz w:val="16"/>
                <w:szCs w:val="16"/>
                <w:color w:val="0000FF"/>
                <w:w w:val="94"/>
              </w:rPr>
            </w:pPr>
            <w:hyperlink r:id="rId159">
              <w:r>
                <w:rPr>
                  <w:rFonts w:ascii="Arial" w:cs="Arial" w:eastAsia="Arial" w:hAnsi="Arial"/>
                  <w:sz w:val="16"/>
                  <w:szCs w:val="16"/>
                  <w:color w:val="0000FF"/>
                  <w:w w:val="94"/>
                </w:rPr>
                <w:t>2021.</w:t>
              </w:r>
            </w:hyperlink>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2"/>
              </w:rPr>
            </w:pPr>
            <w:hyperlink r:id="rId159">
              <w:r>
                <w:rPr>
                  <w:rFonts w:ascii="Arial" w:cs="Arial" w:eastAsia="Arial" w:hAnsi="Arial"/>
                  <w:sz w:val="18"/>
                  <w:szCs w:val="18"/>
                  <w:color w:val="0000FF"/>
                  <w:w w:val="92"/>
                </w:rPr>
                <w:t>Form of 4.25% Senior Notes due 2029 (included with the Indenture filed as Exhibit 4.1). Incorporated by reference to Exhibit 4.2 to the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Company's Current Report on Form 8-K filed on May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Second Amended and Restated 2006 Long-Term Incentive Plan. Incorporated by reference to Exhibit 10.1 to the Company's Quarterly</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Report on Form 10-Q for its quarter ended June 30, 2012</w:t>
              </w:r>
              <w:r>
                <w:rPr>
                  <w:rFonts w:ascii="Arial" w:cs="Arial" w:eastAsia="Arial" w:hAnsi="Arial"/>
                  <w:sz w:val="16"/>
                  <w:szCs w:val="16"/>
                  <w:color w:val="000000"/>
                </w:rPr>
                <w:t>. †</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4.4</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First Amendment to Carriage Services, Inc. Second Amended and Restated 2006 Long-Term Incentive Plan.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80" w:type="dxa"/>
            <w:vAlign w:val="bottom"/>
            <w:tcBorders>
              <w:top w:val="single" w:sz="8" w:color="0000FF"/>
            </w:tcBorders>
            <w:gridSpan w:val="32"/>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 xml:space="preserve">Exhibit 10.28 to the Company's Annual Report on Form 10-K filed March 5, 2014.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4.5</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Amended and Restated Carriage Services, Inc. 2007 Employee Stock Purchase Plan. Incorporated by reference to Exhibit 10.1 to the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 xml:space="preserve">Company's Quarterly Report on Form 10-Q for its quarter ended September 30, 2013.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4.6</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First Amendment to the Amended and Restated Carriage Services, Inc. 2007 Employee Stock Purchase Plan. Incorporated by reference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 xml:space="preserve">to Appendix B to the Company’s Definitive Proxy Statement on Schedule 14A filed on April 4, 2018.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4.7</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Second and Third Amendments to the Amended and Restated Carriage Services, Inc. 2007 Employee Stock Purchase Plan. Incorporated</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by reference to Appendix A and B, respectively, to the Company's Definitive Proxy Statement on Schedule 14A filed with the SEC on</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60" w:type="dxa"/>
            <w:vAlign w:val="bottom"/>
            <w:gridSpan w:val="31"/>
          </w:tcPr>
          <w:p>
            <w:pPr>
              <w:spacing w:after="0" w:line="152" w:lineRule="exact"/>
              <w:rPr>
                <w:rFonts w:ascii="Arial" w:cs="Arial" w:eastAsia="Arial" w:hAnsi="Arial"/>
                <w:sz w:val="16"/>
                <w:szCs w:val="16"/>
                <w:color w:val="0000FF"/>
              </w:rPr>
            </w:pPr>
            <w:hyperlink r:id="rId164">
              <w:r>
                <w:rPr>
                  <w:rFonts w:ascii="Arial" w:cs="Arial" w:eastAsia="Arial" w:hAnsi="Arial"/>
                  <w:sz w:val="16"/>
                  <w:szCs w:val="16"/>
                  <w:color w:val="0000FF"/>
                </w:rPr>
                <w:t xml:space="preserve">April 5, 2021 and Amendment No. 1 to our Definitive Proxy Statement on Schedule 14A filed with the SEC on April 6, 2021. </w:t>
              </w:r>
              <w:r>
                <w:rPr>
                  <w:rFonts w:ascii="Arial" w:cs="Arial" w:eastAsia="Arial" w:hAnsi="Arial"/>
                  <w:sz w:val="16"/>
                  <w:szCs w:val="16"/>
                  <w:color w:val="000000"/>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240" w:type="dxa"/>
            <w:vAlign w:val="bottom"/>
          </w:tcPr>
          <w:p>
            <w:pPr>
              <w:jc w:val="center"/>
              <w:ind w:right="92"/>
              <w:spacing w:after="0"/>
              <w:rPr>
                <w:sz w:val="20"/>
                <w:szCs w:val="20"/>
                <w:color w:val="auto"/>
              </w:rPr>
            </w:pPr>
            <w:r>
              <w:rPr>
                <w:rFonts w:ascii="Arial" w:cs="Arial" w:eastAsia="Arial" w:hAnsi="Arial"/>
                <w:sz w:val="18"/>
                <w:szCs w:val="18"/>
                <w:color w:val="auto"/>
                <w:w w:val="87"/>
              </w:rPr>
              <w:t>4.8</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Carriage Services, Inc. 2017 Omnibus Incentive Plan. Incorporated by reference to Appendix A of the Proxy Statement on Schedule 14A</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80" w:type="dxa"/>
            <w:vAlign w:val="bottom"/>
            <w:tcBorders>
              <w:top w:val="single" w:sz="8" w:color="0000FF"/>
            </w:tcBorders>
            <w:gridSpan w:val="32"/>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 xml:space="preserve">filed on April 5, 2017.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ind w:right="92"/>
              <w:spacing w:after="0"/>
              <w:rPr>
                <w:sz w:val="20"/>
                <w:szCs w:val="20"/>
                <w:color w:val="auto"/>
              </w:rPr>
            </w:pPr>
            <w:r>
              <w:rPr>
                <w:rFonts w:ascii="Arial" w:cs="Arial" w:eastAsia="Arial" w:hAnsi="Arial"/>
                <w:sz w:val="18"/>
                <w:szCs w:val="18"/>
                <w:color w:val="auto"/>
                <w:w w:val="87"/>
              </w:rPr>
              <w:t>4.9</w:t>
            </w:r>
          </w:p>
        </w:tc>
        <w:tc>
          <w:tcPr>
            <w:tcW w:w="3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8"/>
              </w:rPr>
            </w:pPr>
            <w:hyperlink r:id="rId166">
              <w:r>
                <w:rPr>
                  <w:rFonts w:ascii="Arial" w:cs="Arial" w:eastAsia="Arial" w:hAnsi="Arial"/>
                  <w:sz w:val="18"/>
                  <w:szCs w:val="18"/>
                  <w:color w:val="0000FF"/>
                  <w:w w:val="98"/>
                </w:rPr>
                <w:t>First Amendment to the Carriage Services, Inc. 2017 Omnibus Incentive Plan. Incorporated by reference to Appendix C to the</w:t>
              </w:r>
            </w:hyperlink>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80" w:type="dxa"/>
            <w:vAlign w:val="bottom"/>
            <w:tcBorders>
              <w:top w:val="single" w:sz="8" w:color="0000FF"/>
            </w:tcBorders>
            <w:gridSpan w:val="15"/>
          </w:tcPr>
          <w:p>
            <w:pPr>
              <w:spacing w:after="0" w:line="164"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Company’s Definitive Proxy Statement on Schedule 14A filed on April 5, 2021 and Amendment No. 1 to our Definitive Proxy</w:t>
              </w:r>
            </w:hyperlink>
          </w:p>
        </w:tc>
        <w:tc>
          <w:tcPr>
            <w:tcW w:w="1020" w:type="dxa"/>
            <w:vAlign w:val="bottom"/>
            <w:gridSpan w:val="18"/>
          </w:tcPr>
          <w:p>
            <w:pPr>
              <w:ind w:left="80"/>
              <w:spacing w:after="0" w:line="164" w:lineRule="exact"/>
              <w:rPr>
                <w:rFonts w:ascii="Arial" w:cs="Arial" w:eastAsia="Arial" w:hAnsi="Arial"/>
                <w:sz w:val="18"/>
                <w:szCs w:val="18"/>
                <w:color w:val="0000FF"/>
              </w:rPr>
            </w:pPr>
            <w:hyperlink r:id="rId166">
              <w:r>
                <w:rPr>
                  <w:rFonts w:ascii="Arial" w:cs="Arial" w:eastAsia="Arial" w:hAnsi="Arial"/>
                  <w:sz w:val="18"/>
                  <w:szCs w:val="18"/>
                  <w:color w:val="0000FF"/>
                </w:rPr>
                <w:t>Statement</w:t>
              </w:r>
            </w:hyperlink>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60" w:type="dxa"/>
            <w:vAlign w:val="bottom"/>
            <w:tcBorders>
              <w:top w:val="single" w:sz="8" w:color="0000FF"/>
            </w:tcBorders>
            <w:gridSpan w:val="21"/>
          </w:tcPr>
          <w:p>
            <w:pPr>
              <w:spacing w:after="0" w:line="164" w:lineRule="exact"/>
              <w:rPr>
                <w:rFonts w:ascii="Arial" w:cs="Arial" w:eastAsia="Arial" w:hAnsi="Arial"/>
                <w:sz w:val="18"/>
                <w:szCs w:val="18"/>
                <w:color w:val="0000FF"/>
              </w:rPr>
            </w:pPr>
            <w:hyperlink r:id="rId166">
              <w:r>
                <w:rPr>
                  <w:rFonts w:ascii="Arial" w:cs="Arial" w:eastAsia="Arial" w:hAnsi="Arial"/>
                  <w:sz w:val="18"/>
                  <w:szCs w:val="18"/>
                  <w:color w:val="0000FF"/>
                </w:rPr>
                <w:t>on Schedule 14A filed with the SEC on April 6, 2021.</w:t>
              </w:r>
              <w:r>
                <w:rPr>
                  <w:rFonts w:ascii="Arial" w:cs="Arial" w:eastAsia="Arial" w:hAnsi="Arial"/>
                  <w:sz w:val="18"/>
                  <w:szCs w:val="18"/>
                  <w:color w:val="000000"/>
                </w:rPr>
                <w:t>†</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5"/>
              </w:rPr>
              <w:t>*4.10</w:t>
            </w:r>
          </w:p>
        </w:tc>
        <w:tc>
          <w:tcPr>
            <w:tcW w:w="300" w:type="dxa"/>
            <w:vAlign w:val="bottom"/>
          </w:tcPr>
          <w:p>
            <w:pPr>
              <w:spacing w:after="0"/>
              <w:rPr>
                <w:sz w:val="24"/>
                <w:szCs w:val="24"/>
                <w:color w:val="auto"/>
              </w:rPr>
            </w:pPr>
          </w:p>
        </w:tc>
        <w:tc>
          <w:tcPr>
            <w:tcW w:w="3800" w:type="dxa"/>
            <w:vAlign w:val="bottom"/>
            <w:tcBorders>
              <w:top w:val="single" w:sz="8" w:color="0000FF"/>
            </w:tcBorders>
            <w:gridSpan w:val="3"/>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Summary of Securities Registered under Section 12.</w:t>
              </w:r>
            </w:hyperlink>
          </w:p>
        </w:tc>
        <w:tc>
          <w:tcPr>
            <w:tcW w:w="610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4"/>
              </w:rPr>
            </w:pPr>
            <w:hyperlink r:id="rId167">
              <w:r>
                <w:rPr>
                  <w:rFonts w:ascii="Arial" w:cs="Arial" w:eastAsia="Arial" w:hAnsi="Arial"/>
                  <w:sz w:val="18"/>
                  <w:szCs w:val="18"/>
                  <w:color w:val="0000FF"/>
                  <w:w w:val="94"/>
                </w:rPr>
                <w:t>Indemnity Agreement with Melvin C. Payne dated December 18, 2000. Incorporated by reference to Exhibit 10.20 to the Company’s</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67">
              <w:r>
                <w:rPr>
                  <w:rFonts w:ascii="Arial" w:cs="Arial" w:eastAsia="Arial" w:hAnsi="Arial"/>
                  <w:sz w:val="16"/>
                  <w:szCs w:val="16"/>
                  <w:color w:val="0000FF"/>
                </w:rPr>
                <w:t>Annual Report on Form 10-K for its fiscal year ended December 31, 2000</w:t>
              </w:r>
              <w:r>
                <w:rPr>
                  <w:rFonts w:ascii="Arial" w:cs="Arial" w:eastAsia="Arial" w:hAnsi="Arial"/>
                  <w:sz w:val="16"/>
                  <w:szCs w:val="16"/>
                  <w:color w:val="000000"/>
                </w:rPr>
                <w:t>. †</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5"/>
              </w:rPr>
              <w:t>*10.2</w:t>
            </w:r>
          </w:p>
        </w:tc>
        <w:tc>
          <w:tcPr>
            <w:tcW w:w="300" w:type="dxa"/>
            <w:vAlign w:val="bottom"/>
          </w:tcPr>
          <w:p>
            <w:pPr>
              <w:spacing w:after="0"/>
              <w:rPr>
                <w:sz w:val="24"/>
                <w:szCs w:val="24"/>
                <w:color w:val="auto"/>
              </w:rPr>
            </w:pPr>
          </w:p>
        </w:tc>
        <w:tc>
          <w:tcPr>
            <w:tcW w:w="5200" w:type="dxa"/>
            <w:vAlign w:val="bottom"/>
            <w:tcBorders>
              <w:top w:val="single" w:sz="8" w:color="0000FF"/>
            </w:tcBorders>
            <w:gridSpan w:val="7"/>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 xml:space="preserve">Director Compensation Policy dated February 19, 2020. </w:t>
              </w:r>
            </w:hyperlink>
            <w:r>
              <w:rPr>
                <w:rFonts w:ascii="Arial" w:cs="Arial" w:eastAsia="Arial" w:hAnsi="Arial"/>
                <w:sz w:val="18"/>
                <w:szCs w:val="18"/>
                <w:color w:val="000000"/>
              </w:rPr>
              <w:t>†</w:t>
            </w:r>
          </w:p>
        </w:tc>
        <w:tc>
          <w:tcPr>
            <w:tcW w:w="47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3"/>
              </w:rPr>
            </w:pPr>
            <w:hyperlink r:id="rId168">
              <w:r>
                <w:rPr>
                  <w:rFonts w:ascii="Arial" w:cs="Arial" w:eastAsia="Arial" w:hAnsi="Arial"/>
                  <w:sz w:val="18"/>
                  <w:szCs w:val="18"/>
                  <w:color w:val="0000FF"/>
                  <w:w w:val="93"/>
                </w:rPr>
                <w:t>Form of Incentive Stock Option Agreement under Carriage Services, Inc. Second Amended and Restated 2006 Long-Term Incentive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 xml:space="preserve">Plan. Incorporated by reference to Exhibit 10.1 to the Company's Quarterly Report on Form 10-Q for its quarter ended June 30, 2013. </w:t>
              </w:r>
              <w:r>
                <w:rPr>
                  <w:rFonts w:ascii="Arial" w:cs="Arial" w:eastAsia="Arial" w:hAnsi="Arial"/>
                  <w:sz w:val="16"/>
                  <w:szCs w:val="16"/>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560" w:type="dxa"/>
            <w:vAlign w:val="bottom"/>
            <w:gridSpan w:val="1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10.4</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Form of Restricted Stock Agreement under Carriage Services, Inc. Second and Amended and Restated 2006 Long-Term Incentive Plan.</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9">
              <w:r>
                <w:rPr>
                  <w:rFonts w:ascii="Arial" w:cs="Arial" w:eastAsia="Arial" w:hAnsi="Arial"/>
                  <w:sz w:val="16"/>
                  <w:szCs w:val="16"/>
                  <w:color w:val="0000FF"/>
                </w:rPr>
                <w:t xml:space="preserve">Incorporated by reference to Exhibit 10.2 to the Company's Quarterly Report on Form 10-Q for its quarter ended June 30, 2013. </w:t>
              </w:r>
              <w:r>
                <w:rPr>
                  <w:rFonts w:ascii="Arial" w:cs="Arial" w:eastAsia="Arial" w:hAnsi="Arial"/>
                  <w:sz w:val="16"/>
                  <w:szCs w:val="16"/>
                  <w:color w:val="000000"/>
                </w:rPr>
                <w:t>†</w:t>
              </w:r>
            </w:hyperlink>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560" w:type="dxa"/>
            <w:vAlign w:val="bottom"/>
            <w:gridSpan w:val="1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0"/>
              </w:rPr>
            </w:pPr>
            <w:hyperlink r:id="rId170">
              <w:r>
                <w:rPr>
                  <w:rFonts w:ascii="Arial" w:cs="Arial" w:eastAsia="Arial" w:hAnsi="Arial"/>
                  <w:sz w:val="18"/>
                  <w:szCs w:val="18"/>
                  <w:color w:val="0000FF"/>
                  <w:w w:val="90"/>
                </w:rPr>
                <w:t>Form of Employee Restricted Stock Agreement under Carriage Services, Inc. 2017 Omnibus Incentive Plan.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 xml:space="preserve">Exhibit 10.30 to the Company's Annual Report on Form 10-K for its fiscal year ended December 31, 2017. </w:t>
              </w:r>
              <w:r>
                <w:rPr>
                  <w:rFonts w:ascii="Arial" w:cs="Arial" w:eastAsia="Arial" w:hAnsi="Arial"/>
                  <w:sz w:val="16"/>
                  <w:szCs w:val="16"/>
                  <w:color w:val="000000"/>
                </w:rPr>
                <w: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560" w:type="dxa"/>
            <w:vAlign w:val="bottom"/>
            <w:gridSpan w:val="1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10.6</w:t>
            </w:r>
          </w:p>
        </w:tc>
        <w:tc>
          <w:tcPr>
            <w:tcW w:w="30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8"/>
                <w:szCs w:val="18"/>
                <w:color w:val="0000FF"/>
                <w:w w:val="95"/>
              </w:rPr>
            </w:pPr>
            <w:hyperlink r:id="rId171">
              <w:r>
                <w:rPr>
                  <w:rFonts w:ascii="Arial" w:cs="Arial" w:eastAsia="Arial" w:hAnsi="Arial"/>
                  <w:sz w:val="18"/>
                  <w:szCs w:val="18"/>
                  <w:color w:val="0000FF"/>
                  <w:w w:val="95"/>
                </w:rPr>
                <w:t>Form of Employee Incentive Stock Option Agreement under Carriage Services, Inc. 2017 Omnibus Incentive Plan. Incorporated by</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71">
              <w:r>
                <w:rPr>
                  <w:rFonts w:ascii="Arial" w:cs="Arial" w:eastAsia="Arial" w:hAnsi="Arial"/>
                  <w:sz w:val="16"/>
                  <w:szCs w:val="16"/>
                  <w:color w:val="0000FF"/>
                </w:rPr>
                <w:t xml:space="preserve">reference to Exhibit 10.31 to the Company's Annual Report on Form 10-K for its fiscal year ended December 31, 2017. </w:t>
              </w:r>
              <w:r>
                <w:rPr>
                  <w:rFonts w:ascii="Arial" w:cs="Arial" w:eastAsia="Arial" w:hAnsi="Arial"/>
                  <w:sz w:val="16"/>
                  <w:szCs w:val="16"/>
                  <w:color w:val="000000"/>
                </w:rPr>
                <w: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006"/>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tcBorders>
              <w:top w:val="single" w:sz="8" w:color="0000FF"/>
            </w:tcBorders>
            <w:gridSpan w:val="6"/>
          </w:tcPr>
          <w:p>
            <w:pPr>
              <w:ind w:left="3960"/>
              <w:spacing w:after="0"/>
              <w:rPr>
                <w:sz w:val="20"/>
                <w:szCs w:val="20"/>
                <w:color w:val="auto"/>
              </w:rPr>
            </w:pPr>
            <w:r>
              <w:rPr>
                <w:rFonts w:ascii="Arial" w:cs="Arial" w:eastAsia="Arial" w:hAnsi="Arial"/>
                <w:sz w:val="18"/>
                <w:szCs w:val="18"/>
                <w:color w:val="auto"/>
              </w:rPr>
              <w:t>100</w:t>
            </w:r>
          </w:p>
        </w:tc>
        <w:tc>
          <w:tcPr>
            <w:tcW w:w="7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1240" w:type="dxa"/>
            <w:vAlign w:val="bottom"/>
            <w:tcBorders>
              <w:top w:val="single" w:sz="8" w:color="0000FF"/>
            </w:tcBorders>
          </w:tcPr>
          <w:p>
            <w:pPr>
              <w:jc w:val="center"/>
              <w:ind w:right="72"/>
              <w:spacing w:after="0"/>
              <w:rPr>
                <w:sz w:val="20"/>
                <w:szCs w:val="20"/>
                <w:color w:val="auto"/>
              </w:rPr>
            </w:pPr>
            <w:r>
              <w:rPr>
                <w:rFonts w:ascii="Arial" w:cs="Arial" w:eastAsia="Arial" w:hAnsi="Arial"/>
                <w:sz w:val="18"/>
                <w:szCs w:val="18"/>
                <w:color w:val="auto"/>
                <w:w w:val="91"/>
              </w:rPr>
              <w:t>10.7</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2"/>
              </w:rPr>
            </w:pPr>
            <w:hyperlink r:id="rId174">
              <w:r>
                <w:rPr>
                  <w:rFonts w:ascii="Arial" w:cs="Arial" w:eastAsia="Arial" w:hAnsi="Arial"/>
                  <w:sz w:val="18"/>
                  <w:szCs w:val="18"/>
                  <w:color w:val="0000FF"/>
                  <w:w w:val="92"/>
                </w:rPr>
                <w:t>Form of Employee Stock Option Agreement under Carriage Services, Inc. 2017 Omnibus Incentive Plan.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74">
              <w:r>
                <w:rPr>
                  <w:rFonts w:ascii="Arial" w:cs="Arial" w:eastAsia="Arial" w:hAnsi="Arial"/>
                  <w:sz w:val="16"/>
                  <w:szCs w:val="16"/>
                  <w:color w:val="0000FF"/>
                </w:rPr>
                <w:t xml:space="preserve">Exhibit 10.33 to the Company's Annual Report on Form 10-K for its fiscal year ended December 31, 2017. </w:t>
              </w:r>
              <w:r>
                <w:rPr>
                  <w:rFonts w:ascii="Arial" w:cs="Arial" w:eastAsia="Arial" w:hAnsi="Arial"/>
                  <w:sz w:val="16"/>
                  <w:szCs w:val="16"/>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1"/>
              </w:rPr>
              <w:t>10.8</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Employment Agreement dated November 5, 2019, by and between the Company and Melvin C. Payne.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Exhibit 10.1 to the Company’s Current Report on Form 8-K filed on November 8, 2019.</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10.9</w:t>
            </w: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First Amendment to Employment Agreement dated February 17, 2021 by and between the Company and Melvin C. Payne. Incorporated</w:t>
              </w:r>
            </w:hyperlink>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580" w:type="dxa"/>
            <w:vAlign w:val="bottom"/>
            <w:tcBorders>
              <w:top w:val="single" w:sz="8" w:color="0000FF"/>
            </w:tcBorders>
            <w:gridSpan w:val="21"/>
          </w:tcPr>
          <w:p>
            <w:pPr>
              <w:spacing w:after="0" w:line="177" w:lineRule="exact"/>
              <w:rPr>
                <w:rFonts w:ascii="Arial" w:cs="Arial" w:eastAsia="Arial" w:hAnsi="Arial"/>
                <w:sz w:val="18"/>
                <w:szCs w:val="18"/>
                <w:color w:val="0000FF"/>
              </w:rPr>
            </w:pPr>
            <w:hyperlink r:id="rId176">
              <w:r>
                <w:rPr>
                  <w:rFonts w:ascii="Arial" w:cs="Arial" w:eastAsia="Arial" w:hAnsi="Arial"/>
                  <w:sz w:val="18"/>
                  <w:szCs w:val="18"/>
                  <w:color w:val="0000FF"/>
                </w:rPr>
                <w:t xml:space="preserve">by reference to Exhibit 10.1 to the Company’s Current Report on Form 8-K filed on February 18, 2021. </w:t>
              </w:r>
              <w:r>
                <w:rPr>
                  <w:rFonts w:ascii="Arial" w:cs="Arial" w:eastAsia="Arial" w:hAnsi="Arial"/>
                  <w:sz w:val="18"/>
                  <w:szCs w:val="18"/>
                  <w:color w:val="000000"/>
                </w:rPr>
                <w:t>†</w:t>
              </w:r>
            </w:hyperlink>
          </w:p>
        </w:tc>
        <w:tc>
          <w:tcPr>
            <w:tcW w:w="2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10.10</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 xml:space="preserve">Form of First Amendment to Employment Agreement Consideration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77.34 Option Grant dated February 17, 2021 by and between the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77">
              <w:r>
                <w:rPr>
                  <w:rFonts w:ascii="Arial" w:cs="Arial" w:eastAsia="Arial" w:hAnsi="Arial"/>
                  <w:sz w:val="16"/>
                  <w:szCs w:val="16"/>
                  <w:color w:val="0000FF"/>
                </w:rPr>
                <w:t xml:space="preserve">Company and Melvin C. Payne. </w:t>
              </w:r>
              <w:r>
                <w:rPr>
                  <w:rFonts w:ascii="Arial" w:cs="Arial" w:eastAsia="Arial" w:hAnsi="Arial"/>
                  <w:sz w:val="16"/>
                  <w:szCs w:val="16"/>
                  <w:color w:val="000000"/>
                </w:rPr>
                <w:t>†</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 xml:space="preserve">Form of First Amendment to Employment Agreement Consideration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53.39 Option Grant dated February 17, 2021 by and between the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77">
              <w:r>
                <w:rPr>
                  <w:rFonts w:ascii="Arial" w:cs="Arial" w:eastAsia="Arial" w:hAnsi="Arial"/>
                  <w:sz w:val="16"/>
                  <w:szCs w:val="16"/>
                  <w:color w:val="0000FF"/>
                </w:rPr>
                <w:t xml:space="preserve">Company and Melvin C. Payne. </w:t>
              </w:r>
              <w:r>
                <w:rPr>
                  <w:rFonts w:ascii="Arial" w:cs="Arial" w:eastAsia="Arial" w:hAnsi="Arial"/>
                  <w:sz w:val="16"/>
                  <w:szCs w:val="16"/>
                  <w:color w:val="000000"/>
                </w:rPr>
                <w:t>†</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4"/>
              </w:rPr>
            </w:pPr>
            <w:hyperlink r:id="rId178">
              <w:r>
                <w:rPr>
                  <w:rFonts w:ascii="Arial" w:cs="Arial" w:eastAsia="Arial" w:hAnsi="Arial"/>
                  <w:sz w:val="18"/>
                  <w:szCs w:val="18"/>
                  <w:color w:val="0000FF"/>
                  <w:w w:val="94"/>
                </w:rPr>
                <w:t>Employment Agreement dated November 5, 2019, by and between the Company and Shawn Phillips.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78">
              <w:r>
                <w:rPr>
                  <w:rFonts w:ascii="Arial" w:cs="Arial" w:eastAsia="Arial" w:hAnsi="Arial"/>
                  <w:sz w:val="16"/>
                  <w:szCs w:val="16"/>
                  <w:color w:val="0000FF"/>
                </w:rPr>
                <w:t xml:space="preserve">Exhibit 10.2 to the Company’s Current Report on Form 8-K filed on November 8, 2019.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10.13</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Employment Agreement dated November 5, 2019, by and between the Company and Paul Elliott. Incorporated by reference to Exhibit</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79">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the Company’s Current Report on Form 8-K filed on November 8, 2019. </w:t>
              </w:r>
              <w:r>
                <w:rPr>
                  <w:rFonts w:ascii="Arial" w:cs="Arial" w:eastAsia="Arial" w:hAnsi="Arial"/>
                  <w:sz w:val="16"/>
                  <w:szCs w:val="16"/>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10.14</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Employment Agreement dated November 5, 2019, by and between the Company and Carl Benjamin Brink.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80">
              <w:r>
                <w:rPr>
                  <w:rFonts w:ascii="Arial" w:cs="Arial" w:eastAsia="Arial" w:hAnsi="Arial"/>
                  <w:sz w:val="16"/>
                  <w:szCs w:val="16"/>
                  <w:color w:val="0000FF"/>
                </w:rPr>
                <w:t xml:space="preserve">Exhibit 10.5 to the Company’s Current Report on Form 8-K filed on November 8, 2019.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*10.15</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 xml:space="preserve">Employment Agreement dated November 5, 2019, by and between the Company and Steven D. Metzger. </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*10.16</w:t>
            </w:r>
          </w:p>
        </w:tc>
        <w:tc>
          <w:tcPr>
            <w:tcW w:w="300" w:type="dxa"/>
            <w:vAlign w:val="bottom"/>
          </w:tcPr>
          <w:p>
            <w:pPr>
              <w:spacing w:after="0"/>
              <w:rPr>
                <w:sz w:val="24"/>
                <w:szCs w:val="24"/>
                <w:color w:val="auto"/>
              </w:rPr>
            </w:pPr>
          </w:p>
        </w:tc>
        <w:tc>
          <w:tcPr>
            <w:tcW w:w="7380" w:type="dxa"/>
            <w:vAlign w:val="bottom"/>
            <w:tcBorders>
              <w:top w:val="single" w:sz="8" w:color="0000FF"/>
            </w:tcBorders>
            <w:gridSpan w:val="11"/>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 xml:space="preserve">Employment Agreement dated June 25, 2020, by and between the Company and Carlos Quezada. </w:t>
              </w:r>
            </w:hyperlink>
            <w:r>
              <w:rPr>
                <w:rFonts w:ascii="Arial" w:cs="Arial" w:eastAsia="Arial" w:hAnsi="Arial"/>
                <w:sz w:val="18"/>
                <w:szCs w:val="18"/>
                <w:color w:val="000000"/>
                <w:w w:val="91"/>
              </w:rPr>
              <w:t>†</w:t>
            </w:r>
          </w:p>
        </w:tc>
        <w:tc>
          <w:tcPr>
            <w:tcW w:w="24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*10.17</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9"/>
              </w:rPr>
            </w:pPr>
            <w:hyperlink w:anchor="page164">
              <w:r>
                <w:rPr>
                  <w:rFonts w:ascii="Arial" w:cs="Arial" w:eastAsia="Arial" w:hAnsi="Arial"/>
                  <w:sz w:val="18"/>
                  <w:szCs w:val="18"/>
                  <w:color w:val="0000FF"/>
                  <w:w w:val="99"/>
                </w:rPr>
                <w:t xml:space="preserve">First Amendment to Employment Agreement dated June 1, 2021, by and between the Company and Carl Benjamin Brink. </w:t>
              </w:r>
            </w:hyperlink>
            <w:r>
              <w:rPr>
                <w:rFonts w:ascii="Arial" w:cs="Arial" w:eastAsia="Arial" w:hAnsi="Arial"/>
                <w:sz w:val="18"/>
                <w:szCs w:val="18"/>
                <w:color w:val="000000"/>
                <w:w w:val="99"/>
              </w:rPr>
              <w:t>†</w:t>
            </w:r>
          </w:p>
        </w:tc>
        <w:tc>
          <w:tcPr>
            <w:tcW w:w="0" w:type="dxa"/>
            <w:vAlign w:val="bottom"/>
          </w:tcPr>
          <w:p>
            <w:pPr>
              <w:spacing w:after="0"/>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*10.18</w:t>
            </w:r>
          </w:p>
        </w:tc>
        <w:tc>
          <w:tcPr>
            <w:tcW w:w="300" w:type="dxa"/>
            <w:vAlign w:val="bottom"/>
          </w:tcPr>
          <w:p>
            <w:pPr>
              <w:spacing w:after="0"/>
              <w:rPr>
                <w:sz w:val="24"/>
                <w:szCs w:val="24"/>
                <w:color w:val="auto"/>
              </w:rPr>
            </w:pPr>
          </w:p>
        </w:tc>
        <w:tc>
          <w:tcPr>
            <w:tcW w:w="8580" w:type="dxa"/>
            <w:vAlign w:val="bottom"/>
            <w:tcBorders>
              <w:top w:val="single" w:sz="8" w:color="0000FF"/>
            </w:tcBorders>
            <w:gridSpan w:val="15"/>
          </w:tcPr>
          <w:p>
            <w:pPr>
              <w:spacing w:after="0"/>
              <w:rPr>
                <w:rFonts w:ascii="Arial" w:cs="Arial" w:eastAsia="Arial" w:hAnsi="Arial"/>
                <w:sz w:val="18"/>
                <w:szCs w:val="18"/>
                <w:color w:val="0000FF"/>
                <w:w w:val="88"/>
              </w:rPr>
            </w:pPr>
            <w:hyperlink w:anchor="page166">
              <w:r>
                <w:rPr>
                  <w:rFonts w:ascii="Arial" w:cs="Arial" w:eastAsia="Arial" w:hAnsi="Arial"/>
                  <w:sz w:val="18"/>
                  <w:szCs w:val="18"/>
                  <w:color w:val="0000FF"/>
                  <w:w w:val="88"/>
                </w:rPr>
                <w:t xml:space="preserve">First Amendment to Employment Agreement dated June 1, 2021, by and between the Company and Steven D. Metzger. </w:t>
              </w:r>
            </w:hyperlink>
            <w:r>
              <w:rPr>
                <w:rFonts w:ascii="Arial" w:cs="Arial" w:eastAsia="Arial" w:hAnsi="Arial"/>
                <w:sz w:val="18"/>
                <w:szCs w:val="18"/>
                <w:color w:val="000000"/>
                <w:w w:val="88"/>
              </w:rPr>
              <w:t>†</w:t>
            </w:r>
          </w:p>
        </w:tc>
        <w:tc>
          <w:tcPr>
            <w:tcW w:w="12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*10.19</w:t>
            </w:r>
          </w:p>
        </w:tc>
        <w:tc>
          <w:tcPr>
            <w:tcW w:w="300" w:type="dxa"/>
            <w:vAlign w:val="bottom"/>
          </w:tcPr>
          <w:p>
            <w:pPr>
              <w:spacing w:after="0"/>
              <w:rPr>
                <w:sz w:val="24"/>
                <w:szCs w:val="24"/>
                <w:color w:val="auto"/>
              </w:rPr>
            </w:pPr>
          </w:p>
        </w:tc>
        <w:tc>
          <w:tcPr>
            <w:tcW w:w="8420" w:type="dxa"/>
            <w:vAlign w:val="bottom"/>
            <w:tcBorders>
              <w:top w:val="single" w:sz="8" w:color="0000FF"/>
            </w:tcBorders>
            <w:gridSpan w:val="14"/>
          </w:tcPr>
          <w:p>
            <w:pPr>
              <w:spacing w:after="0"/>
              <w:rPr>
                <w:rFonts w:ascii="Arial" w:cs="Arial" w:eastAsia="Arial" w:hAnsi="Arial"/>
                <w:sz w:val="18"/>
                <w:szCs w:val="18"/>
                <w:color w:val="0000FF"/>
                <w:w w:val="88"/>
              </w:rPr>
            </w:pPr>
            <w:hyperlink w:anchor="page168">
              <w:r>
                <w:rPr>
                  <w:rFonts w:ascii="Arial" w:cs="Arial" w:eastAsia="Arial" w:hAnsi="Arial"/>
                  <w:sz w:val="18"/>
                  <w:szCs w:val="18"/>
                  <w:color w:val="0000FF"/>
                  <w:w w:val="88"/>
                </w:rPr>
                <w:t xml:space="preserve">First Amendment to Employment Agreement dated June 1, 2021, by and between the Company and Carlos Quezada. </w:t>
              </w:r>
            </w:hyperlink>
            <w:r>
              <w:rPr>
                <w:rFonts w:ascii="Arial" w:cs="Arial" w:eastAsia="Arial" w:hAnsi="Arial"/>
                <w:sz w:val="18"/>
                <w:szCs w:val="18"/>
                <w:color w:val="000000"/>
                <w:w w:val="88"/>
              </w:rPr>
              <w:t>†</w:t>
            </w:r>
          </w:p>
        </w:tc>
        <w:tc>
          <w:tcPr>
            <w:tcW w:w="13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10.20</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Form of Performance Award Agreement under Carriage Services, Inc. 2017 Omnibus Incentive Plan. Incorporated by reference to</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81">
              <w:r>
                <w:rPr>
                  <w:rFonts w:ascii="Arial" w:cs="Arial" w:eastAsia="Arial" w:hAnsi="Arial"/>
                  <w:sz w:val="16"/>
                  <w:szCs w:val="16"/>
                  <w:color w:val="0000FF"/>
                </w:rPr>
                <w:t xml:space="preserve">Exhibit 10.2 to the Company's Current Report on Form 8-K filed on May 22, 2020. </w:t>
              </w:r>
              <w:r>
                <w:rPr>
                  <w:rFonts w:ascii="Arial" w:cs="Arial" w:eastAsia="Arial" w:hAnsi="Arial"/>
                  <w:sz w:val="16"/>
                  <w:szCs w:val="16"/>
                  <w:color w:val="000000"/>
                </w:rPr>
                <w:t>†</w:t>
              </w:r>
            </w:hyperlink>
          </w:p>
        </w:tc>
        <w:tc>
          <w:tcPr>
            <w:tcW w:w="3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92"/>
              </w:rPr>
              <w:t>*10.21</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2"/>
              </w:rPr>
            </w:pPr>
            <w:hyperlink w:anchor="page170">
              <w:r>
                <w:rPr>
                  <w:rFonts w:ascii="Arial" w:cs="Arial" w:eastAsia="Arial" w:hAnsi="Arial"/>
                  <w:sz w:val="18"/>
                  <w:szCs w:val="18"/>
                  <w:color w:val="0000FF"/>
                  <w:w w:val="92"/>
                </w:rPr>
                <w:t>Form of First Amendment to Performance Award Agreement under Carriage Services, Inc. 2017 Omnibus Incentive Plan dated as of</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4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w:anchor="page170">
              <w:r>
                <w:rPr>
                  <w:rFonts w:ascii="Arial" w:cs="Arial" w:eastAsia="Arial" w:hAnsi="Arial"/>
                  <w:sz w:val="16"/>
                  <w:szCs w:val="16"/>
                  <w:color w:val="0000FF"/>
                </w:rPr>
                <w:t xml:space="preserve">June 1, 2021.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10.23</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88"/>
              </w:rPr>
            </w:pPr>
            <w:hyperlink r:id="rId159">
              <w:r>
                <w:rPr>
                  <w:rFonts w:ascii="Arial" w:cs="Arial" w:eastAsia="Arial" w:hAnsi="Arial"/>
                  <w:sz w:val="18"/>
                  <w:szCs w:val="18"/>
                  <w:color w:val="0000FF"/>
                  <w:w w:val="88"/>
                </w:rPr>
                <w:t>First Amended and Restated Credit Agreement dated as of May 13, 2021, among Carriage Services, Inc., the guarantors party thereto, the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financial institutions party thereto, as lenders, and Bank of America, N.A., as administrative agent. Incorporated by reference to Exhibit</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on May 13, 2021.</w:t>
              </w:r>
            </w:hyperlink>
          </w:p>
        </w:tc>
        <w:tc>
          <w:tcPr>
            <w:tcW w:w="4240" w:type="dxa"/>
            <w:vAlign w:val="bottom"/>
            <w:tcBorders>
              <w:top w:val="single" w:sz="8" w:color="0000FF"/>
            </w:tcBorders>
            <w:gridSpan w:val="15"/>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10.24</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0"/>
              </w:rPr>
            </w:pPr>
            <w:hyperlink r:id="rId182">
              <w:r>
                <w:rPr>
                  <w:rFonts w:ascii="Arial" w:cs="Arial" w:eastAsia="Arial" w:hAnsi="Arial"/>
                  <w:sz w:val="18"/>
                  <w:szCs w:val="18"/>
                  <w:color w:val="0000FF"/>
                  <w:w w:val="90"/>
                </w:rPr>
                <w:t>First Amendment and Commitment Increase to First Amended and Restated Credit Agreement dated as of November 22, 2021, among</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80" w:type="dxa"/>
            <w:vAlign w:val="bottom"/>
            <w:gridSpan w:val="15"/>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0" w:type="dxa"/>
            <w:vAlign w:val="bottom"/>
            <w:gridSpan w:val="30"/>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Carriage Services, Inc., the financial institutions party thereto, as lenders, and Bank of America, N.A., as administrative agent, swing line</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lender and L/C issuer. Incorporated by reference to Exhibit 10.1 to the Company's Current Report on Form 8-K filed on November 23,</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0000FF"/>
            </w:tcBorders>
            <w:gridSpan w:val="2"/>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2021.</w:t>
              </w:r>
            </w:hyperlink>
          </w:p>
        </w:tc>
        <w:tc>
          <w:tcPr>
            <w:tcW w:w="4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240" w:type="dxa"/>
            <w:vAlign w:val="bottom"/>
          </w:tcPr>
          <w:p>
            <w:pPr>
              <w:jc w:val="center"/>
              <w:ind w:right="72"/>
              <w:spacing w:after="0"/>
              <w:rPr>
                <w:sz w:val="20"/>
                <w:szCs w:val="20"/>
                <w:color w:val="auto"/>
              </w:rPr>
            </w:pPr>
            <w:r>
              <w:rPr>
                <w:rFonts w:ascii="Arial" w:cs="Arial" w:eastAsia="Arial" w:hAnsi="Arial"/>
                <w:sz w:val="18"/>
                <w:szCs w:val="18"/>
                <w:color w:val="auto"/>
                <w:w w:val="88"/>
              </w:rPr>
              <w:t>10.25</w:t>
            </w:r>
          </w:p>
        </w:tc>
        <w:tc>
          <w:tcPr>
            <w:tcW w:w="30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Form of Notes Repurchase Agreement,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w w:val="96"/>
              </w:rPr>
            </w:pPr>
            <w:hyperlink r:id="rId183">
              <w:r>
                <w:rPr>
                  <w:rFonts w:ascii="Arial" w:cs="Arial" w:eastAsia="Arial" w:hAnsi="Arial"/>
                  <w:sz w:val="16"/>
                  <w:szCs w:val="16"/>
                  <w:color w:val="0000FF"/>
                  <w:w w:val="96"/>
                </w:rPr>
                <w:t>September 4, 2020.</w:t>
              </w:r>
            </w:hyperlink>
          </w:p>
        </w:tc>
        <w:tc>
          <w:tcPr>
            <w:tcW w:w="838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4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5"/>
          </w:tcPr>
          <w:p>
            <w:pPr>
              <w:ind w:left="396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88"/>
              </w:rPr>
              <w:t>10.26</w:t>
            </w:r>
          </w:p>
        </w:tc>
        <w:tc>
          <w:tcPr>
            <w:tcW w:w="9720" w:type="dxa"/>
            <w:vAlign w:val="bottom"/>
            <w:gridSpan w:val="9"/>
          </w:tcPr>
          <w:p>
            <w:pPr>
              <w:spacing w:after="0"/>
              <w:rPr>
                <w:rFonts w:ascii="Arial" w:cs="Arial" w:eastAsia="Arial" w:hAnsi="Arial"/>
                <w:sz w:val="18"/>
                <w:szCs w:val="18"/>
                <w:color w:val="0000FF"/>
                <w:w w:val="88"/>
              </w:rPr>
            </w:pPr>
            <w:hyperlink r:id="rId186">
              <w:r>
                <w:rPr>
                  <w:rFonts w:ascii="Arial" w:cs="Arial" w:eastAsia="Arial" w:hAnsi="Arial"/>
                  <w:sz w:val="18"/>
                  <w:szCs w:val="18"/>
                  <w:color w:val="0000FF"/>
                  <w:w w:val="88"/>
                </w:rPr>
                <w:t>Release and Separation Agreement by and between Carriage Services, Inc. and Viki K. Blinderman, dated February 2, 2021 and effective</w:t>
              </w:r>
            </w:hyperlink>
          </w:p>
        </w:tc>
      </w:tr>
      <w:tr>
        <w:trPr>
          <w:trHeight w:val="151"/>
        </w:trPr>
        <w:tc>
          <w:tcPr>
            <w:tcW w:w="1200" w:type="dxa"/>
            <w:vAlign w:val="bottom"/>
          </w:tcPr>
          <w:p>
            <w:pPr>
              <w:spacing w:after="0"/>
              <w:rPr>
                <w:sz w:val="13"/>
                <w:szCs w:val="13"/>
                <w:color w:val="auto"/>
              </w:rPr>
            </w:pPr>
          </w:p>
        </w:tc>
        <w:tc>
          <w:tcPr>
            <w:tcW w:w="9680" w:type="dxa"/>
            <w:vAlign w:val="bottom"/>
            <w:tcBorders>
              <w:top w:val="single" w:sz="8" w:color="0000FF"/>
            </w:tcBorders>
            <w:gridSpan w:val="7"/>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 xml:space="preserve">March 31, 2021. Incorporated by reference to Exhibit 10.40 to the Company's Annual Report on Form 10-K filed on March 2, 2021. </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62"/>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95"/>
              </w:rPr>
              <w:t>*21.1</w:t>
            </w:r>
          </w:p>
        </w:tc>
        <w:tc>
          <w:tcPr>
            <w:tcW w:w="208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w:anchor="page172">
              <w:r>
                <w:rPr>
                  <w:rFonts w:ascii="Arial" w:cs="Arial" w:eastAsia="Arial" w:hAnsi="Arial"/>
                  <w:sz w:val="18"/>
                  <w:szCs w:val="18"/>
                  <w:color w:val="0000FF"/>
                  <w:w w:val="87"/>
                </w:rPr>
                <w:t>Subsidiaries of the Company.</w:t>
              </w:r>
            </w:hyperlink>
          </w:p>
        </w:tc>
        <w:tc>
          <w:tcPr>
            <w:tcW w:w="7220" w:type="dxa"/>
            <w:vAlign w:val="bottom"/>
            <w:tcBorders>
              <w:top w:val="single" w:sz="8" w:color="0000FF"/>
            </w:tcBorders>
            <w:gridSpan w:val="5"/>
          </w:tcPr>
          <w:p>
            <w:pPr>
              <w:spacing w:after="0"/>
              <w:rPr>
                <w:sz w:val="24"/>
                <w:szCs w:val="24"/>
                <w:color w:val="auto"/>
              </w:rPr>
            </w:pPr>
          </w:p>
        </w:tc>
        <w:tc>
          <w:tcPr>
            <w:tcW w:w="420" w:type="dxa"/>
            <w:vAlign w:val="bottom"/>
            <w:gridSpan w:val="3"/>
          </w:tcPr>
          <w:p>
            <w:pPr>
              <w:spacing w:after="0"/>
              <w:rPr>
                <w:sz w:val="24"/>
                <w:szCs w:val="24"/>
                <w:color w:val="auto"/>
              </w:rPr>
            </w:pPr>
          </w:p>
        </w:tc>
      </w:tr>
      <w:tr>
        <w:trPr>
          <w:trHeight w:val="362"/>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95"/>
              </w:rPr>
              <w:t>*23.1</w:t>
            </w:r>
          </w:p>
        </w:tc>
        <w:tc>
          <w:tcPr>
            <w:tcW w:w="23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73">
              <w:r>
                <w:rPr>
                  <w:rFonts w:ascii="Arial" w:cs="Arial" w:eastAsia="Arial" w:hAnsi="Arial"/>
                  <w:sz w:val="18"/>
                  <w:szCs w:val="18"/>
                  <w:color w:val="0000FF"/>
                  <w:w w:val="88"/>
                </w:rPr>
                <w:t>Consent of Grant Thornton LLP.</w:t>
              </w:r>
            </w:hyperlink>
          </w:p>
        </w:tc>
        <w:tc>
          <w:tcPr>
            <w:tcW w:w="7420" w:type="dxa"/>
            <w:vAlign w:val="bottom"/>
            <w:gridSpan w:val="7"/>
          </w:tcPr>
          <w:p>
            <w:pPr>
              <w:spacing w:after="0"/>
              <w:rPr>
                <w:sz w:val="24"/>
                <w:szCs w:val="24"/>
                <w:color w:val="auto"/>
              </w:rPr>
            </w:pPr>
          </w:p>
        </w:tc>
      </w:tr>
      <w:tr>
        <w:trPr>
          <w:trHeight w:val="362"/>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95"/>
              </w:rPr>
              <w:t>*31.1</w:t>
            </w:r>
          </w:p>
        </w:tc>
        <w:tc>
          <w:tcPr>
            <w:tcW w:w="90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74">
              <w:r>
                <w:rPr>
                  <w:rFonts w:ascii="Arial" w:cs="Arial" w:eastAsia="Arial" w:hAnsi="Arial"/>
                  <w:sz w:val="18"/>
                  <w:szCs w:val="18"/>
                  <w:color w:val="0000FF"/>
                  <w:w w:val="89"/>
                </w:rPr>
                <w:t>Certification of Periodic Financial Reports by Melvin C. Payne in satisfaction of Section 302 of the Sarbanes-Oxley Act of 2002.</w:t>
              </w:r>
            </w:hyperlink>
          </w:p>
        </w:tc>
        <w:tc>
          <w:tcPr>
            <w:tcW w:w="640" w:type="dxa"/>
            <w:vAlign w:val="bottom"/>
            <w:gridSpan w:val="5"/>
          </w:tcPr>
          <w:p>
            <w:pPr>
              <w:spacing w:after="0"/>
              <w:rPr>
                <w:sz w:val="24"/>
                <w:szCs w:val="24"/>
                <w:color w:val="auto"/>
              </w:rPr>
            </w:pPr>
          </w:p>
        </w:tc>
      </w:tr>
      <w:tr>
        <w:trPr>
          <w:trHeight w:val="362"/>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95"/>
              </w:rPr>
              <w:t>*31.2</w:t>
            </w:r>
          </w:p>
        </w:tc>
        <w:tc>
          <w:tcPr>
            <w:tcW w:w="92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75">
              <w:r>
                <w:rPr>
                  <w:rFonts w:ascii="Arial" w:cs="Arial" w:eastAsia="Arial" w:hAnsi="Arial"/>
                  <w:sz w:val="18"/>
                  <w:szCs w:val="18"/>
                  <w:color w:val="0000FF"/>
                  <w:w w:val="89"/>
                </w:rPr>
                <w:t>Certification of Periodic Financial Reports by C. Benjamin Brink in satisfaction of Section 302 of the Sarbanes-Oxley Act of 2002.</w:t>
              </w:r>
            </w:hyperlink>
          </w:p>
        </w:tc>
        <w:tc>
          <w:tcPr>
            <w:tcW w:w="500" w:type="dxa"/>
            <w:vAlign w:val="bottom"/>
            <w:gridSpan w:val="4"/>
          </w:tcPr>
          <w:p>
            <w:pPr>
              <w:spacing w:after="0"/>
              <w:rPr>
                <w:sz w:val="24"/>
                <w:szCs w:val="24"/>
                <w:color w:val="auto"/>
              </w:rPr>
            </w:pPr>
          </w:p>
        </w:tc>
      </w:tr>
      <w:tr>
        <w:trPr>
          <w:trHeight w:val="362"/>
        </w:trPr>
        <w:tc>
          <w:tcPr>
            <w:tcW w:w="1200" w:type="dxa"/>
            <w:vAlign w:val="bottom"/>
          </w:tcPr>
          <w:p>
            <w:pPr>
              <w:jc w:val="center"/>
              <w:ind w:right="712"/>
              <w:spacing w:after="0"/>
              <w:rPr>
                <w:sz w:val="20"/>
                <w:szCs w:val="20"/>
                <w:color w:val="auto"/>
              </w:rPr>
            </w:pPr>
            <w:r>
              <w:rPr>
                <w:rFonts w:ascii="Arial" w:cs="Arial" w:eastAsia="Arial" w:hAnsi="Arial"/>
                <w:sz w:val="18"/>
                <w:szCs w:val="18"/>
                <w:color w:val="auto"/>
              </w:rPr>
              <w:t>**32</w:t>
            </w:r>
          </w:p>
        </w:tc>
        <w:tc>
          <w:tcPr>
            <w:tcW w:w="9720" w:type="dxa"/>
            <w:vAlign w:val="bottom"/>
            <w:gridSpan w:val="9"/>
          </w:tcPr>
          <w:p>
            <w:pPr>
              <w:spacing w:after="0"/>
              <w:rPr>
                <w:rFonts w:ascii="Arial" w:cs="Arial" w:eastAsia="Arial" w:hAnsi="Arial"/>
                <w:sz w:val="18"/>
                <w:szCs w:val="18"/>
                <w:color w:val="0000FF"/>
                <w:w w:val="92"/>
              </w:rPr>
            </w:pPr>
            <w:hyperlink w:anchor="page176">
              <w:r>
                <w:rPr>
                  <w:rFonts w:ascii="Arial" w:cs="Arial" w:eastAsia="Arial" w:hAnsi="Arial"/>
                  <w:sz w:val="18"/>
                  <w:szCs w:val="18"/>
                  <w:color w:val="0000FF"/>
                  <w:w w:val="92"/>
                </w:rPr>
                <w:t>Certification of Periodic Financial Reports by Melvin C. Payne and C. Benjamin Brink in satisfaction of Section 906 of the Sarbanes-</w:t>
              </w:r>
            </w:hyperlink>
          </w:p>
        </w:tc>
      </w:tr>
      <w:tr>
        <w:trPr>
          <w:trHeight w:val="151"/>
        </w:trPr>
        <w:tc>
          <w:tcPr>
            <w:tcW w:w="1200" w:type="dxa"/>
            <w:vAlign w:val="bottom"/>
          </w:tcPr>
          <w:p>
            <w:pPr>
              <w:spacing w:after="0"/>
              <w:rPr>
                <w:sz w:val="13"/>
                <w:szCs w:val="13"/>
                <w:color w:val="auto"/>
              </w:rPr>
            </w:pPr>
          </w:p>
        </w:tc>
        <w:tc>
          <w:tcPr>
            <w:tcW w:w="970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w:anchor="page176">
              <w:r>
                <w:rPr>
                  <w:rFonts w:ascii="Arial" w:cs="Arial" w:eastAsia="Arial" w:hAnsi="Arial"/>
                  <w:sz w:val="16"/>
                  <w:szCs w:val="16"/>
                  <w:color w:val="0000FF"/>
                </w:rPr>
                <w:t>Oxley Act of 2002 and 18 U.S.C. Section 1350.</w:t>
              </w:r>
            </w:hyperlink>
          </w:p>
        </w:tc>
        <w:tc>
          <w:tcPr>
            <w:tcW w:w="20" w:type="dxa"/>
            <w:vAlign w:val="bottom"/>
          </w:tcPr>
          <w:p>
            <w:pPr>
              <w:spacing w:after="0"/>
              <w:rPr>
                <w:sz w:val="13"/>
                <w:szCs w:val="13"/>
                <w:color w:val="auto"/>
              </w:rPr>
            </w:pPr>
          </w:p>
        </w:tc>
      </w:tr>
      <w:tr>
        <w:trPr>
          <w:trHeight w:val="400"/>
        </w:trPr>
        <w:tc>
          <w:tcPr>
            <w:tcW w:w="1200" w:type="dxa"/>
            <w:vAlign w:val="bottom"/>
          </w:tcPr>
          <w:p>
            <w:pPr>
              <w:jc w:val="center"/>
              <w:ind w:right="712"/>
              <w:spacing w:after="0"/>
              <w:rPr>
                <w:sz w:val="20"/>
                <w:szCs w:val="20"/>
                <w:color w:val="auto"/>
              </w:rPr>
            </w:pPr>
            <w:r>
              <w:rPr>
                <w:rFonts w:ascii="Arial" w:cs="Arial" w:eastAsia="Arial" w:hAnsi="Arial"/>
                <w:sz w:val="18"/>
                <w:szCs w:val="18"/>
                <w:color w:val="auto"/>
                <w:w w:val="97"/>
              </w:rPr>
              <w:t>*101</w:t>
            </w:r>
          </w:p>
        </w:tc>
        <w:tc>
          <w:tcPr>
            <w:tcW w:w="3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Interactive Data Files.</w:t>
            </w:r>
          </w:p>
        </w:tc>
        <w:tc>
          <w:tcPr>
            <w:tcW w:w="6360" w:type="dxa"/>
            <w:vAlign w:val="bottom"/>
            <w:gridSpan w:val="6"/>
          </w:tcPr>
          <w:p>
            <w:pPr>
              <w:spacing w:after="0"/>
              <w:rPr>
                <w:sz w:val="24"/>
                <w:szCs w:val="24"/>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2" w:lineRule="exact"/>
        <w:rPr>
          <w:sz w:val="20"/>
          <w:szCs w:val="20"/>
          <w:color w:val="auto"/>
        </w:rPr>
      </w:pPr>
    </w:p>
    <w:p>
      <w:pPr>
        <w:ind w:left="660" w:hanging="63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5" w:lineRule="exact"/>
        <w:rPr>
          <w:sz w:val="20"/>
          <w:szCs w:val="20"/>
          <w:color w:val="auto"/>
        </w:rPr>
      </w:pPr>
    </w:p>
    <w:p>
      <w:pPr>
        <w:ind w:left="660" w:hanging="63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4" w:lineRule="exact"/>
        <w:rPr>
          <w:sz w:val="20"/>
          <w:szCs w:val="20"/>
          <w:color w:val="auto"/>
        </w:rPr>
      </w:pPr>
    </w:p>
    <w:p>
      <w:pPr>
        <w:ind w:left="660" w:hanging="63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 2022.</w:t>
      </w: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CARRIAGE SERVICES, INC.</w:t>
      </w:r>
    </w:p>
    <w:p>
      <w:pPr>
        <w:spacing w:after="0" w:line="280" w:lineRule="exact"/>
        <w:rPr>
          <w:sz w:val="20"/>
          <w:szCs w:val="20"/>
          <w:color w:val="auto"/>
        </w:rPr>
      </w:pPr>
    </w:p>
    <w:p>
      <w:pPr>
        <w:ind w:left="424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13970</wp:posOffset>
            </wp:positionV>
            <wp:extent cx="41694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4169410" cy="8255"/>
                    </a:xfrm>
                    <a:prstGeom prst="rect">
                      <a:avLst/>
                    </a:prstGeom>
                    <a:noFill/>
                  </pic:spPr>
                </pic:pic>
              </a:graphicData>
            </a:graphic>
          </wp:anchor>
        </w:drawing>
      </w:r>
    </w:p>
    <w:p>
      <w:pPr>
        <w:jc w:val="center"/>
        <w:ind w:left="5080"/>
        <w:spacing w:after="0"/>
        <w:rPr>
          <w:sz w:val="20"/>
          <w:szCs w:val="20"/>
          <w:color w:val="auto"/>
        </w:rPr>
      </w:pPr>
      <w:r>
        <w:rPr>
          <w:rFonts w:ascii="Arial" w:cs="Arial" w:eastAsia="Arial" w:hAnsi="Arial"/>
          <w:sz w:val="18"/>
          <w:szCs w:val="18"/>
          <w:b w:val="1"/>
          <w:bCs w:val="1"/>
          <w:color w:val="auto"/>
        </w:rPr>
        <w:t>Melvin C. Payne</w:t>
      </w:r>
    </w:p>
    <w:p>
      <w:pPr>
        <w:jc w:val="center"/>
        <w:ind w:left="508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5800" w:type="dxa"/>
            <w:vAlign w:val="bottom"/>
            <w:gridSpan w:val="3"/>
          </w:tcPr>
          <w:p>
            <w:pPr>
              <w:ind w:left="3040"/>
              <w:spacing w:after="0"/>
              <w:rPr>
                <w:sz w:val="20"/>
                <w:szCs w:val="20"/>
                <w:color w:val="auto"/>
              </w:rPr>
            </w:pPr>
            <w:r>
              <w:rPr>
                <w:rFonts w:ascii="Arial" w:cs="Arial" w:eastAsia="Arial" w:hAnsi="Arial"/>
                <w:sz w:val="16"/>
                <w:szCs w:val="16"/>
                <w:b w:val="1"/>
                <w:bCs w:val="1"/>
                <w:color w:val="auto"/>
              </w:rPr>
              <w:t>Title</w:t>
            </w:r>
          </w:p>
        </w:tc>
        <w:tc>
          <w:tcPr>
            <w:tcW w:w="1980" w:type="dxa"/>
            <w:vAlign w:val="bottom"/>
            <w:gridSpan w:val="3"/>
          </w:tcPr>
          <w:p>
            <w:pPr>
              <w:jc w:val="center"/>
              <w:ind w:left="873"/>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Melvin C. Payne</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Chief Executive Officer and Chairman of the Board</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Melvin C. Payne</w:t>
            </w:r>
          </w:p>
        </w:tc>
        <w:tc>
          <w:tcPr>
            <w:tcW w:w="5800" w:type="dxa"/>
            <w:vAlign w:val="bottom"/>
            <w:gridSpan w:val="3"/>
          </w:tcPr>
          <w:p>
            <w:pPr>
              <w:ind w:left="360"/>
              <w:spacing w:after="0" w:line="204" w:lineRule="exact"/>
              <w:rPr>
                <w:sz w:val="20"/>
                <w:szCs w:val="20"/>
                <w:color w:val="auto"/>
              </w:rPr>
            </w:pPr>
            <w:r>
              <w:rPr>
                <w:rFonts w:ascii="Arial" w:cs="Arial" w:eastAsia="Arial" w:hAnsi="Arial"/>
                <w:sz w:val="18"/>
                <w:szCs w:val="18"/>
                <w:color w:val="auto"/>
              </w:rPr>
              <w:t>(Principal Executive Officer)</w:t>
            </w:r>
          </w:p>
        </w:tc>
        <w:tc>
          <w:tcPr>
            <w:tcW w:w="1980" w:type="dxa"/>
            <w:vAlign w:val="bottom"/>
            <w:gridSpan w:val="3"/>
          </w:tcPr>
          <w:p>
            <w:pPr>
              <w:jc w:val="center"/>
              <w:ind w:left="873"/>
              <w:spacing w:after="0" w:line="204" w:lineRule="exact"/>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 Benjamin Brink</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Executive Vice President, Chief Financial Officer and Treasurer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C. Benjamin Brink</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(Principal Financial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2880" w:type="dxa"/>
            <w:vAlign w:val="bottom"/>
            <w:gridSpan w:val="3"/>
            <w:vMerge w:val="restart"/>
          </w:tcPr>
          <w:p>
            <w:pPr>
              <w:ind w:left="20"/>
              <w:spacing w:after="0"/>
              <w:rPr>
                <w:sz w:val="20"/>
                <w:szCs w:val="20"/>
                <w:color w:val="auto"/>
              </w:rPr>
            </w:pPr>
            <w:r>
              <w:rPr>
                <w:rFonts w:ascii="Arial" w:cs="Arial" w:eastAsia="Arial" w:hAnsi="Arial"/>
                <w:sz w:val="18"/>
                <w:szCs w:val="18"/>
                <w:color w:val="auto"/>
              </w:rPr>
              <w:t>/s/ Adeola Olaniyan</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Corporate Controller and Principal Accounting Officer</w:t>
            </w:r>
          </w:p>
        </w:tc>
        <w:tc>
          <w:tcPr>
            <w:tcW w:w="1980" w:type="dxa"/>
            <w:vAlign w:val="bottom"/>
            <w:gridSpan w:val="3"/>
            <w:vMerge w:val="restart"/>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84"/>
        </w:trPr>
        <w:tc>
          <w:tcPr>
            <w:tcW w:w="2880" w:type="dxa"/>
            <w:vAlign w:val="bottom"/>
            <w:tcBorders>
              <w:bottom w:val="single" w:sz="8" w:color="auto"/>
            </w:tcBorders>
            <w:gridSpan w:val="3"/>
            <w:vMerge w:val="continue"/>
          </w:tcPr>
          <w:p>
            <w:pPr>
              <w:spacing w:after="0"/>
              <w:rPr>
                <w:sz w:val="6"/>
                <w:szCs w:val="6"/>
                <w:color w:val="auto"/>
              </w:rPr>
            </w:pPr>
          </w:p>
        </w:tc>
        <w:tc>
          <w:tcPr>
            <w:tcW w:w="3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Adeola Olaniyan</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Donald D. Patteson Jr.</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Donald D. Patteson Jr.</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Barry K. Fingerhut</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Barry K. Fingerhut</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Bryan D. Leibman</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Bryan D. Leibman</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Douglas Meehan</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Douglas Meehan</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Achille Messac</w:t>
            </w:r>
          </w:p>
        </w:tc>
        <w:tc>
          <w:tcPr>
            <w:tcW w:w="58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873"/>
              <w:spacing w:after="0"/>
              <w:rPr>
                <w:sz w:val="20"/>
                <w:szCs w:val="20"/>
                <w:color w:val="auto"/>
              </w:rPr>
            </w:pPr>
            <w:r>
              <w:rPr>
                <w:rFonts w:ascii="Arial" w:cs="Arial" w:eastAsia="Arial" w:hAnsi="Arial"/>
                <w:sz w:val="18"/>
                <w:szCs w:val="18"/>
                <w:color w:val="auto"/>
                <w:w w:val="88"/>
              </w:rPr>
              <w:t>March 2, 2022</w:t>
            </w:r>
          </w:p>
        </w:tc>
        <w:tc>
          <w:tcPr>
            <w:tcW w:w="0" w:type="dxa"/>
            <w:vAlign w:val="bottom"/>
          </w:tcPr>
          <w:p>
            <w:pPr>
              <w:spacing w:after="0"/>
              <w:rPr>
                <w:sz w:val="1"/>
                <w:szCs w:val="1"/>
                <w:color w:val="auto"/>
              </w:rPr>
            </w:pPr>
          </w:p>
        </w:tc>
      </w:tr>
      <w:tr>
        <w:trPr>
          <w:trHeight w:val="222"/>
        </w:trPr>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rPr>
              <w:t>Achille Messac</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BY-LAWS OF CARRIAGE SERVICES, INC.</w:t>
      </w:r>
    </w:p>
    <w:p>
      <w:pPr>
        <w:spacing w:after="0" w:line="172" w:lineRule="exact"/>
        <w:rPr>
          <w:sz w:val="20"/>
          <w:szCs w:val="20"/>
          <w:color w:val="auto"/>
        </w:rPr>
      </w:pPr>
    </w:p>
    <w:p>
      <w:pPr>
        <w:jc w:val="both"/>
        <w:ind w:firstLine="632"/>
        <w:spacing w:after="0" w:line="266" w:lineRule="auto"/>
        <w:rPr>
          <w:sz w:val="20"/>
          <w:szCs w:val="20"/>
          <w:color w:val="auto"/>
        </w:rPr>
      </w:pPr>
      <w:r>
        <w:rPr>
          <w:rFonts w:ascii="Arial" w:cs="Arial" w:eastAsia="Arial" w:hAnsi="Arial"/>
          <w:sz w:val="21"/>
          <w:szCs w:val="21"/>
          <w:color w:val="auto"/>
        </w:rPr>
        <w:t>PREAMBLE These Second Amended and Restated By-Laws (the “by-laws”) are subject to, and governed by, the General Corporation Law of the State of Delaware (the “Delaware General Corporation Law”) and the certificate of incorporation, as amended (the “Certificate of Incorporation”), of Carriage Services, Inc., a Delaware corporation (the “Corporation”). In the event of a direct conflict between the provisions of these by-laws and the mandatory provisions of the Delaware General Corporation Law or the provisions of the Certificate of Incorporation, such provisions of the Delaware General Corporation Law or the Certificate of Incorporation, as the case may be, will be controlling.</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ONE</w:t>
      </w:r>
      <w:r>
        <w:rPr>
          <w:rFonts w:ascii="Arial" w:cs="Arial" w:eastAsia="Arial" w:hAnsi="Arial"/>
          <w:sz w:val="21"/>
          <w:szCs w:val="21"/>
          <w:color w:val="auto"/>
        </w:rPr>
        <w:t>:</w:t>
      </w:r>
      <w:r>
        <w:rPr>
          <w:rFonts w:ascii="Arial" w:cs="Arial" w:eastAsia="Arial" w:hAnsi="Arial"/>
          <w:sz w:val="21"/>
          <w:szCs w:val="21"/>
          <w:b w:val="1"/>
          <w:bCs w:val="1"/>
          <w:color w:val="auto"/>
        </w:rPr>
        <w:t xml:space="preserve"> OFFICES</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1.1 REGISTERED OFFICE AND AGENT. The registered office and registered agent of the Corporation shall be as designated from time to time by the appropriate filing by the Corporation in the office of the Secretary of State of the State of Delaware.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1.2 OTHER OFFICES. The Corporation may also have offices at such other places, both within and without the State of Delaware, as the Board of Directors may from time to time determine or as the business of the Corporation may require.</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TWO</w:t>
      </w:r>
      <w:r>
        <w:rPr>
          <w:rFonts w:ascii="Arial" w:cs="Arial" w:eastAsia="Arial" w:hAnsi="Arial"/>
          <w:sz w:val="21"/>
          <w:szCs w:val="21"/>
          <w:color w:val="auto"/>
        </w:rPr>
        <w:t>:</w:t>
      </w:r>
      <w:r>
        <w:rPr>
          <w:rFonts w:ascii="Arial" w:cs="Arial" w:eastAsia="Arial" w:hAnsi="Arial"/>
          <w:sz w:val="21"/>
          <w:szCs w:val="21"/>
          <w:b w:val="1"/>
          <w:bCs w:val="1"/>
          <w:color w:val="auto"/>
        </w:rPr>
        <w:t xml:space="preserve"> MEETINGS OF STOCKHOLDERS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2.1 ANNUAL MEETING.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2.2 SPECIAL MEETING. A special meeting of the stockholders of the Corporation, and any proposals to be considered at such meetings, may be called and proposed exclusively by the Board of Directors, pursuant to a resolution approved by a majority of the members of the Board of Directors at the time in office, and no stockholder of the Corporation shall have the right to require the Board of Directors to call a special meeting of stockholders or to propose business at a special meeting of stockholders.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2.3 PLACE OF MEETINGS. An annual meeting of stockholders may be held at any place within or without the State of Delaware, or by means of remote communication, designated by the Board of Directors. A special meeting of stockholders may be held at any place within or without the State of Delaware, or by means of remote communication, designated in the notice of the meeting or a duly executed waiver of notice of such meeting. The Board of Directors, in its sole discretion, may determine that meetings of stockholders be held by means of remote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communication, provided that the Corporation implement the measures for remote communications set forth in Section 8.8.</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2.4 NOTICE. Written or printed notice stating the place (if any), day, and time of each meeting of the stockholders, the record date for determining the stockholders entitled to vote at the meeting (if such date is different than the record date for stockholders entitled to notice of the meeting), the means of remote communication, if any, by which stockholders and proxy holders may be deemed to be present in person and vote at such meeting, and, in case of a special meeting, the purpose or purposes for which the meeting is called shall be delivered not less than ten nor more than 60 days before the date of the meeting (unless a different time is specified by law), whether personally, by mail, or by a form of electronic transmission to each stockholder of record entitled to vote at such meeting. If such notice is to be sent by mail, it shall be directed to such stockholder at his address as it appears on the records of the Corporation, unless he shall have filed with the Secretary or an Assistant Secretary of the Corporation a written request that notices to him be mailed to some other address, in which case it shall be directed to him at such other address, and such notice will be deemed to be given when deposited in the U.S. mail. Notice sent by a form of electronic transmission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a separate notice to the stockholder of such specific posting, upon the later of (A) such posting and (B) the giving of such separate notice; or (iv) if by any other form of electronic transmission, when directed to the stockholder.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proper waiver of notice. Proper waiver of notice shall either be in writing and signed by the person entitled to notice, or transmitted electronically by the person entitled to notice. Any stockholder so waiving notice of the meeting shall be bound by the proceedings of the meeting in all respects as if due notice thereof had been given.</w:t>
      </w:r>
    </w:p>
    <w:p>
      <w:pPr>
        <w:spacing w:after="0" w:line="97"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2.5 VOTING LIST.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at least 10 days prior to such meeting, such list shall be open to examination, for any purpose germane to the meeting, either (i) on a reasonably accessible electronic network, provided that the information required to gain access to such list is provided with notice of the meeting, or (ii) at the principal place of business of the Corporation during ordinary business hours. If the meeting is to be held at a place, then the list shall be produced and kept at the time and place of the meeting during the whole time thereof, and may be inspected by any stockholder who is present. If the meeting is to be held solely by means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remote communication, then the list shall also be open to the examination of any stockholder during the whole time of the meeting on a reasonably accessible electronic network, and the information required to access such list shall be provided with notice of the meeting. In the event that the Corporation determines to make the list available on an electronic network, the Corporation may take reasonable steps to ensure that such information is available only to stockholders of the Corporation. Except as required by applicable law, the stock ledger of the Corporation shall be the only evidence as to who are the stockholders entitled to examine the stock ledger and the list of stockholders or to vote in person or by proxy at any meeting of stockholders.</w:t>
      </w:r>
    </w:p>
    <w:p>
      <w:pPr>
        <w:spacing w:after="0" w:line="9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2.6 QUOROM. The holders of a majority of the outstanding shares entitled to vote on a matter, present in person or by proxy, shall constitute a quorum at any meeting of stockholders, except as otherwise provided by law, the Certificate of Incorporation, or these by-laws. For the purposes of these by-laws, a stockholder or proxy holder not physically present at a meeting of stockholders may be deemed present in person at that meeting by means of remote communication, provided that the Corporation implement reasonable measures to verify his or her attendance and eligibility.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2.7 REQUIRED VOTE; WITHDRAWAL OF QUORUM.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2.8 METHOD OF VOTING; PROXIES. Unless otherwise required by law or provided in the Certificate of Incorporation, each stockholder shall be entitled to one vote, in person or by proxy, for each share of capital stock held by such stockholder. At any meeting of stockholders, every stockholder having the right to vote may vote either in person or by a proxy executed in writing by the stockholder or by his duly authorized attorney-in-fact. If authorized by the Board of Directors, such requirement of a written ballot shall be satisfied by a ballot submitted by electronic transmission, provided that any such electronic transmission must either set forth or be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submitted with information from which it can be determined that the electronic transmission was authorized by the stockholder or proxy holder. Each such proxy shall be filed with the Secretary or an Assistant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2.9 RECORD DATE.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9"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2.10 CONDUCT OF MEETING. The Chairman of the Board, if such office has been filled, or in his or her absence the Lead Director, or the Chief Executive Officer of the Corporation, in the order named, shall call meetings of the stockholders to order, and shall act as chairman of such meeting; provided, however, that the Board of Directors may appoint any person to act as chairman of any meeting in the absence of the Chairman of the Board or the Lead Director. The Secretary shall keep the records of each meeting of stockholders. In the absence or inability to act of any such officer, such officer's duties shall be performed by the officer given the authority to act for such absent or non-acting officer under these by-laws or by a person appointed by the meeting.</w:t>
      </w:r>
    </w:p>
    <w:p>
      <w:pPr>
        <w:spacing w:after="0" w:line="91"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2.11 INSPECTORS.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2.12 NOMINATIONS FOR ELECTION AS A DIRECTOR; ADVANCE NOTICE OF STOCKHOLDER NOMINATIONS AND PROPOSALS.</w:t>
      </w:r>
    </w:p>
    <w:p>
      <w:pPr>
        <w:spacing w:after="0" w:line="80" w:lineRule="exact"/>
        <w:rPr>
          <w:sz w:val="20"/>
          <w:szCs w:val="20"/>
          <w:color w:val="auto"/>
        </w:rPr>
      </w:pPr>
    </w:p>
    <w:p>
      <w:pPr>
        <w:jc w:val="both"/>
        <w:ind w:left="640" w:hanging="3"/>
        <w:spacing w:after="0" w:line="298" w:lineRule="auto"/>
        <w:tabs>
          <w:tab w:leader="none" w:pos="934"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 business may be transacted at any meeting of the stockholders, including the nomination or election of persons to the Board of Directors, other than business that is either specified in the notice of meeting (or any supplement thereto) given by the Board of Directors (or any duly authorized committee thereof) with respect to the meeting, otherwise properly brought before the meeting by or at the direction of the Board of Directors (or any duly authorized committee thereof) and otherwise properly brought before the meeting by a stockholder of the Company (i) who is a stockholder of record on the date of the giving of the notice provided for in this Section 2.12 and on the record date for the determination of stockholders entitled to vote at such meeting and (ii) who complies with the notice and nomination provisions set forth in this Section 2.12.</w:t>
      </w:r>
    </w:p>
    <w:p>
      <w:pPr>
        <w:spacing w:after="0" w:line="87" w:lineRule="exact"/>
        <w:rPr>
          <w:rFonts w:ascii="Arial" w:cs="Arial" w:eastAsia="Arial" w:hAnsi="Arial"/>
          <w:sz w:val="19"/>
          <w:szCs w:val="19"/>
          <w:color w:val="auto"/>
        </w:rPr>
      </w:pPr>
    </w:p>
    <w:p>
      <w:pPr>
        <w:jc w:val="both"/>
        <w:ind w:left="640" w:hanging="3"/>
        <w:spacing w:after="0" w:line="270" w:lineRule="auto"/>
        <w:tabs>
          <w:tab w:leader="none" w:pos="944" w:val="left"/>
        </w:tabs>
        <w:numPr>
          <w:ilvl w:val="0"/>
          <w:numId w:val="35"/>
        </w:numPr>
        <w:rPr>
          <w:rFonts w:ascii="Arial" w:cs="Arial" w:eastAsia="Arial" w:hAnsi="Arial"/>
          <w:sz w:val="21"/>
          <w:szCs w:val="21"/>
          <w:color w:val="auto"/>
        </w:rPr>
      </w:pPr>
      <w:r>
        <w:rPr>
          <w:rFonts w:ascii="Arial" w:cs="Arial" w:eastAsia="Arial" w:hAnsi="Arial"/>
          <w:sz w:val="21"/>
          <w:szCs w:val="21"/>
          <w:color w:val="auto"/>
        </w:rPr>
        <w:t>Only persons who are nominated in accordance with the procedures set forth in these by-laws and qualify for nomination pursuant to Section 3.2 shall be eligible for election by stockholders as, and to serve as, directors. In addition, any proposal of business (other than nomination of persons for election to the Board of Directors) must be a proper matter for stockholder action.</w:t>
      </w:r>
    </w:p>
    <w:p>
      <w:pPr>
        <w:spacing w:after="0" w:line="110" w:lineRule="exact"/>
        <w:rPr>
          <w:rFonts w:ascii="Arial" w:cs="Arial" w:eastAsia="Arial" w:hAnsi="Arial"/>
          <w:sz w:val="21"/>
          <w:szCs w:val="21"/>
          <w:color w:val="auto"/>
        </w:rPr>
      </w:pPr>
    </w:p>
    <w:p>
      <w:pPr>
        <w:jc w:val="both"/>
        <w:ind w:left="640" w:hanging="3"/>
        <w:spacing w:after="0" w:line="279" w:lineRule="auto"/>
        <w:tabs>
          <w:tab w:leader="none" w:pos="958"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Such proposals for business (including, but not limited to, director nominations), other than those made by or at the direction of the Board of Directors, shall be made pursuant to timely notice in writing to the Secretary of the Corporation even if such matter is already the subject of any notice to the stockholders or public disclosure from the Board of directors. To be timely, a stockholder’s notice shall be delivered to or mailed and received at the principal executive offices of the Corporation (i) for an annual meeting, not less than ninety (90) days prior to the anniversary date of the immediately preceding annual meeting of stockholders of the Corporation, or, in the event that no annual meeting was held in the previous year, not earlier than the close of business on the 120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the annual meeting and not later than the close of business on the later of (A)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the annual meeting and (B) the close of business on the tenth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first date of public disclosure of such meeting via a press release or in a document filed with the Securities and Exchange Commission, and (ii) with respect to a special meeting of stockholders of the Corporation not later than the close of business on the tenth (10th) day following the day on which notice of the date of the special meeting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
        <w:spacing w:after="0" w:line="274" w:lineRule="auto"/>
        <w:rPr>
          <w:sz w:val="20"/>
          <w:szCs w:val="20"/>
          <w:color w:val="auto"/>
        </w:rPr>
      </w:pPr>
      <w:r>
        <w:rPr>
          <w:rFonts w:ascii="Arial" w:cs="Arial" w:eastAsia="Arial" w:hAnsi="Arial"/>
          <w:sz w:val="21"/>
          <w:szCs w:val="21"/>
          <w:color w:val="auto"/>
        </w:rPr>
        <w:t>was mailed to stockholders of the Corporation as provided in Section 2.4 or public disclosure of the date of the special meeting via a press release or in a document filed with the Securities and Exchange Commission was made, whichever first occurs.</w:t>
      </w:r>
    </w:p>
    <w:p>
      <w:pPr>
        <w:spacing w:after="0" w:line="107" w:lineRule="exact"/>
        <w:rPr>
          <w:sz w:val="20"/>
          <w:szCs w:val="20"/>
          <w:color w:val="auto"/>
        </w:rPr>
      </w:pPr>
    </w:p>
    <w:p>
      <w:pPr>
        <w:jc w:val="both"/>
        <w:ind w:left="3" w:hanging="3"/>
        <w:spacing w:after="0" w:line="277" w:lineRule="auto"/>
        <w:tabs>
          <w:tab w:leader="none" w:pos="339" w:val="left"/>
        </w:tabs>
        <w:numPr>
          <w:ilvl w:val="0"/>
          <w:numId w:val="36"/>
        </w:numPr>
        <w:rPr>
          <w:rFonts w:ascii="Arial" w:cs="Arial" w:eastAsia="Arial" w:hAnsi="Arial"/>
          <w:sz w:val="20"/>
          <w:szCs w:val="20"/>
          <w:color w:val="auto"/>
        </w:rPr>
      </w:pPr>
      <w:r>
        <w:rPr>
          <w:rFonts w:ascii="Arial" w:cs="Arial" w:eastAsia="Arial" w:hAnsi="Arial"/>
          <w:sz w:val="20"/>
          <w:szCs w:val="20"/>
          <w:color w:val="auto"/>
        </w:rPr>
        <w:t>Such stockholder’s notice to the Secretary shall set forth (x) for director nominations, as to each person whom the stockholder proposes to nominate for election or re-election as a director, all information relating to such person that is required to be disclosed in solicitations of proxies for election of directors, or is otherwise required, pursuant to Regulation 14A under the Exchange Act (including such person's written consent to being named in the proxy statement as a nominee and to serve as a director if elected), and for proposals other than director nominations, a brief description of the business desired to be brought before the meeting, the reasons for conducting the business at the meeting, the text of any proposal or business (including the text of any resolutions proposed for consideration), and (y) as to the stockholder giving the notice (i) the name and address, as they appear on the Corporation’s books, of such stockholder, (ii) the class and number of shares of voting stock of the Corporation which are beneficially owned by such stockholder, (iii) a description of all arrangements or understandings between such stockholder and any other person or persons (including their names) in connection with the proposal of such business by such stockholder and any material interest of such stockholder in such business and (iv) a representation that such stockholder intends to appear in person or by proxy at the meeting to bring such business before the meeting.</w:t>
      </w:r>
    </w:p>
    <w:p>
      <w:pPr>
        <w:spacing w:after="0" w:line="102" w:lineRule="exact"/>
        <w:rPr>
          <w:rFonts w:ascii="Arial" w:cs="Arial" w:eastAsia="Arial" w:hAnsi="Arial"/>
          <w:sz w:val="20"/>
          <w:szCs w:val="20"/>
          <w:color w:val="auto"/>
        </w:rPr>
      </w:pPr>
    </w:p>
    <w:p>
      <w:pPr>
        <w:jc w:val="both"/>
        <w:ind w:left="3" w:hanging="3"/>
        <w:spacing w:after="0" w:line="278" w:lineRule="auto"/>
        <w:tabs>
          <w:tab w:leader="none" w:pos="301" w:val="left"/>
        </w:tabs>
        <w:numPr>
          <w:ilvl w:val="0"/>
          <w:numId w:val="36"/>
        </w:numPr>
        <w:rPr>
          <w:rFonts w:ascii="Arial" w:cs="Arial" w:eastAsia="Arial" w:hAnsi="Arial"/>
          <w:sz w:val="20"/>
          <w:szCs w:val="20"/>
          <w:color w:val="auto"/>
        </w:rPr>
      </w:pPr>
      <w:r>
        <w:rPr>
          <w:rFonts w:ascii="Arial" w:cs="Arial" w:eastAsia="Arial" w:hAnsi="Arial"/>
          <w:sz w:val="20"/>
          <w:szCs w:val="20"/>
          <w:color w:val="auto"/>
        </w:rPr>
        <w:t>At the request of the Board of Directors, any person nominated by the Board of Directors for election as a director shall furnish to the Secretary of the Corporation that information required to be set forth in a stockholder's notice of nomination which pertains to the nominee. In the event that a person is validly designated as a nominee to the Board of Directors in accordance with the procedures set forth in this Section 2.12 and shall thereafter become unable or unwilling to stand for election to the Board of Directors, the Board of Directors or the stockholder who proposed such nominee, as the case may be, may designate a substitute nominee. Other than directors chosen pursuant to the provisions of Section 3.5, no person shall be eligible to serve as a director of the Corporation unless nominated in accordance with the procedures set forth in this Section 2.12. The presiding officer of the meeting of stockholders shall, if the facts warrant, determine and declare to the meeting that a nomination was not made in accordance with the procedures prescribed by these by-laws and the defective nomination shall be disregarded. Notwithstanding the foregoing provisions of this Section 2.12, a stockholder shall also comply with all applicable requirements of the Exchange Act, and the rules and regulations thereunder with respect to the matters set forth in this Section 2.12.</w:t>
      </w:r>
    </w:p>
    <w:p>
      <w:pPr>
        <w:spacing w:after="0" w:line="106" w:lineRule="exact"/>
        <w:rPr>
          <w:rFonts w:ascii="Arial" w:cs="Arial" w:eastAsia="Arial" w:hAnsi="Arial"/>
          <w:sz w:val="20"/>
          <w:szCs w:val="20"/>
          <w:color w:val="auto"/>
        </w:rPr>
      </w:pPr>
    </w:p>
    <w:p>
      <w:pPr>
        <w:jc w:val="both"/>
        <w:ind w:left="3" w:hanging="3"/>
        <w:spacing w:after="0" w:line="274" w:lineRule="auto"/>
        <w:tabs>
          <w:tab w:leader="none" w:pos="266"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No business shall be conducted at any meeting of stockholders, and no person nominated by a stockholder shall be eligible for election as a director, unless proper notice was given with respect to the proposed action in compliance with the procedures set forth in this </w:t>
      </w:r>
      <w:r>
        <w:rPr>
          <w:rFonts w:ascii="Arial" w:cs="Arial" w:eastAsia="Arial" w:hAnsi="Arial"/>
          <w:sz w:val="21"/>
          <w:szCs w:val="21"/>
          <w:u w:val="single" w:color="auto"/>
          <w:color w:val="auto"/>
        </w:rPr>
        <w:t>Section 2.12</w:t>
      </w:r>
      <w:r>
        <w:rPr>
          <w:rFonts w:ascii="Arial" w:cs="Arial" w:eastAsia="Arial" w:hAnsi="Arial"/>
          <w:sz w:val="21"/>
          <w:szCs w:val="21"/>
          <w:color w:val="auto"/>
        </w:rPr>
        <w:t>. Determinations of the chairman of the meeting as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17"/>
        <w:spacing w:after="0"/>
        <w:rPr>
          <w:sz w:val="20"/>
          <w:szCs w:val="20"/>
          <w:color w:val="auto"/>
        </w:rPr>
      </w:pPr>
      <w:r>
        <w:rPr>
          <w:rFonts w:ascii="Arial" w:cs="Arial" w:eastAsia="Arial" w:hAnsi="Arial"/>
          <w:sz w:val="18"/>
          <w:szCs w:val="18"/>
          <w:color w:val="auto"/>
        </w:rPr>
        <w:t>Page 6 of 18</w:t>
      </w:r>
    </w:p>
    <w:p>
      <w:pPr>
        <w:jc w:val="center"/>
        <w:ind w:right="617"/>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0603"/>
          </w:cols>
          <w:pgMar w:left="957" w:top="1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whether those procedures were complied with in a particular case shall be final and binding.</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2.11 NO ACTION BY STOCKHOLDER CONSENT IN LIEU OF A MEETING. Any action required or permitted to be taken by the stockholders of the Corporation must be effected at a duly called annual or special meeting of the stockholders of the Corporation and may not be effected by any consent by such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THREE: DIRECTORS</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3.1 MANAGEMENT. The business and property of the Corporation shall be managed by the Board of Directors. Subject to the restrictions imposed by law, the Certificate of Incorporation, or these by-laws, the Board of Directors may exercise all the powers of the Corporation.</w:t>
      </w:r>
    </w:p>
    <w:p>
      <w:pPr>
        <w:spacing w:after="0" w:line="10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3.2 NUMBER; QUALIFICATION; ELECTION; TERM. The number of directors which shall constitute the entire Board of Directors shall be determined from time to time by resolutions adopted by the Board of Directors. Except as otherwise required by law or the certificate of incorporation of the Corporation, the directors shall be elected at an annual meeting of stockholders at which a quorum is present. In a contested election, the directors shall be elected by the vote of a plurality of the votes of the shares present in person or represented by proxy and entitled to vote on the election of directors. In an uncontested election, the directors shall be elected by a majority of the votes of the shares present in person or represented by proxy and entitled to vote on the election of directors.</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following additional procedures apply in an uncontested election of an incumbent director: A nominee who does not receive a majority of the votes cast shall promptly deliver a written resignation to the Board of Directors and shall continue to serve as a holdover director until the effective date of the director’s resignation which shall be no later than 120 days after the date of the election. The remaining Board of Directors, by a majority vote, promptly shall determine whether to decline to accept or to accept the resignation of such director. If the Board of Directors declines to accept the resignation, the director may continue to serve so long as such nominee received a plurality of the votes cast. If the Board of Directors accepts the resignation, the office shall be considered vacant and the Board of Directors may fill the office pursuant to Section 3.5 of the by-laws.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Each director shall hold office until his term expires as provided in the Certificate of Incorporation and until his or her successor is elected and qualified or, if earlier, until his or her death, resignation, or removal from office. None of the directors need be a stockholder of the Corporation or a resident of the State of Delaware. Each director must have attained the age of majority.</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3.3 CHANGE IN NUMBER. No decrease in the number of directors constituting the entire Board of Directors shall have the effect of shortening the term of any incumbent director.</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3.4 REMOVAL. Except as otherwise provided in the Certificate of Incorporation, at any meeting of stockholders called expressly for that purpose, any director or the entire Board of Directors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may be removed only for cause and only by a vote of the holders of at least eighty percent (80%) of the shares then entitled to vote on the election of directors;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3.5 VACANCIES.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his or her term expires as provided in the Certificate of Incorporation and until his or her successor is elected and qualified or, if earlier, until his or her death, resignation, or removal from office. If there are no directors in office, an election of directors may be held in the manner provided by statute. Except as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3.6 MEETINGS OF DIRECTORS.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any such meeting or duly executed waiver of notice of any such meeting.</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3.7 FIRST MEETING. Each newly 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3.8 ELECTION OF OFFICERS. At the first meeting of the Board of Directors after each annual meeting of stockholders at which a quorum shall be present, the Board of Directors shall elect the officers of the Corporation.</w:t>
      </w:r>
    </w:p>
    <w:p>
      <w:pPr>
        <w:spacing w:after="0" w:line="8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3.9 REGULAR MEETINGS. Regular meetings of the Board of Directors shall be held at such times and places as shall be designated from time to time by resolution of the Board of Directors. Notice of such regular meetings shall not be required.</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3.10 SPECIAL MEETINGS. Special meetings of the Board of Directors shall be held whenever called by the Chairman of the Board, the Lead Director, the Chief Executive Officer, or any director.</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3.11 NOTICE.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or her. Neither the business to be transacted at, nor the purpose of, any regular or special meeting of the Board of Directors need be specified in the notice or waiver of notice of such meeting. Such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3" w:name="page114"/>
    <w:bookmarkEnd w:id="113"/>
    <w:p>
      <w:pPr>
        <w:ind w:left="10120"/>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notice will be properly and timely given if it is (a) deposited in the United States mail not later than the third calendar day preceding the date of the meeting or (b) personally delivered, telegraphed, sent by facsimile transmission or communicated by telephone at least twenty-four hours before the time of the meeting. Such notice need not include a statement of the business to be transacted at, or the purpose of, any such meeting.</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3.12 QUORUM; MAJORITY VOTE. At all meetings of the Board of Directors, one third (1/3)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or these by-laws, the act of a majority of the directors present at a meeting at which a quorum is in attendance shall be the act of the Board of Directors. At any time that the Certificate of Incorporation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3.13 PROCEDURE. At meetings of the Board of Directors, business shall be transacted in such order as from time to time the Board of Directors may determine. The Chairman of the Board, if such office has been filled, or in his or her absence the Lead Director, or the Chief Executive Officer of the Corporation, in the order named,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3.14 PRESUMPTION OF ASSENT. A director of the Corporation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3.15 COMPENSATION.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FOUR: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4.1 DESIGNATION. The Board of Directors may, by resolution adopted by a majority of the entire Board of Directors, designate one or more committees.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4.2 NUMBER; QUALIFICATION; TERM.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w:t>
      </w:r>
    </w:p>
    <w:p>
      <w:pPr>
        <w:spacing w:after="0" w:line="2" w:lineRule="exact"/>
        <w:rPr>
          <w:sz w:val="20"/>
          <w:szCs w:val="20"/>
          <w:color w:val="auto"/>
        </w:rPr>
      </w:pPr>
    </w:p>
    <w:p>
      <w:pPr>
        <w:ind w:firstLine="5"/>
        <w:spacing w:after="0" w:line="283" w:lineRule="auto"/>
        <w:tabs>
          <w:tab w:leader="none" w:pos="287"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expiration of his term as director, (ii) his resignation as a committee member or as a director, or (iii) his removal as a committee member or as a director.</w:t>
      </w:r>
    </w:p>
    <w:p>
      <w:pPr>
        <w:spacing w:after="0" w:line="8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4.3 AUTHORITY.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or these by-laws.</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4.4 COMMITTEE CHANGES. The Board of Directors shall have the power at any time to fill vacancies in, to change the membership of, and to discharge any committee.</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4.5 ALTERNATE MEMBERS OF COMMITTEES.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4.6 REGULAR MEETINGS. Regular meetings of any committee may be held without notice at such time and place as may be designated from time to time by the committee and communicated to all members thereof.</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4.7 SPECIAL MEETINGS.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4.8 QUORUM; MAJORITY VOTE.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greater number is required by law, the Certificate of Incorporation, these by-laws or the resolutions creating the committee.</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4.9 MINUTES.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4.10 COMPENSATION. Committee members may, by resolution of the Board of Directors, be allowed a fixed sum and expenses of attendance, if any, for attending any committee meetings or a stated salary.</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4.11 RESPONSIBILITY. The designation of any committee and the delegation of authority to it shall not operate to relieve the Board of Directors or any director of any responsibility imposed upon it or such director by law.</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FIVE: OFFICERS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5.1 NUMBER; TITLES; TERM OF OFFICE. The officers of the Corporation shall be a President, a Secretary, and such other officers as the Board of Directors may from time to time elect or appoint, including, without limitation, a Chairman of the Board, Chief Executive Officer, one or more Vice Presidents (with each Vice President to have such descriptive title, if any, as the Board of Directors shall determine), and a Treasurer. Each officer shall hold office until his or her successor shall have been duly elected and shall have qualified, until his or her death, or until he or she shall resign or shall have been removed in the manner hereinafter provided. Any two or more offices may be held by the same person. None of the officers need be a stockholder or a director of the Corporation or a resident of the state of Delaware.</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5.2 REMOVAL.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5.3 VACANCIES. Any vacancy occurring in any office of the Corporation (by death, resignation, removal or otherwise) may be filled by the Board of Directors.</w:t>
      </w:r>
    </w:p>
    <w:p>
      <w:pPr>
        <w:spacing w:after="0" w:line="8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5.4 AUTHORITY. Officers shall have such authority and perform such duties in the management of the Corporation as are provided in these by-laws or as may be determined by resolution of the Board of Directors not inconsistent with these by-laws.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5.5 COMPENSATION. The compensation, if any, of officers and agents shall be fixed from time to time by the Board of Directors; provided, however, that the Board of Directors may delegate the power to determine the compensation of any officer and agent (other than the officer to whom such power is delegated) to a committee of the Board of Directors, the Chairman of the Board or the President.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5.6 CHAIRMAN OF THE BOARD. The Chairman of the Board shall have such powers and duties as may be reasonably prescribed by the Board of Directors. Such officer shall preside, if present, at all meetings of the stockholders and of the Board of Directors. Such officer may sign all certificates for shares of stock of the Corporation.</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5.7 CHIEF EXECUTIVE OFFICER. The Chief Executive Officer shall have general supervision of the affairs of the Corporation and shall have general and active control of all its business. He or she shall preside, in the absence of the Chairman of the Board or the Lead Director, at all meetings of stockholders. He or she shall see that all orders and resolutions of the Board of Directors and the stockholders are carried into effect. He or she shall have general executive charge, management, and control of the properties and operations of the Corporation in the ordinary course of its business, with all such powers with respect to such properties and operations as may be reasonably incident to such responsibility, and shall have such powers and authority usually appertaining to the chief executive officer of a corporation, except as otherwise provided in these by-laws.</w:t>
      </w:r>
    </w:p>
    <w:p>
      <w:pPr>
        <w:spacing w:after="0" w:line="8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5.8 PRESIDENT. The President shall have such powers and duties as may be assigned to him or her by the Chief Executive Officer. If the Board of Directors has not elected a Chief Executive Officer or in the absence or inability to act of the Chief Executive Officer, the President shall exercise all of the powers and discharge all of the duties of the Chief Executive Officer. As between the Corporation and third parties, any action taken by the President in the performance of the duties of the Chief Executive Officer shall be conclusive evidence that there is no Chief Executive Officer or that the Chief Executive Officer is absent or unable to act.</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5.9 VICE PRESIDENTS. Each Vice President shall have such powers and duties as may be assigned to him or her by the Board of Directors, the Chief Executive Officer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5.10 TREASURER.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Chief Executive Officer or the President.</w:t>
      </w:r>
    </w:p>
    <w:p>
      <w:pPr>
        <w:spacing w:after="0" w:line="98"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5.11 ASSISTANT TREASURERS. Each Assistant Treasurer shall have such powers and duties as may be assigned to him or her by the Board of Directors, the Chief Executive Officer or the President. The Assistant Treasurers (in the order of their seniority as determined by the Board of Directors or, in the absence of such a determination, as determined by the length of time they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have held the office of Assistant Treasurer) shall exercise the powers of the Treasurer during that officer's absence or inability to act.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5.12 SECRETARY. Except as otherwise provided in these by-laws, the Secretary shall keep the minutes of all meetings of the Board of Directors and of the stockholders in books provided for that purpose, and he shall attend to the giving and service of all notices. He or she may sign with the Chairman of the Board, the Chief Executive Officer or the President, in the name of the Corporation, all contracts of the Corporation and affix the seal of the Corporation thereto. He or she may sign with the Chairman of the Board, the Chief Executive Officer or the President all certificates for shares of stock of the Corporation, and he or she shall have charge of the certificate books, transfer books, and stock papers as the Board of Directors may direct, all of which shall at all reasonable times be open to inspection by any director upon application at the office of the Corporation during business hours. He or she shall in general perform all duties incident to the office of the Secretary, subject to the control of the Board of Directors, the Chief Executive Officer, and the President.</w:t>
      </w:r>
    </w:p>
    <w:p>
      <w:pPr>
        <w:spacing w:after="0" w:line="109"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5.13 ASSISTANT SECRETARIES. Each Assistant Secretary shall have such powers and duties as may be assigned to him or her by the Board of Directors, the Chief Executive Officer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SIX: CERTIFICATES AND STOCKHOLDERS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6.1 CERTIFICATES FOR SHARES. Certificate for shares of stock of the Corporation shall be in such form as shall be approved by the Board of Directors; provided that the Board of Directors may also provide that some or all of any class or series of shares shall be uncertificated shares that may be evidenced by a book-entry system maintained by the registrar of such stock.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her were such officer, transfer agent, or registrar at the date of issue. The certificates shall be consecutively numbered and shall be entered in the books of the Corporation as they are issued and shall exhibit the holder's name and the number of shares.</w:t>
      </w:r>
    </w:p>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6.2 REPLACEMENT OF LOST OR DESTROYED CERTIFICATES.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6.3 TRANSFER OF SHARES. Shares of stock of the Corporation shall be transferable only on the books of the Corporation by the holders thereof in person or by their duly authorized attorneys or legal representatives. Upon surrender to the Corporation or the transfer agent of the Corporation 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6.4 REGISTERED STOCKHOLDERS.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6.5 REGULATIONS. The Board of Directors shall have the power and authority to make all such rules and regulations as they may deem expedient concerning the issue, transfer, and registration or the replacement of certificates for shares of stock of the Corporation.</w:t>
      </w:r>
    </w:p>
    <w:p>
      <w:pPr>
        <w:spacing w:after="0" w:line="10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6.6 LEGENDS.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SEVEN: INDEMNIFICATION</w:t>
      </w:r>
    </w:p>
    <w:p>
      <w:pPr>
        <w:spacing w:after="0" w:line="14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7.1 GENERAL INDEMNIFICATION. The Board of Directors may, in such cases or categories of cases as it deems appropriate, indemnify and hold harmless, or make provision for indemnifying and holding harmless, members of the Board of Directors, officers, employees, and agents of the corporation, and persons who formerly held such positions, and the estates of any of them against any or all claims and liabilities (including reasonable legal fees and other expenses incurred in connection with such claims or liabilities) to which any such person shall have become subject by reason of his having held such a position or having allegedly taken or omitted to take any action in connection with such position.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7.2. INDEMNIFICATION OF BOARD MEMBERS AND OFFICERS</w:t>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640" w:hanging="3"/>
        <w:spacing w:after="0" w:line="228" w:lineRule="auto"/>
        <w:tabs>
          <w:tab w:leader="none" w:pos="944"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the fullest extent permitted by the Delaware General Corporation Law for a corporation subject to such law, as the same exists or may hereafter be amended (but, in the case of any such amendment, only to the extent that such amendment permits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Delaware corporation to provide broader indemnification rights than said law permitted such corporation to provide prior to such amendment), the Corporation will indemnify and hold harmless each member of the Board of Directors and officer of the Corporation or any subsidiary against any and all claims, liabilities, and expenses (including attorneys’ fees, judgments, fines, and amounts paid in settlement) actually and reasonably incurred and arising from any threatened, pending, or completed action, suit or proceeding, whether civil, criminal, administrative, or investigative, to which any such person shall have become subject by reason of having held such a position or having allegedly taken or omitted to take any action in connection with any such position. However, the foregoing shall not apply to:</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i. any breach of such person’s duty of loyalty to the corporation or its stockholders;</w:t>
      </w:r>
    </w:p>
    <w:p>
      <w:pPr>
        <w:ind w:left="1500" w:hanging="232"/>
        <w:spacing w:after="0" w:line="209" w:lineRule="auto"/>
        <w:tabs>
          <w:tab w:leader="none" w:pos="1515" w:val="left"/>
        </w:tabs>
        <w:numPr>
          <w:ilvl w:val="1"/>
          <w:numId w:val="39"/>
        </w:numPr>
        <w:rPr>
          <w:rFonts w:ascii="Arial" w:cs="Arial" w:eastAsia="Arial" w:hAnsi="Arial"/>
          <w:sz w:val="21"/>
          <w:szCs w:val="21"/>
          <w:color w:val="auto"/>
        </w:rPr>
      </w:pPr>
      <w:r>
        <w:rPr>
          <w:rFonts w:ascii="Arial" w:cs="Arial" w:eastAsia="Arial" w:hAnsi="Arial"/>
          <w:sz w:val="21"/>
          <w:szCs w:val="21"/>
          <w:color w:val="auto"/>
        </w:rPr>
        <w:t>any act or omission by such person not in good faith or which involves intentional misconduct or where such person had reasonable cause to believe his conduct was unlawful, or</w:t>
      </w:r>
    </w:p>
    <w:p>
      <w:pPr>
        <w:ind w:left="1540" w:hanging="272"/>
        <w:spacing w:after="0" w:line="209" w:lineRule="auto"/>
        <w:tabs>
          <w:tab w:leader="none" w:pos="1540" w:val="left"/>
        </w:tabs>
        <w:numPr>
          <w:ilvl w:val="1"/>
          <w:numId w:val="39"/>
        </w:numPr>
        <w:rPr>
          <w:rFonts w:ascii="Arial" w:cs="Arial" w:eastAsia="Arial" w:hAnsi="Arial"/>
          <w:sz w:val="21"/>
          <w:szCs w:val="21"/>
          <w:color w:val="auto"/>
        </w:rPr>
      </w:pPr>
      <w:r>
        <w:rPr>
          <w:rFonts w:ascii="Arial" w:cs="Arial" w:eastAsia="Arial" w:hAnsi="Arial"/>
          <w:sz w:val="21"/>
          <w:szCs w:val="21"/>
          <w:color w:val="auto"/>
        </w:rPr>
        <w:t>any transaction from which such person derived any improper personal benefit.</w:t>
      </w:r>
    </w:p>
    <w:p>
      <w:pPr>
        <w:jc w:val="both"/>
        <w:ind w:left="640" w:hanging="3"/>
        <w:spacing w:after="0" w:line="226" w:lineRule="auto"/>
        <w:tabs>
          <w:tab w:leader="none" w:pos="9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decision concerning whether a particular indemnitee has satisfied the foregoing shall be made by (i) the Board of Directors by a majority vote of a quorum consisting of members who are not parties to the action, suit, or proceeding giving rise to the claim for indemnity (“Disinterested Directors”), whether or not such majority constitutes a quorum; (ii) a committee of Disinterested Directors designated by a majority vote of Disinterested Directors, whether or not such majority constitutes a quorum; (iii) if there are no Disinterested Directors, or if the Disinterested Directors so direct, by independent legal counsel in a written opinion; or (iv) a vote of the stockholders.</w:t>
      </w:r>
    </w:p>
    <w:p>
      <w:pPr>
        <w:spacing w:after="0" w:line="209" w:lineRule="exact"/>
        <w:rPr>
          <w:rFonts w:ascii="Arial" w:cs="Arial" w:eastAsia="Arial" w:hAnsi="Arial"/>
          <w:sz w:val="20"/>
          <w:szCs w:val="20"/>
          <w:color w:val="auto"/>
        </w:rPr>
      </w:pPr>
    </w:p>
    <w:p>
      <w:pPr>
        <w:jc w:val="both"/>
        <w:ind w:left="640" w:hanging="3"/>
        <w:spacing w:after="0" w:line="302" w:lineRule="auto"/>
        <w:tabs>
          <w:tab w:leader="none" w:pos="93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Board of Directors may authorize the advancement of expenses to any member of the Board of Directors or officer, subject to a written undertaking to repay such advance if it is later determined that the indemnitee does not satisfy the standard of conduct required for indemnification. The Chairman of the Board is authorized to enter into contracts of indemnification with each member of the Board of Director and officer of the Corporation with respect to the indemnification provided in the by-laws and to renegotiate such contracts as necessary to reflect changing laws and business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EIGHT: MISCELLANEOUS PROVISIONS</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8.1 DIVIDENDS. Subject to provisions of law and the Certificate of Incorporation, dividends may be declared by the Board of Directors at any regular or special meeting and may be paid in cash, in property, or in shares of stock of the Corporation. Such declaration and payment shall be at the discretion of the Board of Directors.</w:t>
      </w:r>
    </w:p>
    <w:p>
      <w:pPr>
        <w:spacing w:after="0" w:line="10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8.2 RESERVES.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shall consider beneficial to the Corporation, and the Board of Directors may modify or abolish any such reserve in the manner in which it was created.</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8.3 BOOKS AND RECORDS.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8.4 FISCAL YEAR.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color w:val="auto"/>
        </w:rPr>
        <w:t>8.5 SEAL. The seal of the Corporation shall be such as from time to time may be approved by the Board of Directors.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8.6 RESIGNATIONS.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8.7 SECURITIES OF OTHER CORPORATION.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8.8 MEETINGS BY REMOTE COMMUNICATION. Stockholders (acting for themselves or through a proxy), members of the Board of Directors, and members of a committee of the Board of Directors may participate in and hold a meeting of such stockholders, Board of Directors, or committee by means of remote communication, including but not limited to a conference telephone, videoconference transmission, internet chat room, or similar communications capability, provided that the Corporation implement reasonable measures to (i) verify the attendance and eligibility of remote participants, (ii) provide participants a reasonable opportunity to participate and vote, and (iii) record the votes and other actions taken by remote participants during the meeting. Participation in a meeting pursuant to this section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8.9 ACTION WITHOUT A MEETING. Unless otherwise restricted by the Certificate of Incorporation or by these by-laws, any action required or permitted to be taken at a meeting 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Board of Directors, or of any committee of the Board of Directors,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the Board of Directors or a committee thereof,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8.10 INVALID PROVISIONS. If any part of these by-laws shall be held invalid or inoperative for any reason, the remaining parts, so far as it is possible and reasonable, shall remain valid and operative.</w:t>
      </w:r>
    </w:p>
    <w:p>
      <w:pPr>
        <w:spacing w:after="0" w:line="80"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8.11 MORTGAGES, ETC.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8.12 HEADINGS. The headings used in these by-laws have been inserted for administrative convenience only and do not constitute matter to be construed in interpretation.</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8.13 REFERENCES. Whenever herein the singular number is used, the same shall include the plural where appropriate, and words of any gender shall include each other gender where appropriate.</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8.14 AMENDMENTS. These by-laws may be altered, amended, or repealed or new by-laws may be adopted by the Board of Directors, or by the affirmative vote of the holders of not less than two-thirds of the shares of the Corporation then entitled to be voted in an election of directors, voting together as a single class.</w:t>
      </w:r>
    </w:p>
    <w:p>
      <w:pPr>
        <w:spacing w:after="0" w:line="107" w:lineRule="exact"/>
        <w:rPr>
          <w:sz w:val="20"/>
          <w:szCs w:val="20"/>
          <w:color w:val="auto"/>
        </w:rPr>
      </w:pPr>
    </w:p>
    <w:p>
      <w:pPr>
        <w:spacing w:after="0"/>
        <w:rPr>
          <w:sz w:val="20"/>
          <w:szCs w:val="20"/>
          <w:color w:val="auto"/>
        </w:rPr>
      </w:pPr>
      <w:r>
        <w:rPr>
          <w:rFonts w:ascii="Arial" w:cs="Arial" w:eastAsia="Arial" w:hAnsi="Arial"/>
          <w:sz w:val="21"/>
          <w:szCs w:val="21"/>
          <w:color w:val="auto"/>
        </w:rPr>
        <w:t>8.15 FORUM FOR ADJUDICATION OF DISPUTES.</w:t>
      </w:r>
    </w:p>
    <w:p>
      <w:pPr>
        <w:spacing w:after="0" w:line="140" w:lineRule="exact"/>
        <w:rPr>
          <w:sz w:val="20"/>
          <w:szCs w:val="20"/>
          <w:color w:val="auto"/>
        </w:rPr>
      </w:pPr>
    </w:p>
    <w:p>
      <w:pPr>
        <w:jc w:val="both"/>
        <w:ind w:left="640" w:hanging="3"/>
        <w:spacing w:after="0" w:line="228" w:lineRule="auto"/>
        <w:tabs>
          <w:tab w:leader="none" w:pos="927" w:val="left"/>
        </w:tabs>
        <w:numPr>
          <w:ilvl w:val="0"/>
          <w:numId w:val="41"/>
        </w:numPr>
        <w:rPr>
          <w:rFonts w:ascii="Arial" w:cs="Arial" w:eastAsia="Arial" w:hAnsi="Arial"/>
          <w:sz w:val="21"/>
          <w:szCs w:val="21"/>
          <w:color w:val="auto"/>
        </w:rPr>
      </w:pPr>
      <w:r>
        <w:rPr>
          <w:rFonts w:ascii="Arial" w:cs="Arial" w:eastAsia="Arial" w:hAnsi="Arial"/>
          <w:sz w:val="21"/>
          <w:szCs w:val="21"/>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w:t>
      </w:r>
    </w:p>
    <w:p>
      <w:pPr>
        <w:spacing w:after="0" w:line="206" w:lineRule="exact"/>
        <w:rPr>
          <w:rFonts w:ascii="Arial" w:cs="Arial" w:eastAsia="Arial" w:hAnsi="Arial"/>
          <w:sz w:val="21"/>
          <w:szCs w:val="21"/>
          <w:color w:val="auto"/>
        </w:rPr>
      </w:pPr>
    </w:p>
    <w:p>
      <w:pPr>
        <w:ind w:left="1900" w:hanging="632"/>
        <w:spacing w:after="0"/>
        <w:tabs>
          <w:tab w:leader="none" w:pos="19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derivative action or proceeding brought on behalf of the Corporation;</w:t>
      </w:r>
    </w:p>
    <w:p>
      <w:pPr>
        <w:spacing w:after="0" w:line="26" w:lineRule="exact"/>
        <w:rPr>
          <w:rFonts w:ascii="Arial" w:cs="Arial" w:eastAsia="Arial" w:hAnsi="Arial"/>
          <w:sz w:val="21"/>
          <w:szCs w:val="21"/>
          <w:color w:val="auto"/>
        </w:rPr>
      </w:pPr>
    </w:p>
    <w:p>
      <w:pPr>
        <w:ind w:left="1900" w:right="60" w:hanging="632"/>
        <w:spacing w:after="0" w:line="261" w:lineRule="auto"/>
        <w:tabs>
          <w:tab w:leader="none" w:pos="1898"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action asserting a claim for breach of a fiduciary duty owed by any director, officer, employee, or agent of the Corporation to the Corporation or the Corporation's stockholders;</w:t>
      </w:r>
    </w:p>
    <w:p>
      <w:pPr>
        <w:spacing w:after="0" w:line="1" w:lineRule="exact"/>
        <w:rPr>
          <w:rFonts w:ascii="Arial" w:cs="Arial" w:eastAsia="Arial" w:hAnsi="Arial"/>
          <w:sz w:val="21"/>
          <w:szCs w:val="21"/>
          <w:color w:val="auto"/>
        </w:rPr>
      </w:pPr>
    </w:p>
    <w:p>
      <w:pPr>
        <w:ind w:left="1900" w:right="220" w:hanging="632"/>
        <w:spacing w:after="0" w:line="283" w:lineRule="auto"/>
        <w:tabs>
          <w:tab w:leader="none" w:pos="1891" w:val="left"/>
        </w:tabs>
        <w:numPr>
          <w:ilvl w:val="1"/>
          <w:numId w:val="41"/>
        </w:numPr>
        <w:rPr>
          <w:rFonts w:ascii="Arial" w:cs="Arial" w:eastAsia="Arial" w:hAnsi="Arial"/>
          <w:sz w:val="21"/>
          <w:szCs w:val="21"/>
          <w:color w:val="auto"/>
        </w:rPr>
      </w:pPr>
      <w:r>
        <w:rPr>
          <w:rFonts w:ascii="Arial" w:cs="Arial" w:eastAsia="Arial" w:hAnsi="Arial"/>
          <w:sz w:val="21"/>
          <w:szCs w:val="21"/>
          <w:color w:val="auto"/>
        </w:rPr>
        <w:t>any action asserting a claim arising pursuant to any provision of the Delaware General Corporation Law, the Certificate of Incorporation, or these by-laws; 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80" w:hanging="612"/>
        <w:spacing w:after="0"/>
        <w:tabs>
          <w:tab w:leader="none" w:pos="1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action asserting a claim governed by the internal affairs doctrine;</w:t>
      </w:r>
    </w:p>
    <w:p>
      <w:pPr>
        <w:spacing w:after="0" w:line="166" w:lineRule="exact"/>
        <w:rPr>
          <w:sz w:val="20"/>
          <w:szCs w:val="20"/>
          <w:color w:val="auto"/>
        </w:rPr>
      </w:pPr>
    </w:p>
    <w:p>
      <w:pPr>
        <w:ind w:left="640"/>
        <w:spacing w:after="0" w:line="296" w:lineRule="auto"/>
        <w:rPr>
          <w:sz w:val="20"/>
          <w:szCs w:val="20"/>
          <w:color w:val="auto"/>
        </w:rPr>
      </w:pPr>
      <w:r>
        <w:rPr>
          <w:rFonts w:ascii="Arial" w:cs="Arial" w:eastAsia="Arial" w:hAnsi="Arial"/>
          <w:sz w:val="19"/>
          <w:szCs w:val="19"/>
          <w:color w:val="auto"/>
        </w:rPr>
        <w:t>in each case, subject to said court having personal jurisdiction over the indispensable parties named as defendants therein. If any action the subject matter of which is within the scope of this Section 8.15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this Section 8.15 (an “Enforcement Action”); and (ii) having service of process made upon such stockholder in any such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8.15.</w:t>
      </w:r>
    </w:p>
    <w:p>
      <w:pPr>
        <w:spacing w:after="0" w:line="81" w:lineRule="exact"/>
        <w:rPr>
          <w:sz w:val="20"/>
          <w:szCs w:val="20"/>
          <w:color w:val="auto"/>
        </w:rPr>
      </w:pPr>
    </w:p>
    <w:p>
      <w:pPr>
        <w:ind w:left="640" w:right="20" w:hanging="3"/>
        <w:spacing w:after="0" w:line="268" w:lineRule="auto"/>
        <w:tabs>
          <w:tab w:leader="none" w:pos="938" w:val="left"/>
        </w:tabs>
        <w:numPr>
          <w:ilvl w:val="0"/>
          <w:numId w:val="43"/>
        </w:numPr>
        <w:rPr>
          <w:rFonts w:ascii="Arial" w:cs="Arial" w:eastAsia="Arial" w:hAnsi="Arial"/>
          <w:sz w:val="21"/>
          <w:szCs w:val="21"/>
          <w:color w:val="auto"/>
        </w:rPr>
      </w:pPr>
      <w:r>
        <w:rPr>
          <w:rFonts w:ascii="Arial" w:cs="Arial" w:eastAsia="Arial" w:hAnsi="Arial"/>
          <w:sz w:val="21"/>
          <w:szCs w:val="21"/>
          <w:color w:val="auto"/>
        </w:rPr>
        <w:t>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8.15(b).</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color w:val="auto"/>
        </w:rPr>
        <w:t>8.16 CERTAIN DEFINITIONAL PROVISIONS.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(a) In these by-laws: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Board</w:t>
      </w:r>
      <w:r>
        <w:rPr>
          <w:rFonts w:ascii="Arial" w:cs="Arial" w:eastAsia="Arial" w:hAnsi="Arial"/>
          <w:sz w:val="21"/>
          <w:szCs w:val="21"/>
          <w:color w:val="auto"/>
        </w:rPr>
        <w:t>” or “</w:t>
      </w:r>
      <w:r>
        <w:rPr>
          <w:rFonts w:ascii="Arial" w:cs="Arial" w:eastAsia="Arial" w:hAnsi="Arial"/>
          <w:sz w:val="21"/>
          <w:szCs w:val="21"/>
          <w:i w:val="1"/>
          <w:iCs w:val="1"/>
          <w:color w:val="auto"/>
        </w:rPr>
        <w:t>Board of Directors</w:t>
      </w:r>
      <w:r>
        <w:rPr>
          <w:rFonts w:ascii="Arial" w:cs="Arial" w:eastAsia="Arial" w:hAnsi="Arial"/>
          <w:sz w:val="21"/>
          <w:szCs w:val="21"/>
          <w:color w:val="auto"/>
        </w:rPr>
        <w:t>” means the Board of directors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Exchange Act</w:t>
      </w:r>
      <w:r>
        <w:rPr>
          <w:rFonts w:ascii="Arial" w:cs="Arial" w:eastAsia="Arial" w:hAnsi="Arial"/>
          <w:sz w:val="21"/>
          <w:szCs w:val="21"/>
          <w:color w:val="auto"/>
        </w:rPr>
        <w:t>” means the U.S. Securities Exchange Act of 1934, as amended.</w:t>
      </w:r>
    </w:p>
    <w:p>
      <w:pPr>
        <w:spacing w:after="0" w:line="166"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Lead Director</w:t>
      </w:r>
      <w:r>
        <w:rPr>
          <w:rFonts w:ascii="Arial" w:cs="Arial" w:eastAsia="Arial" w:hAnsi="Arial"/>
          <w:sz w:val="21"/>
          <w:szCs w:val="21"/>
          <w:color w:val="auto"/>
        </w:rPr>
        <w:t>” means the director elected by the Board by the affirmative vote of a majority of the non-management directors for a three-year term commensurate with that person’s term as director in accordance with the Corporation’s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18</w:t>
      </w:r>
    </w:p>
    <w:p>
      <w:pPr>
        <w:jc w:val="center"/>
        <w:spacing w:after="0"/>
        <w:rPr>
          <w:sz w:val="20"/>
          <w:szCs w:val="20"/>
          <w:color w:val="auto"/>
        </w:rPr>
      </w:pPr>
      <w:r>
        <w:rPr>
          <w:rFonts w:ascii="Arial" w:cs="Arial" w:eastAsia="Arial" w:hAnsi="Arial"/>
          <w:sz w:val="18"/>
          <w:szCs w:val="18"/>
          <w:color w:val="auto"/>
        </w:rPr>
        <w:t>Second Amended &amp; Restated Bylaws of Carriage Services, Inc. (2021)</w:t>
      </w:r>
    </w:p>
    <w:p>
      <w:pPr>
        <w:sectPr>
          <w:pgSz w:w="11900" w:h="16838" w:orient="portrait"/>
          <w:cols w:equalWidth="0" w:num="1">
            <w:col w:w="11240"/>
          </w:cols>
          <w:pgMar w:left="320" w:top="10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REGISTERED SECURITIES</w:t>
      </w:r>
    </w:p>
    <w:p>
      <w:pPr>
        <w:spacing w:after="0" w:line="246" w:lineRule="exact"/>
        <w:rPr>
          <w:sz w:val="20"/>
          <w:szCs w:val="20"/>
          <w:color w:val="auto"/>
        </w:rPr>
      </w:pPr>
    </w:p>
    <w:p>
      <w:pPr>
        <w:jc w:val="both"/>
        <w:ind w:firstLine="230"/>
        <w:spacing w:after="0" w:line="292" w:lineRule="auto"/>
        <w:rPr>
          <w:sz w:val="20"/>
          <w:szCs w:val="20"/>
          <w:color w:val="auto"/>
        </w:rPr>
      </w:pPr>
      <w:r>
        <w:rPr>
          <w:rFonts w:ascii="Arial" w:cs="Arial" w:eastAsia="Arial" w:hAnsi="Arial"/>
          <w:sz w:val="18"/>
          <w:szCs w:val="18"/>
          <w:color w:val="auto"/>
        </w:rPr>
        <w:t>As of February 25, 2022, Carriage Services, Inc. (the “Company,” “us,” “we,” or “our”) has one class of securities, our common stock, registered under Section 12 of the Securities Exchange Act of 1934, as amended.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46" w:lineRule="exact"/>
        <w:rPr>
          <w:sz w:val="20"/>
          <w:szCs w:val="20"/>
          <w:color w:val="auto"/>
        </w:rPr>
      </w:pPr>
    </w:p>
    <w:p>
      <w:pPr>
        <w:jc w:val="both"/>
        <w:ind w:firstLine="632"/>
        <w:spacing w:after="0" w:line="286"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dated July 2, 1996 (as amended, the “Charter”), and our Second Amended and Restated Bylaws dated July 28, 2021 (as amended, the “Bylaws”), each of which are incorporated by reference as an exhibit to the Annual Report on Form 10-K of which this Exhibit 4.10 is a part. We encourage you to read our Certificate of Incorporation, our Bylaws, and the applicable provisions of the General Corporation Law of the State of Delaware (the “DGCL”)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6"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8"/>
          <w:szCs w:val="18"/>
          <w:color w:val="auto"/>
        </w:rPr>
        <w:t>As of February 25, 2022, our authorized capital consisted of 80,000,000 shares of common stock, par value $.01, of which 15,326,738 shares were issued and outstanding, and 40,000,000 shares of preferred stock, par value $.01, of which no shares were issued and outstanding. Our common stock is quoted on the New York Stock Exchange under the symbol “CSV.”</w:t>
      </w:r>
    </w:p>
    <w:p>
      <w:pPr>
        <w:spacing w:after="0" w:line="189"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common stockholders. Our common stock does not have cumulative voting rights, which means that the holders of a majority of the voting power of shares of common stock outstanding can elect all the directors, and the holders of the remaining shares will not be able to elect any directors. Each share of common stock is entitled to participate equally in dividends, if, as and when declared by our Board of Directors (the “Board”), and in the distribution of assets in the event of liquidation, subject in all cases to any prior rights of outstanding shares of preferred stock outstanding. Our shares of common stock have no preemptive rights, redemption rights or sinking fund provisions.</w:t>
      </w:r>
    </w:p>
    <w:p>
      <w:pPr>
        <w:spacing w:after="0" w:line="193" w:lineRule="exact"/>
        <w:rPr>
          <w:sz w:val="20"/>
          <w:szCs w:val="20"/>
          <w:color w:val="auto"/>
        </w:rPr>
      </w:pPr>
    </w:p>
    <w:p>
      <w:pPr>
        <w:jc w:val="both"/>
        <w:ind w:firstLine="434"/>
        <w:spacing w:after="0" w:line="277" w:lineRule="auto"/>
        <w:rPr>
          <w:sz w:val="20"/>
          <w:szCs w:val="20"/>
          <w:color w:val="auto"/>
        </w:rPr>
      </w:pPr>
      <w:r>
        <w:rPr>
          <w:rFonts w:ascii="Arial" w:cs="Arial" w:eastAsia="Arial" w:hAnsi="Arial"/>
          <w:sz w:val="18"/>
          <w:szCs w:val="18"/>
          <w:color w:val="auto"/>
        </w:rPr>
        <w:t>Holders of our common stock are entitled to one vote per share in the election of directors and on all other matters submitted to a vote of stockholders. Such holders do not have the right to cumulate their votes in the election of directors. Holders of our common stock have no redemption or conversion rights, no preemptive or other rights to subscribe for our securities and are not entitled to the benefits of any sinking fund provisions. In the event of our liquidation, dissolution or winding-up, holders of our common stock are entitled to share equally and ratably in all of the assets remaining, if any, after satisfaction of all our debts and liabilities, and of the preferential rights of any series of preferred stock then outstanding. Subject to preferences that may be applicable to any then outstanding preferred stock, holders of our common stock are entitled to receive dividends when, as and if declared by the Board out of funds legally available therefor.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8"/>
          <w:szCs w:val="18"/>
          <w:color w:val="auto"/>
        </w:rPr>
        <w:t>Our preferred stock may be issued in series, and shares of each series will have such rights and preferences as may be fixed by the Board in the resolution authorizing the issuance of that particular series. In designating any series of preferred stock, the Board has the authority, without further action by the holders of our common stock, to fix the rights, dividend rate, conversion rights, rights and terms of redemption, and the liquidation preferences of that series of preferred stock, including:</w:t>
      </w:r>
    </w:p>
    <w:p>
      <w:pPr>
        <w:sectPr>
          <w:pgSz w:w="11900" w:h="16838" w:orient="portrait"/>
          <w:cols w:equalWidth="0" w:num="1">
            <w:col w:w="11240"/>
          </w:cols>
          <w:pgMar w:left="320" w:top="13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8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title of the preferred stock;</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maximum number of shares of the series;</w:t>
      </w:r>
    </w:p>
    <w:p>
      <w:pPr>
        <w:spacing w:after="0" w:line="17" w:lineRule="exact"/>
        <w:rPr>
          <w:sz w:val="20"/>
          <w:szCs w:val="20"/>
          <w:color w:val="auto"/>
        </w:rPr>
      </w:pPr>
    </w:p>
    <w:p>
      <w:pPr>
        <w:ind w:left="2400" w:right="960"/>
        <w:spacing w:after="0" w:line="228" w:lineRule="auto"/>
        <w:rPr>
          <w:sz w:val="20"/>
          <w:szCs w:val="20"/>
          <w:color w:val="auto"/>
        </w:rPr>
      </w:pPr>
      <w:r>
        <w:rPr>
          <w:rFonts w:ascii="Arial" w:cs="Arial" w:eastAsia="Arial" w:hAnsi="Arial"/>
          <w:sz w:val="18"/>
          <w:szCs w:val="18"/>
          <w:color w:val="auto"/>
        </w:rPr>
        <w:t>the dividend rate or the method of calculating the dividend, the date from which dividends will accrue and whether dividends will be cumulative;</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any liquidation preference;</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any optional redemption provisions;</w:t>
      </w:r>
    </w:p>
    <w:p>
      <w:pPr>
        <w:spacing w:after="0" w:line="17" w:lineRule="exact"/>
        <w:rPr>
          <w:sz w:val="20"/>
          <w:szCs w:val="20"/>
          <w:color w:val="auto"/>
        </w:rPr>
      </w:pPr>
    </w:p>
    <w:p>
      <w:pPr>
        <w:ind w:left="2400" w:right="1260"/>
        <w:spacing w:after="0" w:line="259" w:lineRule="auto"/>
        <w:rPr>
          <w:sz w:val="20"/>
          <w:szCs w:val="20"/>
          <w:color w:val="auto"/>
        </w:rPr>
      </w:pPr>
      <w:r>
        <w:rPr>
          <w:rFonts w:ascii="Arial" w:cs="Arial" w:eastAsia="Arial" w:hAnsi="Arial"/>
          <w:sz w:val="18"/>
          <w:szCs w:val="18"/>
          <w:color w:val="auto"/>
        </w:rPr>
        <w:t>any terms for the conversion or exchange of the preferred stock for other securities of us or any other entity; any voting rights; and</w:t>
      </w:r>
    </w:p>
    <w:p>
      <w:pPr>
        <w:spacing w:after="0" w:line="1" w:lineRule="exact"/>
        <w:rPr>
          <w:sz w:val="20"/>
          <w:szCs w:val="20"/>
          <w:color w:val="auto"/>
        </w:rPr>
      </w:pPr>
    </w:p>
    <w:p>
      <w:pPr>
        <w:ind w:left="2400" w:right="960"/>
        <w:spacing w:after="0" w:line="228" w:lineRule="auto"/>
        <w:rPr>
          <w:sz w:val="20"/>
          <w:szCs w:val="20"/>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304" w:lineRule="exact"/>
        <w:rPr>
          <w:sz w:val="20"/>
          <w:szCs w:val="20"/>
          <w:color w:val="auto"/>
        </w:rPr>
      </w:pPr>
    </w:p>
    <w:p>
      <w:pPr>
        <w:jc w:val="both"/>
        <w:ind w:firstLine="434"/>
        <w:spacing w:after="0" w:line="364" w:lineRule="auto"/>
        <w:rPr>
          <w:sz w:val="20"/>
          <w:szCs w:val="20"/>
          <w:color w:val="auto"/>
        </w:rPr>
      </w:pPr>
      <w:r>
        <w:rPr>
          <w:rFonts w:ascii="Arial" w:cs="Arial" w:eastAsia="Arial" w:hAnsi="Arial"/>
          <w:sz w:val="15"/>
          <w:szCs w:val="15"/>
          <w:color w:val="auto"/>
        </w:rPr>
        <w:t>The authorized shares of preferred stock, as well as shares of common stock, are available for issuance without further action by our stockholders, unless stockholder action is required by the rules of any stock exchange or automated quotation system on which our securities are listed or traded. If the approval of our stockholders is not required for the issuance of shares of preferred stock or common stock, the Board may determine not to seek stockholder approval.</w:t>
      </w:r>
    </w:p>
    <w:p>
      <w:pPr>
        <w:spacing w:after="0" w:line="136" w:lineRule="exact"/>
        <w:rPr>
          <w:sz w:val="20"/>
          <w:szCs w:val="20"/>
          <w:color w:val="auto"/>
        </w:rPr>
      </w:pPr>
    </w:p>
    <w:p>
      <w:pPr>
        <w:jc w:val="both"/>
        <w:ind w:firstLine="434"/>
        <w:spacing w:after="0" w:line="321" w:lineRule="auto"/>
        <w:rPr>
          <w:sz w:val="20"/>
          <w:szCs w:val="20"/>
          <w:color w:val="auto"/>
        </w:rPr>
      </w:pPr>
      <w:r>
        <w:rPr>
          <w:rFonts w:ascii="Arial" w:cs="Arial" w:eastAsia="Arial" w:hAnsi="Arial"/>
          <w:sz w:val="16"/>
          <w:szCs w:val="16"/>
          <w:color w:val="auto"/>
        </w:rPr>
        <w:t>Although the Board has no intention at the present time of doing so, it could issue a series of preferred stock that could, depending on the terms of that series, impede the completion of a merger, tender offer or other takeover attempt. The Board will make any determination to issue shares based on its judgment as to our best interests and the best interests of our stockholders. The Board, in so acting, could issue preferred stock having terms that could discourage an acquisition attempt, including a tender offer or other transaction that some, or a majority of, our stockholders might believe to be in their best interests or that might result in stockholders receiving a premium for their stock over the then current market price of the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DGCL</w:t>
      </w:r>
    </w:p>
    <w:p>
      <w:pPr>
        <w:spacing w:after="0" w:line="240" w:lineRule="exact"/>
        <w:rPr>
          <w:sz w:val="20"/>
          <w:szCs w:val="20"/>
          <w:color w:val="auto"/>
        </w:rPr>
      </w:pPr>
    </w:p>
    <w:p>
      <w:pPr>
        <w:jc w:val="both"/>
        <w:ind w:firstLine="434"/>
        <w:spacing w:after="0" w:line="283" w:lineRule="auto"/>
        <w:rPr>
          <w:sz w:val="20"/>
          <w:szCs w:val="20"/>
          <w:color w:val="auto"/>
        </w:rPr>
      </w:pPr>
      <w:r>
        <w:rPr>
          <w:rFonts w:ascii="Arial" w:cs="Arial" w:eastAsia="Arial" w:hAnsi="Arial"/>
          <w:sz w:val="18"/>
          <w:szCs w:val="18"/>
          <w:color w:val="auto"/>
        </w:rPr>
        <w:t>We are a Delaware corporation and are subject to Section 203 of the DGCL (“Section 203”). In general, Section 203 prevents an “interested stockholder” (defined generally as a person owning 15% or more of our outstanding voting stock) from engaging in a business combination with us for three years following the date that person becomes an interested stockholder, with the following exceptions:</w:t>
      </w:r>
    </w:p>
    <w:p>
      <w:pPr>
        <w:spacing w:after="0" w:line="5" w:lineRule="exact"/>
        <w:rPr>
          <w:sz w:val="20"/>
          <w:szCs w:val="20"/>
          <w:color w:val="auto"/>
        </w:rPr>
      </w:pPr>
    </w:p>
    <w:p>
      <w:pPr>
        <w:jc w:val="both"/>
        <w:ind w:left="1580" w:right="980"/>
        <w:spacing w:after="0" w:line="228" w:lineRule="auto"/>
        <w:rPr>
          <w:sz w:val="20"/>
          <w:szCs w:val="20"/>
          <w:color w:val="auto"/>
        </w:rPr>
      </w:pPr>
      <w:r>
        <w:rPr>
          <w:rFonts w:ascii="Arial" w:cs="Arial" w:eastAsia="Arial" w:hAnsi="Arial"/>
          <w:sz w:val="18"/>
          <w:szCs w:val="18"/>
          <w:color w:val="auto"/>
        </w:rPr>
        <w:t>before such date, the Board approved either the business combination or the transaction that resulted in the stockholder becoming an interested holder;</w:t>
      </w:r>
    </w:p>
    <w:p>
      <w:pPr>
        <w:spacing w:after="0" w:line="1" w:lineRule="exact"/>
        <w:rPr>
          <w:sz w:val="20"/>
          <w:szCs w:val="20"/>
          <w:color w:val="auto"/>
        </w:rPr>
      </w:pPr>
    </w:p>
    <w:p>
      <w:pPr>
        <w:jc w:val="both"/>
        <w:ind w:left="1580" w:right="960"/>
        <w:spacing w:after="0" w:line="234" w:lineRule="auto"/>
        <w:rPr>
          <w:sz w:val="20"/>
          <w:szCs w:val="20"/>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 w:lineRule="exact"/>
        <w:rPr>
          <w:sz w:val="20"/>
          <w:szCs w:val="20"/>
          <w:color w:val="auto"/>
        </w:rPr>
      </w:pPr>
    </w:p>
    <w:p>
      <w:pPr>
        <w:jc w:val="both"/>
        <w:ind w:left="1580" w:right="960"/>
        <w:spacing w:after="0" w:line="218" w:lineRule="auto"/>
        <w:rPr>
          <w:sz w:val="20"/>
          <w:szCs w:val="20"/>
          <w:color w:val="auto"/>
        </w:rPr>
      </w:pPr>
      <w:r>
        <w:rPr>
          <w:rFonts w:ascii="Arial" w:cs="Arial" w:eastAsia="Arial" w:hAnsi="Arial"/>
          <w:sz w:val="18"/>
          <w:szCs w:val="18"/>
          <w:color w:val="auto"/>
        </w:rPr>
        <w:t>on or after such date, the business combination is approved by the Board and authorized at an annual or special meeting of the stockholders, and not by written consent, by the affirmative vote of at least 66 2/3% of the outstanding voting stock that is not owned by the interested stockholder.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5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any merger or consolidation involving the corporation and the interested stockholder;</w:t>
      </w:r>
    </w:p>
    <w:p>
      <w:pPr>
        <w:spacing w:after="0" w:line="17" w:lineRule="exact"/>
        <w:rPr>
          <w:sz w:val="20"/>
          <w:szCs w:val="20"/>
          <w:color w:val="auto"/>
        </w:rPr>
      </w:pPr>
    </w:p>
    <w:p>
      <w:pPr>
        <w:jc w:val="both"/>
        <w:ind w:left="1580" w:right="960"/>
        <w:spacing w:after="0" w:line="228" w:lineRule="auto"/>
        <w:rPr>
          <w:sz w:val="20"/>
          <w:szCs w:val="20"/>
          <w:color w:val="auto"/>
        </w:rPr>
      </w:pPr>
      <w:r>
        <w:rPr>
          <w:rFonts w:ascii="Arial" w:cs="Arial" w:eastAsia="Arial" w:hAnsi="Arial"/>
          <w:sz w:val="18"/>
          <w:szCs w:val="18"/>
          <w:color w:val="auto"/>
        </w:rPr>
        <w:t>the sale, transfer, pledge or other disposition of 10% or more of the assets of the corporation involving the interested stockholder;</w:t>
      </w:r>
    </w:p>
    <w:p>
      <w:pPr>
        <w:spacing w:after="0" w:line="1" w:lineRule="exact"/>
        <w:rPr>
          <w:sz w:val="20"/>
          <w:szCs w:val="20"/>
          <w:color w:val="auto"/>
        </w:rPr>
      </w:pPr>
    </w:p>
    <w:p>
      <w:pPr>
        <w:jc w:val="both"/>
        <w:ind w:left="1580" w:right="960"/>
        <w:spacing w:after="0" w:line="228" w:lineRule="auto"/>
        <w:rPr>
          <w:sz w:val="20"/>
          <w:szCs w:val="20"/>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 w:lineRule="exact"/>
        <w:rPr>
          <w:sz w:val="20"/>
          <w:szCs w:val="20"/>
          <w:color w:val="auto"/>
        </w:rPr>
      </w:pPr>
    </w:p>
    <w:p>
      <w:pPr>
        <w:jc w:val="both"/>
        <w:ind w:left="1580" w:right="960"/>
        <w:spacing w:after="0" w:line="228" w:lineRule="auto"/>
        <w:rPr>
          <w:sz w:val="20"/>
          <w:szCs w:val="20"/>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 w:lineRule="exact"/>
        <w:rPr>
          <w:sz w:val="20"/>
          <w:szCs w:val="20"/>
          <w:color w:val="auto"/>
        </w:rPr>
      </w:pPr>
    </w:p>
    <w:p>
      <w:pPr>
        <w:jc w:val="both"/>
        <w:ind w:left="1580" w:right="980"/>
        <w:spacing w:after="0" w:line="228" w:lineRule="auto"/>
        <w:rPr>
          <w:sz w:val="20"/>
          <w:szCs w:val="20"/>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ectPr>
          <w:pgSz w:w="11900" w:h="16838" w:orient="portrait"/>
          <w:cols w:equalWidth="0" w:num="1">
            <w:col w:w="11240"/>
          </w:cols>
          <w:pgMar w:left="320" w:top="134"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434"/>
        <w:spacing w:after="0" w:line="283"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 and Bylaw Provisions</w:t>
      </w:r>
    </w:p>
    <w:p>
      <w:pPr>
        <w:spacing w:after="0" w:line="240"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8"/>
          <w:szCs w:val="18"/>
          <w:color w:val="auto"/>
        </w:rPr>
        <w:t>The Charter provides that the Board is divided into three classes. The directors of each class are elected for three-year terms, with the terms of the three classes staggered so that directors from a single class are elected at each annual meeting of stockholders. Stockholders may remove a director only for cause upon the vote of holders of at least 80% of voting power of the outstanding shares of common stock. In general, the Board, not the stockholders, has the right to appoint persons to fill vacancies on the Board.</w:t>
      </w:r>
    </w:p>
    <w:p>
      <w:pPr>
        <w:spacing w:after="0" w:line="192" w:lineRule="exact"/>
        <w:rPr>
          <w:sz w:val="20"/>
          <w:szCs w:val="20"/>
          <w:color w:val="auto"/>
        </w:rPr>
      </w:pPr>
    </w:p>
    <w:p>
      <w:pPr>
        <w:jc w:val="both"/>
        <w:ind w:firstLine="434"/>
        <w:spacing w:after="0" w:line="292" w:lineRule="auto"/>
        <w:rPr>
          <w:sz w:val="20"/>
          <w:szCs w:val="20"/>
          <w:color w:val="auto"/>
        </w:rPr>
      </w:pPr>
      <w:r>
        <w:rPr>
          <w:rFonts w:ascii="Arial" w:cs="Arial" w:eastAsia="Arial" w:hAnsi="Arial"/>
          <w:sz w:val="18"/>
          <w:szCs w:val="18"/>
          <w:color w:val="auto"/>
        </w:rPr>
        <w:t>The Bylaws provide that special meetings of holders of common stock may be called only by the Board and that only such business proposed by the Board may be considered at special meetings of holders of common stock.</w:t>
      </w:r>
    </w:p>
    <w:p>
      <w:pPr>
        <w:spacing w:after="0" w:line="181" w:lineRule="exact"/>
        <w:rPr>
          <w:sz w:val="20"/>
          <w:szCs w:val="20"/>
          <w:color w:val="auto"/>
        </w:rPr>
      </w:pPr>
    </w:p>
    <w:p>
      <w:pPr>
        <w:jc w:val="both"/>
        <w:ind w:firstLine="434"/>
        <w:spacing w:after="0" w:line="317" w:lineRule="auto"/>
        <w:rPr>
          <w:sz w:val="20"/>
          <w:szCs w:val="20"/>
          <w:color w:val="auto"/>
        </w:rPr>
      </w:pPr>
      <w:r>
        <w:rPr>
          <w:rFonts w:ascii="Arial" w:cs="Arial" w:eastAsia="Arial" w:hAnsi="Arial"/>
          <w:sz w:val="16"/>
          <w:szCs w:val="16"/>
          <w:color w:val="auto"/>
        </w:rPr>
        <w:t>The Bylaws provide that the only business (including election of directors) that may be considered at an annual meeting of holders of common stock, in addition to business proposed (or persons nominated to be directors) by the directors of the Company, is business proposed (or persons nominated to be directors) by holders of common stock who comply with the notice and disclosure requirements set forth in the Bylaws. In general, the Bylaws require that a stockholder give the Company notice of proposed business or nominations in advance of the annual meetings in accordance with the deadlines for such notices set forth therein. In general, the notice must also contain information about the stockholder proposing the business or nomination, the stockholder’s interest in the business, and (with respect to nominations for director) information about the nominee of the nature ordinarily required to be disclosed in public proxy solicitation statements.</w:t>
      </w:r>
    </w:p>
    <w:p>
      <w:pPr>
        <w:spacing w:after="0" w:line="167" w:lineRule="exact"/>
        <w:rPr>
          <w:sz w:val="20"/>
          <w:szCs w:val="20"/>
          <w:color w:val="auto"/>
        </w:rPr>
      </w:pPr>
    </w:p>
    <w:p>
      <w:pPr>
        <w:jc w:val="both"/>
        <w:ind w:firstLine="434"/>
        <w:spacing w:after="0" w:line="316"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the corporation’s certificate of incorporation or bylaws requires a greater percentage. The Charter and the Bylaws provide that approval by the holders of at least 66.67% of the voting power of the outstanding voting stock of the Company is required to amend the provisions of the Charter and the Bylaws previously discussed, respectively, and certain other provisions. The combination of our staggered Board, the lack of cumulative voting and the 66.67% stockholder voting requirements will make it more difficult for existing stockholders to replace the Board as well as for another party to obtain control of us by replacing the Board. Because the Board has the power to retain and discharge our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control of us.</w:t>
      </w:r>
    </w:p>
    <w:p>
      <w:pPr>
        <w:spacing w:after="0" w:line="167" w:lineRule="exact"/>
        <w:rPr>
          <w:sz w:val="20"/>
          <w:szCs w:val="20"/>
          <w:color w:val="auto"/>
        </w:rPr>
      </w:pPr>
    </w:p>
    <w:p>
      <w:pPr>
        <w:jc w:val="both"/>
        <w:ind w:firstLine="434"/>
        <w:spacing w:after="0" w:line="318" w:lineRule="auto"/>
        <w:rPr>
          <w:sz w:val="20"/>
          <w:szCs w:val="20"/>
          <w:color w:val="auto"/>
        </w:rPr>
      </w:pPr>
      <w:r>
        <w:rPr>
          <w:rFonts w:ascii="Arial" w:cs="Arial" w:eastAsia="Arial" w:hAnsi="Arial"/>
          <w:sz w:val="16"/>
          <w:szCs w:val="16"/>
          <w:color w:val="auto"/>
        </w:rPr>
        <w:t>These provisions may have the effect of deterring hostile takeovers or delaying changes in control or management of us. These provisions are intended to enhance the likelihood of continued stability in the composition of the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ectPr>
          <w:pgSz w:w="11900" w:h="16838" w:orient="portrait"/>
          <w:cols w:equalWidth="0" w:num="1">
            <w:col w:w="11240"/>
          </w:cols>
          <w:pgMar w:left="320" w:top="13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CARRIAGE SERVICES, INC.</w:t>
      </w:r>
    </w:p>
    <w:p>
      <w:pPr>
        <w:jc w:val="center"/>
        <w:spacing w:after="0" w:line="209" w:lineRule="auto"/>
        <w:rPr>
          <w:sz w:val="20"/>
          <w:szCs w:val="20"/>
          <w:color w:val="auto"/>
        </w:rPr>
      </w:pPr>
      <w:r>
        <w:rPr>
          <w:rFonts w:ascii="Arial" w:cs="Arial" w:eastAsia="Arial" w:hAnsi="Arial"/>
          <w:sz w:val="21"/>
          <w:szCs w:val="21"/>
          <w:color w:val="auto"/>
        </w:rPr>
        <w:t>("Carriage")</w:t>
      </w:r>
    </w:p>
    <w:p>
      <w:pPr>
        <w:jc w:val="center"/>
        <w:spacing w:after="0" w:line="209" w:lineRule="auto"/>
        <w:rPr>
          <w:sz w:val="20"/>
          <w:szCs w:val="20"/>
          <w:color w:val="auto"/>
        </w:rPr>
      </w:pPr>
      <w:r>
        <w:rPr>
          <w:rFonts w:ascii="Arial" w:cs="Arial" w:eastAsia="Arial" w:hAnsi="Arial"/>
          <w:sz w:val="21"/>
          <w:szCs w:val="21"/>
          <w:u w:val="single" w:color="auto"/>
          <w:color w:val="auto"/>
        </w:rPr>
        <w:t>Director Compensation Policy</w:t>
      </w:r>
    </w:p>
    <w:p>
      <w:pPr>
        <w:jc w:val="center"/>
        <w:spacing w:after="0"/>
        <w:rPr>
          <w:sz w:val="20"/>
          <w:szCs w:val="20"/>
          <w:color w:val="auto"/>
        </w:rPr>
      </w:pPr>
      <w:r>
        <w:rPr>
          <w:rFonts w:ascii="Arial" w:cs="Arial" w:eastAsia="Arial" w:hAnsi="Arial"/>
          <w:sz w:val="21"/>
          <w:szCs w:val="21"/>
          <w:color w:val="auto"/>
        </w:rPr>
        <w:t>(Revised and Effective February 19, 2020)</w:t>
      </w:r>
    </w:p>
    <w:p>
      <w:pPr>
        <w:spacing w:after="0" w:line="200" w:lineRule="exact"/>
        <w:rPr>
          <w:sz w:val="20"/>
          <w:szCs w:val="20"/>
          <w:color w:val="auto"/>
        </w:rPr>
      </w:pPr>
    </w:p>
    <w:p>
      <w:pPr>
        <w:spacing w:after="0" w:line="225" w:lineRule="exact"/>
        <w:rPr>
          <w:sz w:val="20"/>
          <w:szCs w:val="20"/>
          <w:color w:val="auto"/>
        </w:rPr>
      </w:pPr>
    </w:p>
    <w:p>
      <w:pPr>
        <w:ind w:left="640" w:hanging="635"/>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right="20" w:hanging="3"/>
        <w:spacing w:after="0" w:line="285" w:lineRule="auto"/>
        <w:tabs>
          <w:tab w:leader="none" w:pos="1200"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 Any Carriage director who meets the independence requirements of the New York Stock Exchange (or such other exchange or quotation system upon which the shares of its Common Stock are listed or quoted).</w:t>
      </w:r>
    </w:p>
    <w:p>
      <w:pPr>
        <w:spacing w:after="0" w:line="112" w:lineRule="exact"/>
        <w:rPr>
          <w:rFonts w:ascii="Arial" w:cs="Arial" w:eastAsia="Arial" w:hAnsi="Arial"/>
          <w:sz w:val="19"/>
          <w:szCs w:val="19"/>
          <w:color w:val="auto"/>
        </w:rPr>
      </w:pPr>
    </w:p>
    <w:p>
      <w:pPr>
        <w:ind w:left="640" w:hanging="3"/>
        <w:spacing w:after="0" w:line="237" w:lineRule="auto"/>
        <w:tabs>
          <w:tab w:leader="none" w:pos="1175"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Management Director</w:t>
      </w:r>
      <w:r>
        <w:rPr>
          <w:rFonts w:ascii="Arial" w:cs="Arial" w:eastAsia="Arial" w:hAnsi="Arial"/>
          <w:sz w:val="21"/>
          <w:szCs w:val="21"/>
          <w:color w:val="auto"/>
        </w:rPr>
        <w:t xml:space="preserve"> - Any Carriage director who does not qualify as an Independent Director. No Management Director shall receive compensation pursuant to this policy.</w:t>
      </w:r>
    </w:p>
    <w:p>
      <w:pPr>
        <w:spacing w:after="0" w:line="154" w:lineRule="exact"/>
        <w:rPr>
          <w:rFonts w:ascii="Arial" w:cs="Arial" w:eastAsia="Arial" w:hAnsi="Arial"/>
          <w:sz w:val="21"/>
          <w:szCs w:val="21"/>
          <w:color w:val="auto"/>
        </w:rPr>
      </w:pPr>
    </w:p>
    <w:p>
      <w:pPr>
        <w:ind w:left="640" w:hanging="635"/>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Retainer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640" w:hanging="3"/>
        <w:spacing w:after="0" w:line="228" w:lineRule="auto"/>
        <w:tabs>
          <w:tab w:leader="none" w:pos="1082"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Each Independent Director is entitled to an annual retainer of $140,000, payable in quarterly installments of $35,000 each at the end of each quarter. The amount of the retainer is subject to proration if the individual is an Independent Director eligible to receive the retainer for less than the full period in question.</w:t>
      </w:r>
    </w:p>
    <w:p>
      <w:pPr>
        <w:spacing w:after="0" w:line="153" w:lineRule="exact"/>
        <w:rPr>
          <w:rFonts w:ascii="Arial" w:cs="Arial" w:eastAsia="Arial" w:hAnsi="Arial"/>
          <w:sz w:val="21"/>
          <w:szCs w:val="21"/>
          <w:color w:val="auto"/>
        </w:rPr>
      </w:pPr>
    </w:p>
    <w:p>
      <w:pPr>
        <w:jc w:val="both"/>
        <w:ind w:left="640" w:hanging="3"/>
        <w:spacing w:after="0" w:line="228" w:lineRule="auto"/>
        <w:tabs>
          <w:tab w:leader="none" w:pos="1096"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Lead Director</w:t>
      </w:r>
      <w:r>
        <w:rPr>
          <w:rFonts w:ascii="Arial" w:cs="Arial" w:eastAsia="Arial" w:hAnsi="Arial"/>
          <w:sz w:val="21"/>
          <w:szCs w:val="21"/>
          <w:color w:val="auto"/>
        </w:rPr>
        <w:t>. The Lead Director shall be entitled to an additional annual retainer of $10,000, payable in quarterly installments of $2,500 each at the end of each quarter. The amount of the retainer is subject to proration if the individual is a Lead Director eligible to receive the retainer for less than the full period in question.</w:t>
      </w:r>
    </w:p>
    <w:p>
      <w:pPr>
        <w:spacing w:after="0" w:line="153" w:lineRule="exact"/>
        <w:rPr>
          <w:rFonts w:ascii="Arial" w:cs="Arial" w:eastAsia="Arial" w:hAnsi="Arial"/>
          <w:sz w:val="21"/>
          <w:szCs w:val="21"/>
          <w:color w:val="auto"/>
        </w:rPr>
      </w:pPr>
    </w:p>
    <w:p>
      <w:pPr>
        <w:jc w:val="both"/>
        <w:ind w:left="640" w:hanging="3"/>
        <w:spacing w:after="0" w:line="218" w:lineRule="auto"/>
        <w:tabs>
          <w:tab w:leader="none" w:pos="1162"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Committee Chair</w:t>
      </w:r>
      <w:r>
        <w:rPr>
          <w:rFonts w:ascii="Arial" w:cs="Arial" w:eastAsia="Arial" w:hAnsi="Arial"/>
          <w:sz w:val="21"/>
          <w:szCs w:val="21"/>
          <w:color w:val="auto"/>
        </w:rPr>
        <w:t>. The Chair of the Audit Committee shall be entitled to an additional annual retainer of $10,000, payable in quarterly installments of $2,500 each at the end of each quarter. The Chair of the Corporate Governance/Nominating Committee and the Chair of the Compensation Committee will receive an additional annual retainer of $5,000 payable in quarterly installments of $1,250 each at the end of each quarter. The amount of each retainer is subject to proration if the individual is a Committee Chairperson eligible to receive the retainer for less than the full period in question.</w:t>
      </w:r>
    </w:p>
    <w:p>
      <w:pPr>
        <w:spacing w:after="0" w:line="157" w:lineRule="exact"/>
        <w:rPr>
          <w:rFonts w:ascii="Arial" w:cs="Arial" w:eastAsia="Arial" w:hAnsi="Arial"/>
          <w:sz w:val="21"/>
          <w:szCs w:val="21"/>
          <w:color w:val="auto"/>
        </w:rPr>
      </w:pPr>
    </w:p>
    <w:p>
      <w:pPr>
        <w:jc w:val="both"/>
        <w:ind w:left="640" w:hanging="3"/>
        <w:spacing w:after="0" w:line="242" w:lineRule="auto"/>
        <w:tabs>
          <w:tab w:leader="none" w:pos="105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Common Stock Election</w:t>
      </w:r>
      <w:r>
        <w:rPr>
          <w:rFonts w:ascii="Arial" w:cs="Arial" w:eastAsia="Arial" w:hAnsi="Arial"/>
          <w:sz w:val="19"/>
          <w:szCs w:val="19"/>
          <w:color w:val="auto"/>
        </w:rPr>
        <w:t>. Any Carriage director entitled to a retainer as set forth under A, B, and C, may elect to receive such retainer, in total or a designated portion, in unrestricted shares of Carriage's Common Stock, $.01 par value ("Common Stock") by providing written notice to Carriage in the form set forth on Exhibit A hereto. The number of shares of such Common Stock shall be determined by dividing the elected amount by the closing price of Carriage’s Common Stock on the date of grant, which shall be the last business day of each quarter. Such Common Stock, shall vest immediately. Any written notice to receive the retainer in Common Stock shall remain effective until notice otherwise is made in writing to Carriage.</w:t>
      </w:r>
    </w:p>
    <w:p>
      <w:pPr>
        <w:spacing w:after="0" w:line="151" w:lineRule="exact"/>
        <w:rPr>
          <w:rFonts w:ascii="Arial" w:cs="Arial" w:eastAsia="Arial" w:hAnsi="Arial"/>
          <w:sz w:val="19"/>
          <w:szCs w:val="19"/>
          <w:color w:val="auto"/>
        </w:rPr>
      </w:pPr>
    </w:p>
    <w:p>
      <w:pPr>
        <w:ind w:left="640" w:hanging="3"/>
        <w:spacing w:after="0" w:line="237" w:lineRule="auto"/>
        <w:tabs>
          <w:tab w:leader="none" w:pos="1089"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measurement period for the services provided under A, B &amp; C commences on the date of the Annual Meeting of Stockholders.</w:t>
      </w:r>
    </w:p>
    <w:p>
      <w:pPr>
        <w:spacing w:after="0" w:line="154" w:lineRule="exact"/>
        <w:rPr>
          <w:rFonts w:ascii="Arial" w:cs="Arial" w:eastAsia="Arial" w:hAnsi="Arial"/>
          <w:sz w:val="21"/>
          <w:szCs w:val="21"/>
          <w:color w:val="auto"/>
        </w:rPr>
      </w:pPr>
    </w:p>
    <w:p>
      <w:pPr>
        <w:ind w:left="640" w:hanging="635"/>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Attendance at Board Meetings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hanging="3"/>
        <w:spacing w:after="0" w:line="285" w:lineRule="auto"/>
        <w:tabs>
          <w:tab w:leader="none" w:pos="1068"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All Directors are entitled to be reimbursed for reasonable out-of-pocket travel and lodging expenses in attending Board and Committee meetings in person, in accordance with Carriage's travel and entertainment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1</w:t>
      </w:r>
      <w:r>
        <w:rPr>
          <w:rFonts w:ascii="Arial" w:cs="Arial" w:eastAsia="Arial" w:hAnsi="Arial"/>
          <w:sz w:val="21"/>
          <w:szCs w:val="21"/>
          <w:color w:val="auto"/>
        </w:rPr>
        <w:t xml:space="preserve"> of </w:t>
      </w:r>
      <w:r>
        <w:rPr>
          <w:rFonts w:ascii="Arial" w:cs="Arial" w:eastAsia="Arial" w:hAnsi="Arial"/>
          <w:sz w:val="21"/>
          <w:szCs w:val="21"/>
          <w:b w:val="1"/>
          <w:bCs w:val="1"/>
          <w:color w:val="auto"/>
        </w:rPr>
        <w:t>1</w:t>
      </w:r>
    </w:p>
    <w:p>
      <w:pPr>
        <w:spacing w:after="0" w:line="206" w:lineRule="auto"/>
        <w:rPr>
          <w:sz w:val="20"/>
          <w:szCs w:val="20"/>
          <w:color w:val="auto"/>
        </w:rPr>
      </w:pPr>
      <w:r>
        <w:rPr>
          <w:rFonts w:ascii="Arial" w:cs="Arial" w:eastAsia="Arial" w:hAnsi="Arial"/>
          <w:sz w:val="16"/>
          <w:szCs w:val="16"/>
          <w:color w:val="auto"/>
        </w:rPr>
        <w:t>Director Compensation Policy</w:t>
      </w:r>
    </w:p>
    <w:p>
      <w:pPr>
        <w:spacing w:after="0"/>
        <w:rPr>
          <w:sz w:val="20"/>
          <w:szCs w:val="20"/>
          <w:color w:val="auto"/>
        </w:rPr>
      </w:pPr>
      <w:r>
        <w:rPr>
          <w:rFonts w:ascii="Arial" w:cs="Arial" w:eastAsia="Arial" w:hAnsi="Arial"/>
          <w:sz w:val="16"/>
          <w:szCs w:val="16"/>
          <w:color w:val="auto"/>
        </w:rPr>
        <w:t>Effective 2/19/2020</w:t>
      </w:r>
    </w:p>
    <w:p>
      <w:pPr>
        <w:sectPr>
          <w:pgSz w:w="11900" w:h="16838" w:orient="portrait"/>
          <w:cols w:equalWidth="0" w:num="1">
            <w:col w:w="11240"/>
          </w:cols>
          <w:pgMar w:left="320" w:top="108"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B. All meeting fees and reimbursement shall be made at the end of the quarter in which the meeting was held and the request for reimbursement made.</w:t>
      </w:r>
    </w:p>
    <w:p>
      <w:pPr>
        <w:spacing w:after="0" w:line="154" w:lineRule="exact"/>
        <w:rPr>
          <w:sz w:val="20"/>
          <w:szCs w:val="20"/>
          <w:color w:val="auto"/>
        </w:rPr>
      </w:pPr>
    </w:p>
    <w:p>
      <w:pPr>
        <w:jc w:val="both"/>
        <w:ind w:left="640" w:hanging="635"/>
        <w:spacing w:after="0" w:line="231" w:lineRule="auto"/>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New Directorship</w:t>
      </w:r>
      <w:r>
        <w:rPr>
          <w:rFonts w:ascii="Arial" w:cs="Arial" w:eastAsia="Arial" w:hAnsi="Arial"/>
          <w:sz w:val="20"/>
          <w:szCs w:val="20"/>
          <w:color w:val="auto"/>
        </w:rPr>
        <w:t>. Any new Independent Director will receive, upon admission to the Board, a grant of $25,000 (in addition to the independent director annual retainer prorated at the time the new director is admitted to the Board) which grant can be taken in cash, unrestricted shares of Common Stock, or a combination thereof. The number of shares of such Common Stock shall be determined by dividing the cash amount by the closing price of Carriage’s Common Stock on the date of grant, which shall be the date of admission to the Board. Such Common Stock, shall vest immediately.</w:t>
      </w:r>
    </w:p>
    <w:p>
      <w:pPr>
        <w:spacing w:after="0" w:line="156" w:lineRule="exact"/>
        <w:rPr>
          <w:rFonts w:ascii="Arial" w:cs="Arial" w:eastAsia="Arial" w:hAnsi="Arial"/>
          <w:sz w:val="20"/>
          <w:szCs w:val="20"/>
          <w:color w:val="auto"/>
        </w:rPr>
      </w:pPr>
    </w:p>
    <w:p>
      <w:pPr>
        <w:jc w:val="both"/>
        <w:ind w:left="640" w:hanging="635"/>
        <w:spacing w:after="0" w:line="228" w:lineRule="auto"/>
        <w:tabs>
          <w:tab w:leader="none" w:pos="64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Registration</w:t>
      </w:r>
      <w:r>
        <w:rPr>
          <w:rFonts w:ascii="Arial" w:cs="Arial" w:eastAsia="Arial" w:hAnsi="Arial"/>
          <w:sz w:val="21"/>
          <w:szCs w:val="21"/>
          <w:color w:val="auto"/>
        </w:rPr>
        <w:t>. It is intended that Common Stock issued under Paragraphs 4 hereof will be registered under federal and state securities laws in accordance with any Registration Statement which is filed and becomes effective in connection with any Incentive Plan under which such Common Stock is issued.</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This Policy becomes effective immediately and applies to meetings attended February 19, 2020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2</w:t>
      </w:r>
      <w:r>
        <w:rPr>
          <w:rFonts w:ascii="Arial" w:cs="Arial" w:eastAsia="Arial" w:hAnsi="Arial"/>
          <w:sz w:val="21"/>
          <w:szCs w:val="21"/>
          <w:color w:val="auto"/>
        </w:rPr>
        <w:t xml:space="preserve"> of </w:t>
      </w:r>
      <w:r>
        <w:rPr>
          <w:rFonts w:ascii="Arial" w:cs="Arial" w:eastAsia="Arial" w:hAnsi="Arial"/>
          <w:sz w:val="21"/>
          <w:szCs w:val="21"/>
          <w:b w:val="1"/>
          <w:bCs w:val="1"/>
          <w:color w:val="auto"/>
        </w:rPr>
        <w:t>2</w:t>
      </w:r>
    </w:p>
    <w:p>
      <w:pPr>
        <w:spacing w:after="0" w:line="206" w:lineRule="auto"/>
        <w:rPr>
          <w:sz w:val="20"/>
          <w:szCs w:val="20"/>
          <w:color w:val="auto"/>
        </w:rPr>
      </w:pPr>
      <w:r>
        <w:rPr>
          <w:rFonts w:ascii="Arial" w:cs="Arial" w:eastAsia="Arial" w:hAnsi="Arial"/>
          <w:sz w:val="16"/>
          <w:szCs w:val="16"/>
          <w:color w:val="auto"/>
        </w:rPr>
        <w:t>Director Compensation Policy</w:t>
      </w:r>
    </w:p>
    <w:p>
      <w:pPr>
        <w:spacing w:after="0"/>
        <w:rPr>
          <w:sz w:val="20"/>
          <w:szCs w:val="20"/>
          <w:color w:val="auto"/>
        </w:rPr>
      </w:pPr>
      <w:r>
        <w:rPr>
          <w:rFonts w:ascii="Arial" w:cs="Arial" w:eastAsia="Arial" w:hAnsi="Arial"/>
          <w:sz w:val="16"/>
          <w:szCs w:val="16"/>
          <w:color w:val="auto"/>
        </w:rPr>
        <w:t>Effective 2/19/2020</w:t>
      </w:r>
    </w:p>
    <w:p>
      <w:pPr>
        <w:sectPr>
          <w:pgSz w:w="11900" w:h="16838" w:orient="portrait"/>
          <w:cols w:equalWidth="0" w:num="1">
            <w:col w:w="11240"/>
          </w:cols>
          <w:pgMar w:left="320" w:top="10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212121"/>
        </w:rPr>
        <w:t>To the Principal Financial Officer of Carriage Services, Inc.:</w:t>
      </w:r>
    </w:p>
    <w:p>
      <w:pPr>
        <w:spacing w:after="0" w:line="140" w:lineRule="exact"/>
        <w:rPr>
          <w:sz w:val="20"/>
          <w:szCs w:val="20"/>
          <w:color w:val="auto"/>
        </w:rPr>
      </w:pPr>
    </w:p>
    <w:p>
      <w:pPr>
        <w:jc w:val="both"/>
        <w:spacing w:after="0" w:line="392" w:lineRule="auto"/>
        <w:rPr>
          <w:sz w:val="20"/>
          <w:szCs w:val="20"/>
          <w:color w:val="auto"/>
        </w:rPr>
      </w:pPr>
      <w:r>
        <w:rPr>
          <w:rFonts w:ascii="Arial" w:cs="Arial" w:eastAsia="Arial" w:hAnsi="Arial"/>
          <w:sz w:val="21"/>
          <w:szCs w:val="21"/>
          <w:color w:val="212121"/>
        </w:rPr>
        <w:t>Pursuant to Section Two of the Director Compensation Policy, I hereby elect to receive my applicable retainers in unrestricted shares of Carriage's Common Stock, $.01 par value. I understand that this is a standing election, which will remain in effect until I provide written notice otherwise to the Principal Financial Officer of Carriage Services, Inc.</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212121"/>
        </w:rPr>
        <w:t>By: 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212121"/>
        </w:rPr>
        <w:t>Printed Name: 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212121"/>
        </w:rPr>
        <w:t>Date: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3</w:t>
      </w:r>
      <w:r>
        <w:rPr>
          <w:rFonts w:ascii="Arial" w:cs="Arial" w:eastAsia="Arial" w:hAnsi="Arial"/>
          <w:sz w:val="21"/>
          <w:szCs w:val="21"/>
          <w:color w:val="auto"/>
        </w:rPr>
        <w:t xml:space="preserve"> of </w:t>
      </w:r>
      <w:r>
        <w:rPr>
          <w:rFonts w:ascii="Arial" w:cs="Arial" w:eastAsia="Arial" w:hAnsi="Arial"/>
          <w:sz w:val="21"/>
          <w:szCs w:val="21"/>
          <w:b w:val="1"/>
          <w:bCs w:val="1"/>
          <w:color w:val="auto"/>
        </w:rPr>
        <w:t>3</w:t>
      </w:r>
    </w:p>
    <w:p>
      <w:pPr>
        <w:spacing w:after="0" w:line="206" w:lineRule="auto"/>
        <w:rPr>
          <w:sz w:val="20"/>
          <w:szCs w:val="20"/>
          <w:color w:val="auto"/>
        </w:rPr>
      </w:pPr>
      <w:r>
        <w:rPr>
          <w:rFonts w:ascii="Arial" w:cs="Arial" w:eastAsia="Arial" w:hAnsi="Arial"/>
          <w:sz w:val="16"/>
          <w:szCs w:val="16"/>
          <w:color w:val="auto"/>
        </w:rPr>
        <w:t>Director Compensation Policy</w:t>
      </w:r>
    </w:p>
    <w:p>
      <w:pPr>
        <w:spacing w:after="0"/>
        <w:rPr>
          <w:sz w:val="20"/>
          <w:szCs w:val="20"/>
          <w:color w:val="auto"/>
        </w:rPr>
      </w:pPr>
      <w:r>
        <w:rPr>
          <w:rFonts w:ascii="Arial" w:cs="Arial" w:eastAsia="Arial" w:hAnsi="Arial"/>
          <w:sz w:val="16"/>
          <w:szCs w:val="16"/>
          <w:color w:val="auto"/>
        </w:rPr>
        <w:t>Effective 2/19/2020</w:t>
      </w:r>
    </w:p>
    <w:p>
      <w:pPr>
        <w:sectPr>
          <w:pgSz w:w="11900" w:h="16838" w:orient="portrait"/>
          <w:cols w:equalWidth="0" w:num="1">
            <w:col w:w="11240"/>
          </w:cols>
          <w:pgMar w:left="320" w:top="108"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EMPLOYMENT AGREEMENT</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November ___, 2019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Carriage Services,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Steve Metzger (hereafter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Executive may sometimes hereafter be referred to singularly as a “</w:t>
      </w:r>
      <w:r>
        <w:rPr>
          <w:rFonts w:ascii="Arial" w:cs="Arial" w:eastAsia="Arial" w:hAnsi="Arial"/>
          <w:sz w:val="21"/>
          <w:szCs w:val="21"/>
          <w:u w:val="single" w:color="auto"/>
          <w:color w:val="auto"/>
        </w:rPr>
        <w:t>Party</w:t>
      </w:r>
      <w:r>
        <w:rPr>
          <w:rFonts w:ascii="Arial" w:cs="Arial" w:eastAsia="Arial" w:hAnsi="Arial"/>
          <w:sz w:val="21"/>
          <w:szCs w:val="21"/>
          <w:color w:val="auto"/>
        </w:rPr>
        <w:t>” or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WITNESSETH:</w:t>
      </w:r>
    </w:p>
    <w:p>
      <w:pPr>
        <w:spacing w:after="0" w:line="180"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continue to secure the employment services of Executive subject to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hereafter set forth;</w:t>
      </w:r>
    </w:p>
    <w:p>
      <w:pPr>
        <w:spacing w:after="0" w:line="147"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Executive’s continued employment with the Company, and the premises and</w:t>
      </w:r>
      <w:r>
        <w:rPr>
          <w:rFonts w:ascii="Arial" w:cs="Arial" w:eastAsia="Arial" w:hAnsi="Arial"/>
          <w:sz w:val="21"/>
          <w:szCs w:val="21"/>
          <w:b w:val="1"/>
          <w:bCs w:val="1"/>
          <w:color w:val="auto"/>
        </w:rPr>
        <w:t xml:space="preserve"> </w:t>
      </w:r>
      <w:r>
        <w:rPr>
          <w:rFonts w:ascii="Arial" w:cs="Arial" w:eastAsia="Arial" w:hAnsi="Arial"/>
          <w:sz w:val="21"/>
          <w:szCs w:val="21"/>
          <w:color w:val="auto"/>
        </w:rPr>
        <w:t>mutual covenants contained herein, the Parties hereto agree as follows:</w:t>
      </w:r>
    </w:p>
    <w:p>
      <w:pPr>
        <w:spacing w:after="0" w:line="291" w:lineRule="exact"/>
        <w:rPr>
          <w:sz w:val="20"/>
          <w:szCs w:val="20"/>
          <w:color w:val="auto"/>
        </w:rPr>
      </w:pPr>
    </w:p>
    <w:p>
      <w:pPr>
        <w:jc w:val="both"/>
        <w:ind w:firstLine="5"/>
        <w:spacing w:after="0" w:line="517" w:lineRule="auto"/>
        <w:tabs>
          <w:tab w:leader="none" w:pos="632"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Position and Defined Terms</w:t>
      </w:r>
      <w:r>
        <w:rPr>
          <w:rFonts w:ascii="Arial" w:cs="Arial" w:eastAsia="Arial" w:hAnsi="Arial"/>
          <w:sz w:val="20"/>
          <w:szCs w:val="20"/>
          <w:color w:val="auto"/>
        </w:rPr>
        <w:t>. During the Employment Period (as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color w:val="auto"/>
        </w:rPr>
        <w:t xml:space="preserve"> </w:t>
      </w:r>
      <w:hyperlink w:anchor="page130">
        <w:r>
          <w:rPr>
            <w:rFonts w:ascii="Arial" w:cs="Arial" w:eastAsia="Arial" w:hAnsi="Arial"/>
            <w:sz w:val="20"/>
            <w:szCs w:val="20"/>
            <w:color w:val="0000FF"/>
          </w:rPr>
          <w:t>4)</w:t>
        </w:r>
      </w:hyperlink>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employ Executive, and Executive shall serve, as Senior Vice President and General Counsel of the Company. Executive shall also serve as an officer of any subsidiary of the Company as may be requested by the Company. Executive shall perform such other duties which are from time to time assigned to him and are not inconsistent with the provisions hereof. Executive’s principal place of Employment shall be at the main business offices of the Company in Houston, Texas. Defined terms used in the Agreement that are not otherwise defined herein when first used are defined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hyperlink w:anchor="page130">
        <w:r>
          <w:rPr>
            <w:rFonts w:ascii="Arial" w:cs="Arial" w:eastAsia="Arial" w:hAnsi="Arial"/>
            <w:sz w:val="20"/>
            <w:szCs w:val="20"/>
            <w:color w:val="0000FF"/>
          </w:rPr>
          <w:t>6(g)</w:t>
        </w:r>
        <w:r>
          <w:rPr>
            <w:rFonts w:ascii="Arial" w:cs="Arial" w:eastAsia="Arial" w:hAnsi="Arial"/>
            <w:sz w:val="20"/>
            <w:szCs w:val="20"/>
            <w:color w:val="auto"/>
          </w:rPr>
          <w:t xml:space="preserve"> </w:t>
        </w:r>
      </w:hyperlink>
      <w:r>
        <w:rPr>
          <w:rFonts w:ascii="Arial" w:cs="Arial" w:eastAsia="Arial" w:hAnsi="Arial"/>
          <w:sz w:val="20"/>
          <w:szCs w:val="20"/>
          <w:color w:val="auto"/>
        </w:rPr>
        <w:t xml:space="preserve">and </w:t>
      </w:r>
      <w:hyperlink w:anchor="page130">
        <w:r>
          <w:rPr>
            <w:rFonts w:ascii="Arial" w:cs="Arial" w:eastAsia="Arial" w:hAnsi="Arial"/>
            <w:sz w:val="20"/>
            <w:szCs w:val="20"/>
            <w:u w:val="single" w:color="auto"/>
            <w:color w:val="0000FF"/>
          </w:rPr>
          <w:t>10(d).</w:t>
        </w:r>
      </w:hyperlink>
    </w:p>
    <w:p>
      <w:pPr>
        <w:spacing w:after="0" w:line="14" w:lineRule="exact"/>
        <w:rPr>
          <w:rFonts w:ascii="Arial" w:cs="Arial" w:eastAsia="Arial" w:hAnsi="Arial"/>
          <w:sz w:val="20"/>
          <w:szCs w:val="20"/>
          <w:color w:val="auto"/>
        </w:rPr>
      </w:pPr>
    </w:p>
    <w:p>
      <w:pPr>
        <w:ind w:left="640" w:hanging="635"/>
        <w:spacing w:after="0"/>
        <w:tabs>
          <w:tab w:leader="none" w:pos="64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29" w:lineRule="auto"/>
        <w:tabs>
          <w:tab w:leader="none" w:pos="1260" w:val="left"/>
        </w:tabs>
        <w:numPr>
          <w:ilvl w:val="1"/>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Company shall pay to Executive during the Employment Period an annual salary at a rate of not 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than Two Hundred Fifty Thousand Dollars ($250,000.00) per full calendar year of service (the “</w:t>
      </w:r>
      <w:r>
        <w:rPr>
          <w:rFonts w:ascii="Arial" w:cs="Arial" w:eastAsia="Arial" w:hAnsi="Arial"/>
          <w:sz w:val="20"/>
          <w:szCs w:val="20"/>
          <w:u w:val="single" w:color="auto"/>
          <w:color w:val="auto"/>
        </w:rPr>
        <w:t>Base Salary</w:t>
      </w:r>
      <w:r>
        <w:rPr>
          <w:rFonts w:ascii="Arial" w:cs="Arial" w:eastAsia="Arial" w:hAnsi="Arial"/>
          <w:sz w:val="20"/>
          <w:szCs w:val="20"/>
          <w:color w:val="auto"/>
        </w:rPr>
        <w:t>”). Executive’s Base Salary may increase at the discretion of the Compensation Committee or its duly authorized delegate and shall be paid in equal installments in accordance with the Company’s standard policy regarding payment of compensation to similarly situated employees, but no less frequently than monthly. Nothing contained herein shall preclude the payment of any other compensation to Executive at any time as determined by the Compensation Committee.</w:t>
      </w:r>
    </w:p>
    <w:p>
      <w:pPr>
        <w:spacing w:after="0" w:line="157" w:lineRule="exact"/>
        <w:rPr>
          <w:rFonts w:ascii="Arial" w:cs="Arial" w:eastAsia="Arial" w:hAnsi="Arial"/>
          <w:sz w:val="20"/>
          <w:szCs w:val="20"/>
          <w:color w:val="auto"/>
        </w:rPr>
      </w:pPr>
    </w:p>
    <w:p>
      <w:pPr>
        <w:jc w:val="both"/>
        <w:ind w:firstLine="637"/>
        <w:spacing w:after="0"/>
        <w:tabs>
          <w:tab w:leader="none" w:pos="1259" w:val="left"/>
        </w:tabs>
        <w:numPr>
          <w:ilvl w:val="1"/>
          <w:numId w:val="4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In addition to the Base Salary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i w:val="1"/>
          <w:iCs w:val="1"/>
          <w:color w:val="auto"/>
        </w:rPr>
        <w:t xml:space="preserve"> </w:t>
      </w:r>
      <w:hyperlink w:anchor="page130">
        <w:r>
          <w:rPr>
            <w:rFonts w:ascii="Arial" w:cs="Arial" w:eastAsia="Arial" w:hAnsi="Arial"/>
            <w:sz w:val="19"/>
            <w:szCs w:val="19"/>
            <w:u w:val="single" w:color="auto"/>
            <w:color w:val="0000FF"/>
          </w:rPr>
          <w:t>2(a),</w:t>
        </w:r>
        <w:r>
          <w:rPr>
            <w:rFonts w:ascii="Arial" w:cs="Arial" w:eastAsia="Arial" w:hAnsi="Arial"/>
            <w:sz w:val="19"/>
            <w:szCs w:val="19"/>
            <w:b w:val="1"/>
            <w:bCs w:val="1"/>
            <w:i w:val="1"/>
            <w:iCs w:val="1"/>
            <w:u w:val="single" w:color="auto"/>
            <w:color w:val="auto"/>
          </w:rPr>
          <w:t xml:space="preserve"> </w:t>
        </w:r>
      </w:hyperlink>
      <w:r>
        <w:rPr>
          <w:rFonts w:ascii="Arial" w:cs="Arial" w:eastAsia="Arial" w:hAnsi="Arial"/>
          <w:sz w:val="19"/>
          <w:szCs w:val="19"/>
          <w:color w:val="auto"/>
        </w:rPr>
        <w:t>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eligible for an annual, discretionary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incentive award (the “</w:t>
      </w:r>
      <w:r>
        <w:rPr>
          <w:rFonts w:ascii="Arial" w:cs="Arial" w:eastAsia="Arial" w:hAnsi="Arial"/>
          <w:sz w:val="19"/>
          <w:szCs w:val="19"/>
          <w:u w:val="single" w:color="auto"/>
          <w:color w:val="auto"/>
        </w:rPr>
        <w:t>Annual Bonus</w:t>
      </w:r>
      <w:r>
        <w:rPr>
          <w:rFonts w:ascii="Arial" w:cs="Arial" w:eastAsia="Arial" w:hAnsi="Arial"/>
          <w:sz w:val="19"/>
          <w:szCs w:val="19"/>
          <w:color w:val="auto"/>
        </w:rPr>
        <w:t>”) for each full calendar year that he is employed hereunder, as determined in the sole discretion of the Compensation Committee (or its duly authorized delegate) upon consideration of, among other things, corporate and individual performance for the year. The Annual Bonus shall be payable before March 15 of the year following the calendar year to which the Annual Bonus relates, following the certification of applicable year-end financial results. Executive must be employed by the Company on the payment date in order to earn and receive an Annual Bonus and thus Executive shall have no entitlement to any Annual Bonus before that date. The Executive’s “</w:t>
      </w:r>
      <w:r>
        <w:rPr>
          <w:rFonts w:ascii="Arial" w:cs="Arial" w:eastAsia="Arial" w:hAnsi="Arial"/>
          <w:sz w:val="19"/>
          <w:szCs w:val="19"/>
          <w:u w:val="single" w:color="auto"/>
          <w:color w:val="auto"/>
        </w:rPr>
        <w:t>Target Annual Bonus</w:t>
      </w:r>
      <w:r>
        <w:rPr>
          <w:rFonts w:ascii="Arial" w:cs="Arial" w:eastAsia="Arial" w:hAnsi="Arial"/>
          <w:sz w:val="19"/>
          <w:szCs w:val="19"/>
          <w:color w:val="auto"/>
        </w:rPr>
        <w:t>” shall be established by</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-3931920</wp:posOffset>
            </wp:positionV>
            <wp:extent cx="1530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-2385695</wp:posOffset>
            </wp:positionV>
            <wp:extent cx="2895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rFonts w:ascii="Arial" w:cs="Arial" w:eastAsia="Arial" w:hAnsi="Arial"/>
          <w:sz w:val="20"/>
          <w:szCs w:val="20"/>
          <w:color w:val="auto"/>
        </w:rPr>
      </w:pPr>
    </w:p>
    <w:p>
      <w:pPr>
        <w:spacing w:after="0" w:line="377" w:lineRule="exact"/>
        <w:rPr>
          <w:rFonts w:ascii="Arial" w:cs="Arial" w:eastAsia="Arial" w:hAnsi="Arial"/>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1</w:t>
            </w:r>
          </w:p>
        </w:tc>
      </w:tr>
    </w:tbl>
    <w:p>
      <w:pPr>
        <w:sectPr>
          <w:pgSz w:w="11900" w:h="16838" w:orient="portrait"/>
          <w:cols w:equalWidth="0" w:num="1">
            <w:col w:w="11240"/>
          </w:cols>
          <w:pgMar w:left="320" w:top="10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the Compensation Committee, or its duly authorized delegate, at the beginning of each year and shall be a percentage of Executive’s Base Salary, not to be less than 50% (it being understood that the actual Annual Bonus eventually earned could be lesser or greater than the Target Annual Bonus).</w:t>
      </w:r>
    </w:p>
    <w:p>
      <w:pPr>
        <w:spacing w:after="0" w:line="148" w:lineRule="exact"/>
        <w:rPr>
          <w:sz w:val="20"/>
          <w:szCs w:val="20"/>
          <w:color w:val="auto"/>
        </w:rPr>
      </w:pPr>
    </w:p>
    <w:p>
      <w:pPr>
        <w:ind w:left="640" w:hanging="635"/>
        <w:spacing w:after="0"/>
        <w:tabs>
          <w:tab w:leader="none" w:pos="64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Duties and Responsibilities of Executive</w:t>
      </w:r>
      <w:r>
        <w:rPr>
          <w:rFonts w:ascii="Arial" w:cs="Arial" w:eastAsia="Arial" w:hAnsi="Arial"/>
          <w:sz w:val="19"/>
          <w:szCs w:val="19"/>
          <w:color w:val="auto"/>
        </w:rPr>
        <w:t>. During the Employment Period, Executive shall devote his full working time to</w:t>
      </w:r>
    </w:p>
    <w:p>
      <w:pPr>
        <w:spacing w:after="0" w:line="16" w:lineRule="exact"/>
        <w:rPr>
          <w:rFonts w:ascii="Arial" w:cs="Arial" w:eastAsia="Arial" w:hAnsi="Arial"/>
          <w:sz w:val="19"/>
          <w:szCs w:val="19"/>
          <w:b w:val="1"/>
          <w:bCs w:val="1"/>
          <w:color w:val="auto"/>
        </w:rPr>
      </w:pPr>
    </w:p>
    <w:p>
      <w:pPr>
        <w:jc w:val="both"/>
        <w:spacing w:after="0" w:line="242" w:lineRule="auto"/>
        <w:rPr>
          <w:rFonts w:ascii="Arial" w:cs="Arial" w:eastAsia="Arial" w:hAnsi="Arial"/>
          <w:sz w:val="19"/>
          <w:szCs w:val="19"/>
          <w:b w:val="1"/>
          <w:bCs w:val="1"/>
          <w:color w:val="auto"/>
        </w:rPr>
      </w:pPr>
      <w:r>
        <w:rPr>
          <w:rFonts w:ascii="Arial" w:cs="Arial" w:eastAsia="Arial" w:hAnsi="Arial"/>
          <w:sz w:val="19"/>
          <w:szCs w:val="19"/>
          <w:color w:val="auto"/>
        </w:rPr>
        <w:t>(a) the business of the Company and its Affiliates and (b) performance of the duties and responsibilities assigned to Executive to the best of Executive’s ability and with reasonable diligence. Executive’s Employment shall also be subject to the policies maintained and established by the Company, as such policies may be amended from time to time. Executive shall at all times use his best efforts to comply in good faith with laws applicable to Executive’s actions on behalf of the Company and its Affiliates.</w:t>
      </w:r>
    </w:p>
    <w:p>
      <w:pPr>
        <w:spacing w:after="0" w:line="147" w:lineRule="exact"/>
        <w:rPr>
          <w:rFonts w:ascii="Arial" w:cs="Arial" w:eastAsia="Arial" w:hAnsi="Arial"/>
          <w:sz w:val="19"/>
          <w:szCs w:val="19"/>
          <w:b w:val="1"/>
          <w:bCs w:val="1"/>
          <w:color w:val="auto"/>
        </w:rPr>
      </w:pPr>
    </w:p>
    <w:p>
      <w:pPr>
        <w:ind w:left="640" w:hanging="635"/>
        <w:spacing w:after="0"/>
        <w:tabs>
          <w:tab w:leader="none" w:pos="64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 Termination Rights</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ind w:firstLine="637"/>
        <w:spacing w:after="0" w:line="237" w:lineRule="auto"/>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 </w:t>
      </w:r>
      <w:r>
        <w:rPr>
          <w:rFonts w:ascii="Arial" w:cs="Arial" w:eastAsia="Arial" w:hAnsi="Arial"/>
          <w:sz w:val="21"/>
          <w:szCs w:val="21"/>
          <w:color w:val="auto"/>
        </w:rPr>
        <w:t>Executive’s term of Employment with the Company under this Agreement shall be for the period from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Effective Date through the date that is three (3) years from the Effective Date (the “</w:t>
      </w:r>
      <w:r>
        <w:rPr>
          <w:rFonts w:ascii="Arial" w:cs="Arial" w:eastAsia="Arial" w:hAnsi="Arial"/>
          <w:sz w:val="21"/>
          <w:szCs w:val="21"/>
          <w:u w:val="single" w:color="auto"/>
          <w:color w:val="auto"/>
        </w:rPr>
        <w:t>Initial Term</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On the third anniversary of the Effective Date, and on each subsequent anniversary thereafter, this Agreement shall automatically renew and extend for a period of 12 months (each such 12-month period being a “</w:t>
      </w:r>
      <w:r>
        <w:rPr>
          <w:rFonts w:ascii="Arial" w:cs="Arial" w:eastAsia="Arial" w:hAnsi="Arial"/>
          <w:sz w:val="21"/>
          <w:szCs w:val="21"/>
          <w:u w:val="single" w:color="auto"/>
          <w:color w:val="auto"/>
        </w:rPr>
        <w:t>Renewal Term</w:t>
      </w:r>
      <w:r>
        <w:rPr>
          <w:rFonts w:ascii="Arial" w:cs="Arial" w:eastAsia="Arial" w:hAnsi="Arial"/>
          <w:sz w:val="21"/>
          <w:szCs w:val="21"/>
          <w:color w:val="auto"/>
        </w:rPr>
        <w:t>”), unless written notice of non-renewal is delivered from either Party to the other not less than sixty (60) days prior to the expiration of the then-existing Initial Term or Renewal Term, as applicable. Notwithstanding the foregoing, Executive’s Employment pursuant to this Agreement may be terminated prior to the expiration of the then-existing Initial Term or Renewal Term in accordance with this Agreement.</w:t>
      </w:r>
    </w:p>
    <w:p>
      <w:pPr>
        <w:spacing w:after="0" w:line="15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period from the Effective Date through the Executive’s Termination Date (for whatever reason) shall be referred to herein as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w:t>
      </w:r>
    </w:p>
    <w:p>
      <w:pPr>
        <w:spacing w:after="0" w:line="155" w:lineRule="exact"/>
        <w:rPr>
          <w:sz w:val="20"/>
          <w:szCs w:val="20"/>
          <w:color w:val="auto"/>
        </w:rPr>
      </w:pPr>
    </w:p>
    <w:p>
      <w:pPr>
        <w:jc w:val="both"/>
        <w:ind w:firstLine="637"/>
        <w:spacing w:after="0" w:line="216" w:lineRule="auto"/>
        <w:tabs>
          <w:tab w:leader="none" w:pos="1259" w:val="left"/>
        </w:tabs>
        <w:numPr>
          <w:ilvl w:val="1"/>
          <w:numId w:val="4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Continued Availability Post-Termination. </w:t>
      </w:r>
      <w:r>
        <w:rPr>
          <w:rFonts w:ascii="Arial" w:cs="Arial" w:eastAsia="Arial" w:hAnsi="Arial"/>
          <w:sz w:val="21"/>
          <w:szCs w:val="21"/>
          <w:color w:val="auto"/>
        </w:rPr>
        <w:t>Executive agrees to remain available for twelve (12) months beyond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Period during normal business hours to provide reasonable assistance to the Company or its Affiliates in the event that the Company or an Affiliate become involved in litigation (or another type of dispute or controversy) regarding matters of which Executive has relevant knowledge resulting from Executive’s Employment; provided that such assistance does not unreasonably interfere with the employment duties of Executive with another employer following the Termination Date. Such post-termination assistance shall be provided by Executive in the capacity of an independent contractor at an agreed-upon, reasonable consulting fee, and shall not be deemed to create or continue an employee-employer or fiduciary relationship, or to represent a continuation of this Agreement.</w:t>
      </w:r>
    </w:p>
    <w:p>
      <w:pPr>
        <w:spacing w:after="0" w:line="150" w:lineRule="exact"/>
        <w:rPr>
          <w:rFonts w:ascii="Arial" w:cs="Arial" w:eastAsia="Arial" w:hAnsi="Arial"/>
          <w:sz w:val="21"/>
          <w:szCs w:val="21"/>
          <w:color w:val="auto"/>
        </w:rPr>
      </w:pPr>
    </w:p>
    <w:p>
      <w:pPr>
        <w:ind w:firstLine="5"/>
        <w:spacing w:after="0" w:line="241" w:lineRule="auto"/>
        <w:tabs>
          <w:tab w:leader="none" w:pos="632"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color w:val="auto"/>
        </w:rPr>
        <w:t>. Subject to the terms and conditions of this Agreement, during the Employment Period, Executive shall be entitled</w:t>
      </w:r>
      <w:r>
        <w:rPr>
          <w:rFonts w:ascii="Arial" w:cs="Arial" w:eastAsia="Arial" w:hAnsi="Arial"/>
          <w:sz w:val="21"/>
          <w:szCs w:val="21"/>
          <w:b w:val="1"/>
          <w:bCs w:val="1"/>
          <w:color w:val="auto"/>
        </w:rPr>
        <w:t xml:space="preserve"> </w:t>
      </w:r>
      <w:r>
        <w:rPr>
          <w:rFonts w:ascii="Arial" w:cs="Arial" w:eastAsia="Arial" w:hAnsi="Arial"/>
          <w:sz w:val="21"/>
          <w:szCs w:val="21"/>
          <w:color w:val="auto"/>
        </w:rPr>
        <w:t>to all of the following:</w:t>
      </w:r>
    </w:p>
    <w:p>
      <w:pPr>
        <w:spacing w:after="0" w:line="152" w:lineRule="exact"/>
        <w:rPr>
          <w:rFonts w:ascii="Arial" w:cs="Arial" w:eastAsia="Arial" w:hAnsi="Arial"/>
          <w:sz w:val="21"/>
          <w:szCs w:val="21"/>
          <w:b w:val="1"/>
          <w:bCs w:val="1"/>
          <w:color w:val="auto"/>
        </w:rPr>
      </w:pPr>
    </w:p>
    <w:p>
      <w:pPr>
        <w:jc w:val="both"/>
        <w:ind w:firstLine="637"/>
        <w:spacing w:after="0" w:line="234" w:lineRule="auto"/>
        <w:tabs>
          <w:tab w:leader="none" w:pos="1260" w:val="left"/>
        </w:tabs>
        <w:numPr>
          <w:ilvl w:val="1"/>
          <w:numId w:val="49"/>
        </w:numPr>
        <w:rPr>
          <w:rFonts w:ascii="Arial" w:cs="Arial" w:eastAsia="Arial" w:hAnsi="Arial"/>
          <w:sz w:val="20"/>
          <w:szCs w:val="20"/>
          <w:color w:val="auto"/>
        </w:rPr>
      </w:pPr>
      <w:r>
        <w:rPr>
          <w:rFonts w:ascii="Arial" w:cs="Arial" w:eastAsia="Arial" w:hAnsi="Arial"/>
          <w:sz w:val="20"/>
          <w:szCs w:val="20"/>
          <w:b w:val="1"/>
          <w:bCs w:val="1"/>
          <w:i w:val="1"/>
          <w:iCs w:val="1"/>
          <w:color w:val="auto"/>
        </w:rPr>
        <w:t>Reimbursement of Business Expenses</w:t>
      </w:r>
      <w:r>
        <w:rPr>
          <w:rFonts w:ascii="Arial" w:cs="Arial" w:eastAsia="Arial" w:hAnsi="Arial"/>
          <w:sz w:val="20"/>
          <w:szCs w:val="20"/>
          <w:color w:val="auto"/>
        </w:rPr>
        <w:t>. The Company shall reimburse Executive for all reasonable travel,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entertainment and other business expenses paid or incurred by Executive in the performance of duties hereunder, provided that such expenses are incurred and accounted for in accordance with the expense reimbursement policies and procedures established by the Company from time to time. Such reimbursement shall in all cases be made in compliance with </w:t>
      </w:r>
      <w:r>
        <w:rPr>
          <w:rFonts w:ascii="Arial" w:cs="Arial" w:eastAsia="Arial" w:hAnsi="Arial"/>
          <w:sz w:val="20"/>
          <w:szCs w:val="20"/>
          <w:u w:val="single" w:color="auto"/>
          <w:color w:val="auto"/>
        </w:rPr>
        <w:t>Section 30</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637"/>
        <w:spacing w:after="0" w:line="234" w:lineRule="auto"/>
        <w:tabs>
          <w:tab w:leader="none" w:pos="1259" w:val="left"/>
        </w:tabs>
        <w:numPr>
          <w:ilvl w:val="1"/>
          <w:numId w:val="4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Discretionary Vacation Time. </w:t>
      </w:r>
      <w:r>
        <w:rPr>
          <w:rFonts w:ascii="Arial" w:cs="Arial" w:eastAsia="Arial" w:hAnsi="Arial"/>
          <w:sz w:val="20"/>
          <w:szCs w:val="20"/>
          <w:color w:val="auto"/>
        </w:rPr>
        <w:t>Executive’s work is routinely performed outside of a traditional work schedule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is required to manage his own work schedule and time away from work, including vacation and personal time, in a manner that allows Executive to fulfill his duties and does not negatively impact the Company. Executive is not entitled to a fixed amount of vacation or personal time and will not accrue vacation or personal time balances.</w:t>
      </w:r>
    </w:p>
    <w:p>
      <w:pPr>
        <w:spacing w:after="0" w:line="155" w:lineRule="exact"/>
        <w:rPr>
          <w:rFonts w:ascii="Arial" w:cs="Arial" w:eastAsia="Arial" w:hAnsi="Arial"/>
          <w:sz w:val="20"/>
          <w:szCs w:val="20"/>
          <w:color w:val="auto"/>
        </w:rPr>
      </w:pPr>
    </w:p>
    <w:p>
      <w:pPr>
        <w:ind w:firstLine="637"/>
        <w:spacing w:after="0" w:line="237" w:lineRule="auto"/>
        <w:tabs>
          <w:tab w:leader="none" w:pos="1260"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color w:val="auto"/>
        </w:rPr>
        <w:t>Other Employee Benefits</w:t>
      </w:r>
      <w:r>
        <w:rPr>
          <w:rFonts w:ascii="Arial" w:cs="Arial" w:eastAsia="Arial" w:hAnsi="Arial"/>
          <w:sz w:val="21"/>
          <w:szCs w:val="21"/>
          <w:color w:val="auto"/>
        </w:rPr>
        <w:t>. Executive shall be entitled to participate in any retirement, 401(k), profit-sharing,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other employee benefits plans or programs of the Company to the same</w:t>
      </w:r>
    </w:p>
    <w:p>
      <w:pPr>
        <w:spacing w:after="0" w:line="200" w:lineRule="exact"/>
        <w:rPr>
          <w:sz w:val="20"/>
          <w:szCs w:val="20"/>
          <w:color w:val="auto"/>
        </w:rPr>
      </w:pPr>
    </w:p>
    <w:p>
      <w:pPr>
        <w:spacing w:after="0" w:line="397"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2</w:t>
            </w:r>
          </w:p>
        </w:tc>
      </w:tr>
    </w:tbl>
    <w:p>
      <w:pPr>
        <w:sectPr>
          <w:pgSz w:w="11900" w:h="16838" w:orient="portrait"/>
          <w:cols w:equalWidth="0" w:num="1">
            <w:col w:w="11240"/>
          </w:cols>
          <w:pgMar w:left="320" w:top="10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extent as available to other similarly situated employees of the Company under the terms of such plans or programs. Executive shall also be entitled to participate in any group insurance, hospitalization, medical, dental, health, life, accident, disability and other employee benefits plans or programs of the Company to the extent available to other similarly situated employees of the Company, and their spouses and eligible dependents, under the terms of such plans or programs including, without limitation, any medical expense reimbursement account and post-retirement medical program as made available to other similarly situated employees of the Company.</w:t>
      </w:r>
    </w:p>
    <w:p>
      <w:pPr>
        <w:spacing w:after="0" w:line="158" w:lineRule="exact"/>
        <w:rPr>
          <w:sz w:val="20"/>
          <w:szCs w:val="20"/>
          <w:color w:val="auto"/>
        </w:rPr>
      </w:pPr>
    </w:p>
    <w:p>
      <w:pPr>
        <w:jc w:val="both"/>
        <w:ind w:firstLine="637"/>
        <w:spacing w:after="0" w:line="223" w:lineRule="auto"/>
        <w:tabs>
          <w:tab w:leader="none" w:pos="1259" w:val="left"/>
        </w:tabs>
        <w:numPr>
          <w:ilvl w:val="1"/>
          <w:numId w:val="50"/>
        </w:numPr>
        <w:rPr>
          <w:rFonts w:ascii="Arial" w:cs="Arial" w:eastAsia="Arial" w:hAnsi="Arial"/>
          <w:sz w:val="21"/>
          <w:szCs w:val="21"/>
          <w:color w:val="auto"/>
        </w:rPr>
      </w:pPr>
      <w:r>
        <w:rPr>
          <w:rFonts w:ascii="Arial" w:cs="Arial" w:eastAsia="Arial" w:hAnsi="Arial"/>
          <w:sz w:val="21"/>
          <w:szCs w:val="21"/>
          <w:b w:val="1"/>
          <w:bCs w:val="1"/>
          <w:i w:val="1"/>
          <w:iCs w:val="1"/>
          <w:color w:val="auto"/>
        </w:rPr>
        <w:t>Equity Incentive Awards</w:t>
      </w:r>
      <w:r>
        <w:rPr>
          <w:rFonts w:ascii="Arial" w:cs="Arial" w:eastAsia="Arial" w:hAnsi="Arial"/>
          <w:sz w:val="21"/>
          <w:szCs w:val="21"/>
          <w:color w:val="auto"/>
        </w:rPr>
        <w:t>. Executive shall be eligible to participate in the Company’s 2017 Omnibus Incentive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 it may be amended from time to time (the “</w:t>
      </w:r>
      <w:r>
        <w:rPr>
          <w:rFonts w:ascii="Arial" w:cs="Arial" w:eastAsia="Arial" w:hAnsi="Arial"/>
          <w:sz w:val="21"/>
          <w:szCs w:val="21"/>
          <w:u w:val="single" w:color="auto"/>
          <w:color w:val="auto"/>
        </w:rPr>
        <w:t>LTIP</w:t>
      </w:r>
      <w:r>
        <w:rPr>
          <w:rFonts w:ascii="Arial" w:cs="Arial" w:eastAsia="Arial" w:hAnsi="Arial"/>
          <w:sz w:val="21"/>
          <w:szCs w:val="21"/>
          <w:color w:val="auto"/>
        </w:rPr>
        <w:t>”), or any other incentive plan sponsored by the Company which provides for equity grants of incentive awards. The terms and conditions of any equity incentive award granted to Executive shall be set forth in the incentive plan document and award agreement governing such award.</w:t>
      </w:r>
    </w:p>
    <w:p>
      <w:pPr>
        <w:spacing w:after="0" w:line="149" w:lineRule="exact"/>
        <w:rPr>
          <w:rFonts w:ascii="Arial" w:cs="Arial" w:eastAsia="Arial" w:hAnsi="Arial"/>
          <w:sz w:val="21"/>
          <w:szCs w:val="21"/>
          <w:color w:val="auto"/>
        </w:rPr>
      </w:pPr>
    </w:p>
    <w:p>
      <w:pPr>
        <w:jc w:val="both"/>
        <w:ind w:firstLine="5"/>
        <w:spacing w:after="0" w:line="236"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and Payments upon Termination</w:t>
      </w:r>
      <w:r>
        <w:rPr>
          <w:rFonts w:ascii="Arial" w:cs="Arial" w:eastAsia="Arial" w:hAnsi="Arial"/>
          <w:sz w:val="20"/>
          <w:szCs w:val="20"/>
          <w:color w:val="auto"/>
        </w:rPr>
        <w:t>. The Executive’s right to compensation and benefits for periods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Date shall be determined in accordance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30">
        <w:r>
          <w:rPr>
            <w:rFonts w:ascii="Arial" w:cs="Arial" w:eastAsia="Arial" w:hAnsi="Arial"/>
            <w:sz w:val="20"/>
            <w:szCs w:val="20"/>
            <w:u w:val="single" w:color="auto"/>
            <w:color w:val="0000FF"/>
          </w:rPr>
          <w:t>6.</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Except as otherwise expressly required by law or as specifically provided in an employee benefit plan or under this Agreement, all of Executive’s rights to salary, severance, benefits, bonuses and other compensatory amounts under this Agreement shall cease upon the Termination Date.</w:t>
      </w:r>
    </w:p>
    <w:p>
      <w:pPr>
        <w:spacing w:after="0" w:line="154" w:lineRule="exact"/>
        <w:rPr>
          <w:rFonts w:ascii="Arial" w:cs="Arial" w:eastAsia="Arial" w:hAnsi="Arial"/>
          <w:sz w:val="20"/>
          <w:szCs w:val="20"/>
          <w:color w:val="auto"/>
        </w:rPr>
      </w:pPr>
    </w:p>
    <w:p>
      <w:pPr>
        <w:jc w:val="both"/>
        <w:ind w:firstLine="637"/>
        <w:spacing w:after="0" w:line="228" w:lineRule="auto"/>
        <w:tabs>
          <w:tab w:leader="none" w:pos="1260" w:val="left"/>
        </w:tabs>
        <w:numPr>
          <w:ilvl w:val="1"/>
          <w:numId w:val="51"/>
        </w:numPr>
        <w:rPr>
          <w:rFonts w:ascii="Arial" w:cs="Arial" w:eastAsia="Arial" w:hAnsi="Arial"/>
          <w:sz w:val="21"/>
          <w:szCs w:val="21"/>
          <w:color w:val="auto"/>
        </w:rPr>
      </w:pPr>
      <w:r>
        <w:rPr>
          <w:rFonts w:ascii="Arial" w:cs="Arial" w:eastAsia="Arial" w:hAnsi="Arial"/>
          <w:sz w:val="21"/>
          <w:szCs w:val="21"/>
          <w:b w:val="1"/>
          <w:bCs w:val="1"/>
          <w:i w:val="1"/>
          <w:iCs w:val="1"/>
          <w:color w:val="auto"/>
        </w:rPr>
        <w:t>Minimum Payments</w:t>
      </w:r>
      <w:r>
        <w:rPr>
          <w:rFonts w:ascii="Arial" w:cs="Arial" w:eastAsia="Arial" w:hAnsi="Arial"/>
          <w:sz w:val="21"/>
          <w:szCs w:val="21"/>
          <w:color w:val="auto"/>
        </w:rPr>
        <w:t>. As of the Termination Date, Executive shall be entitled to the following minimum payments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30">
        <w:r>
          <w:rPr>
            <w:rFonts w:ascii="Arial" w:cs="Arial" w:eastAsia="Arial" w:hAnsi="Arial"/>
            <w:sz w:val="21"/>
            <w:szCs w:val="21"/>
            <w:color w:val="0000FF"/>
          </w:rPr>
          <w:t>6(a),</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in addition to any other payments or benefits which Executive is entitled to receive under the terms of any employee benefit plan or program, state law, Company policy, or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30">
        <w:r>
          <w:rPr>
            <w:rFonts w:ascii="Arial" w:cs="Arial" w:eastAsia="Arial" w:hAnsi="Arial"/>
            <w:sz w:val="21"/>
            <w:szCs w:val="21"/>
            <w:u w:val="single" w:color="auto"/>
            <w:color w:val="0000FF"/>
          </w:rPr>
          <w:t>6(b):</w:t>
        </w:r>
      </w:hyperlink>
    </w:p>
    <w:p>
      <w:pPr>
        <w:spacing w:after="0" w:line="153"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2"/>
          <w:numId w:val="51"/>
        </w:numPr>
        <w:rPr>
          <w:rFonts w:ascii="Arial" w:cs="Arial" w:eastAsia="Arial" w:hAnsi="Arial"/>
          <w:sz w:val="21"/>
          <w:szCs w:val="21"/>
          <w:color w:val="auto"/>
        </w:rPr>
      </w:pPr>
      <w:r>
        <w:rPr>
          <w:rFonts w:ascii="Arial" w:cs="Arial" w:eastAsia="Arial" w:hAnsi="Arial"/>
          <w:sz w:val="21"/>
          <w:szCs w:val="21"/>
          <w:color w:val="auto"/>
        </w:rPr>
        <w:t>accrued but unpaid Base Salary through the Termination Date; provided that, if Executive’s termination is due to Disability, such amount shall be net of the amount of any benefits received or payable under any disability insurance policy maintained by the Company for Executive, if applicable, which policy provides for income replacement benefits due to the Executive’s inability to work as the result of his qualifying Disability; and</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2"/>
          <w:numId w:val="51"/>
        </w:numPr>
        <w:rPr>
          <w:rFonts w:ascii="Arial" w:cs="Arial" w:eastAsia="Arial" w:hAnsi="Arial"/>
          <w:sz w:val="19"/>
          <w:szCs w:val="19"/>
          <w:color w:val="auto"/>
        </w:rPr>
      </w:pPr>
      <w:r>
        <w:rPr>
          <w:rFonts w:ascii="Arial" w:cs="Arial" w:eastAsia="Arial" w:hAnsi="Arial"/>
          <w:sz w:val="19"/>
          <w:szCs w:val="19"/>
          <w:color w:val="auto"/>
        </w:rPr>
        <w:t>reimbursement of reasonable business expenses that were incurred but unpaid as of the Termination Date.</w:t>
      </w:r>
    </w:p>
    <w:p>
      <w:pPr>
        <w:spacing w:after="0" w:line="20" w:lineRule="exact"/>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column">
              <wp:posOffset>977265</wp:posOffset>
            </wp:positionH>
            <wp:positionV relativeFrom="paragraph">
              <wp:posOffset>-1068705</wp:posOffset>
            </wp:positionV>
            <wp:extent cx="290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183" w:lineRule="exact"/>
        <w:rPr>
          <w:rFonts w:ascii="Arial" w:cs="Arial" w:eastAsia="Arial" w:hAnsi="Arial"/>
          <w:sz w:val="21"/>
          <w:szCs w:val="21"/>
          <w:color w:val="auto"/>
        </w:rPr>
      </w:pPr>
    </w:p>
    <w:p>
      <w:pPr>
        <w:ind w:firstLine="632"/>
        <w:spacing w:after="0" w:line="237" w:lineRule="auto"/>
        <w:rPr>
          <w:sz w:val="20"/>
          <w:szCs w:val="20"/>
          <w:color w:val="auto"/>
        </w:rPr>
      </w:pPr>
      <w:r>
        <w:rPr>
          <w:rFonts w:ascii="Arial" w:cs="Arial" w:eastAsia="Arial" w:hAnsi="Arial"/>
          <w:sz w:val="21"/>
          <w:szCs w:val="21"/>
          <w:color w:val="auto"/>
        </w:rPr>
        <w:t xml:space="preserve">Amounts payable under this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shall be paid in accordance with the Company’s normal procedures for making payments following termination of Employment by a similarly situated employee.</w:t>
      </w:r>
    </w:p>
    <w:p>
      <w:pPr>
        <w:spacing w:after="0" w:line="155" w:lineRule="exact"/>
        <w:rPr>
          <w:rFonts w:ascii="Arial" w:cs="Arial" w:eastAsia="Arial" w:hAnsi="Arial"/>
          <w:sz w:val="21"/>
          <w:szCs w:val="21"/>
          <w:color w:val="auto"/>
        </w:rPr>
      </w:pPr>
    </w:p>
    <w:p>
      <w:pPr>
        <w:ind w:left="1260" w:hanging="623"/>
        <w:spacing w:after="0"/>
        <w:tabs>
          <w:tab w:leader="none" w:pos="1260" w:val="left"/>
        </w:tabs>
        <w:numPr>
          <w:ilvl w:val="0"/>
          <w:numId w:val="52"/>
        </w:numPr>
        <w:rPr>
          <w:rFonts w:ascii="Arial" w:cs="Arial" w:eastAsia="Arial" w:hAnsi="Arial"/>
          <w:sz w:val="21"/>
          <w:szCs w:val="21"/>
          <w:color w:val="auto"/>
        </w:rPr>
      </w:pPr>
      <w:r>
        <w:rPr>
          <w:rFonts w:ascii="Arial" w:cs="Arial" w:eastAsia="Arial" w:hAnsi="Arial"/>
          <w:sz w:val="21"/>
          <w:szCs w:val="21"/>
          <w:b w:val="1"/>
          <w:bCs w:val="1"/>
          <w:i w:val="1"/>
          <w:iCs w:val="1"/>
          <w:color w:val="auto"/>
        </w:rPr>
        <w:t>Severance Payments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640" w:firstLine="628"/>
        <w:spacing w:after="0" w:line="216" w:lineRule="auto"/>
        <w:tabs>
          <w:tab w:leader="none" w:pos="1899"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If Executive dies during the Initial Term or any then-existing Renewal Term and while in Employment, the Company shall pay Executive’s Designated Beneficiary (A) the Executive’s Base Salary, in installments, through the end of the Initial Term or any then-existing Renewal Term which was in effect at the time of Executive’s death; and (B) a pro rata amount of the Target Annual Bonus described in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for the year in which the death occurred, based on the number of days Executive was employed in such year in comparison to 365, and based on actual performance of any applicable performance metrics through the end of the performance period. Such amounts shall be paid to Executive’s Designated Beneficiary by no later than the date necessary to qualify each such payment as a “short-term deferral” within the meaning of Treas. Reg. § l.409A l(b)(4).</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3</w:t>
            </w:r>
          </w:p>
        </w:tc>
      </w:tr>
    </w:tbl>
    <w:p>
      <w:pPr>
        <w:sectPr>
          <w:pgSz w:w="11900" w:h="16838" w:orient="portrait"/>
          <w:cols w:equalWidth="0" w:num="1">
            <w:col w:w="11240"/>
          </w:cols>
          <w:pgMar w:left="320" w:top="10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firstLine="628"/>
        <w:spacing w:after="0" w:line="224" w:lineRule="auto"/>
        <w:tabs>
          <w:tab w:leader="none" w:pos="189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If, during the Initial Term or any then-existing Renewal Term, Executive’s Employment is terminated by the Company due to Executive’s Disability, the Company shall,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30">
        <w:r>
          <w:rPr>
            <w:rFonts w:ascii="Arial" w:cs="Arial" w:eastAsia="Arial" w:hAnsi="Arial"/>
            <w:sz w:val="20"/>
            <w:szCs w:val="20"/>
            <w:color w:val="0000FF"/>
          </w:rPr>
          <w:t>6(e)</w:t>
        </w:r>
      </w:hyperlink>
      <w:r>
        <w:rPr>
          <w:rFonts w:ascii="Arial" w:cs="Arial" w:eastAsia="Arial" w:hAnsi="Arial"/>
          <w:sz w:val="20"/>
          <w:szCs w:val="20"/>
          <w:color w:val="auto"/>
        </w:rPr>
        <w:t xml:space="preserve">, pay Executive (A) the Executive’s Base Salary, in installments, through the end of the Initial Term or any then-existing Renewal Term which was in effect at the time of Executive’s disability; and (B) pay Executive a pro rata amount of the Target Annual Bonus described in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for the year in which the Termination Date occurred, based on the number of days Executive was employed in such year in comparison to 365, and based on actual performance of any applicable performance metrics through the end of the performance period. Such pro rata amount of the Target Annual Bonus shall be paid on the later of (1) the Company’s first regular payroll date that occurs after the Release (as defined in </w:t>
      </w:r>
      <w:r>
        <w:rPr>
          <w:rFonts w:ascii="Arial" w:cs="Arial" w:eastAsia="Arial" w:hAnsi="Arial"/>
          <w:sz w:val="20"/>
          <w:szCs w:val="20"/>
          <w:u w:val="single" w:color="auto"/>
          <w:color w:val="auto"/>
        </w:rPr>
        <w:t>Section 6(e)</w:t>
      </w:r>
      <w:r>
        <w:rPr>
          <w:rFonts w:ascii="Arial" w:cs="Arial" w:eastAsia="Arial" w:hAnsi="Arial"/>
          <w:sz w:val="20"/>
          <w:szCs w:val="20"/>
          <w:color w:val="auto"/>
        </w:rPr>
        <w:t>, below) is no longer revocable (the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 Date</w:t>
      </w:r>
      <w:r>
        <w:rPr>
          <w:rFonts w:ascii="Arial" w:cs="Arial" w:eastAsia="Arial" w:hAnsi="Arial"/>
          <w:sz w:val="20"/>
          <w:szCs w:val="20"/>
          <w:color w:val="auto"/>
        </w:rPr>
        <w:t xml:space="preserve">”), or (2) the payment date that an Annual Bonus for the year of termination otherwise would have been payable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had Executive’s Employment not been terminated (provided, that, in no event shall such payment occur later than the date necessary to qualify such payment as a “short-term deferral” within the meaning of Treas. Reg. § l.409A l(b)(4)).</w:t>
      </w:r>
    </w:p>
    <w:p>
      <w:pPr>
        <w:spacing w:after="0" w:line="161" w:lineRule="exact"/>
        <w:rPr>
          <w:rFonts w:ascii="Arial" w:cs="Arial" w:eastAsia="Arial" w:hAnsi="Arial"/>
          <w:sz w:val="20"/>
          <w:szCs w:val="20"/>
          <w:color w:val="auto"/>
        </w:rPr>
      </w:pPr>
    </w:p>
    <w:p>
      <w:pPr>
        <w:jc w:val="both"/>
        <w:ind w:left="640" w:firstLine="628"/>
        <w:spacing w:after="0" w:line="235" w:lineRule="auto"/>
        <w:tabs>
          <w:tab w:leader="none" w:pos="189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Involuntary Termination Without Cause (Other than Due to Death or Disability) Not Within Corporate Change Period</w:t>
      </w:r>
      <w:r>
        <w:rPr>
          <w:rFonts w:ascii="Arial" w:cs="Arial" w:eastAsia="Arial" w:hAnsi="Arial"/>
          <w:sz w:val="19"/>
          <w:szCs w:val="19"/>
          <w:color w:val="auto"/>
        </w:rPr>
        <w:t xml:space="preserve">. If Executive’s Employment is terminated by the Company without Cause (other than on account of Executive’s death or Disability), and such Termination Date does not occur within a Corporate Change Period, the Company shall, subject to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provide to Executive (A) continued payment of Executive’s Base Salary as in effect on the Termination Date, in arrears, for a period of 24 months following the Termination Date, where the first such payment shall be made on the First Payment Date and shall include all payments, if any, without interest, that would have otherwise been made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hyperlink w:anchor="page130">
        <w:r>
          <w:rPr>
            <w:rFonts w:ascii="Arial" w:cs="Arial" w:eastAsia="Arial" w:hAnsi="Arial"/>
            <w:sz w:val="19"/>
            <w:szCs w:val="19"/>
            <w:u w:val="single" w:color="auto"/>
            <w:color w:val="0000FF"/>
          </w:rPr>
          <w:t>6(b)(3)</w:t>
        </w:r>
      </w:hyperlink>
      <w:r>
        <w:rPr>
          <w:rFonts w:ascii="Arial" w:cs="Arial" w:eastAsia="Arial" w:hAnsi="Arial"/>
          <w:sz w:val="19"/>
          <w:szCs w:val="19"/>
          <w:u w:val="single" w:color="auto"/>
          <w:color w:val="auto"/>
        </w:rPr>
        <w:t>(A)</w:t>
      </w:r>
      <w:r>
        <w:rPr>
          <w:rFonts w:ascii="Arial" w:cs="Arial" w:eastAsia="Arial" w:hAnsi="Arial"/>
          <w:sz w:val="19"/>
          <w:szCs w:val="19"/>
          <w:color w:val="auto"/>
        </w:rPr>
        <w:t xml:space="preserve"> between the Termination Date and the First Payment Date; and (B) a pro rata amount of the Target Annual Bonus described in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for the year in which the Termination Date occurred, based on the number of days Executive was employed in such year in comparison to 365, and based on actual performance of any applicable performance metrics through the end of the performance period, where such pro rata amount of the Target Annual Bonus shall be paid on the later of (i) the First Payment Date or (ii) the payment date that an Annual Bonus for the year of termination otherwise would have been payable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had Executive’s Employment not been terminated (provided, that, in no event shall such payment occur later than the date necessary to qualify such payment as a “short-term deferral” within the meaning of Treas. Reg. § l.409A l(b)(4)).</w:t>
      </w:r>
    </w:p>
    <w:p>
      <w:pPr>
        <w:spacing w:after="0" w:line="162" w:lineRule="exact"/>
        <w:rPr>
          <w:rFonts w:ascii="Arial" w:cs="Arial" w:eastAsia="Arial" w:hAnsi="Arial"/>
          <w:sz w:val="19"/>
          <w:szCs w:val="19"/>
          <w:color w:val="auto"/>
        </w:rPr>
      </w:pPr>
    </w:p>
    <w:p>
      <w:pPr>
        <w:jc w:val="both"/>
        <w:ind w:left="640" w:firstLine="628"/>
        <w:spacing w:after="0" w:line="228" w:lineRule="auto"/>
        <w:tabs>
          <w:tab w:leader="none" w:pos="189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Involuntary Termination Without Cause (Other than Due to Death or Disability) Within Corporate Change Period or Termination by Executive for Good Reason Within Corporate Change Period</w:t>
      </w:r>
      <w:r>
        <w:rPr>
          <w:rFonts w:ascii="Arial" w:cs="Arial" w:eastAsia="Arial" w:hAnsi="Arial"/>
          <w:sz w:val="20"/>
          <w:szCs w:val="20"/>
          <w:color w:val="auto"/>
        </w:rPr>
        <w:t xml:space="preserve">. If Executive’s Employment is terminated by the Company without Cause (other than on account of Executive’s death or Disability) during a Corporate Change Period, or if Executive terminates his Employment due to Good Reason during a Corporate Change Period, the Company shall, subject to </w:t>
      </w:r>
      <w:r>
        <w:rPr>
          <w:rFonts w:ascii="Arial" w:cs="Arial" w:eastAsia="Arial" w:hAnsi="Arial"/>
          <w:sz w:val="20"/>
          <w:szCs w:val="20"/>
          <w:u w:val="single" w:color="auto"/>
          <w:color w:val="auto"/>
        </w:rPr>
        <w:t>Section 6(e)</w:t>
      </w:r>
      <w:r>
        <w:rPr>
          <w:rFonts w:ascii="Arial" w:cs="Arial" w:eastAsia="Arial" w:hAnsi="Arial"/>
          <w:sz w:val="20"/>
          <w:szCs w:val="20"/>
          <w:color w:val="auto"/>
        </w:rPr>
        <w:t>, provide to Executive (A) a lump sum equal to two times the sum of (i) Executive’s Base Salary as in effect on the Termination Date (or as of the date of the Corporate Change, if higher), plus (ii) Executive’s Target Annual Bonus, with such total amount to be paid on the First Payment Date.</w:t>
      </w:r>
    </w:p>
    <w:p>
      <w:pPr>
        <w:spacing w:after="0" w:line="154" w:lineRule="exact"/>
        <w:rPr>
          <w:rFonts w:ascii="Arial" w:cs="Arial" w:eastAsia="Arial" w:hAnsi="Arial"/>
          <w:sz w:val="20"/>
          <w:szCs w:val="20"/>
          <w:color w:val="auto"/>
        </w:rPr>
      </w:pPr>
    </w:p>
    <w:p>
      <w:pPr>
        <w:jc w:val="both"/>
        <w:ind w:left="640" w:firstLine="628"/>
        <w:spacing w:after="0" w:line="229" w:lineRule="auto"/>
        <w:tabs>
          <w:tab w:leader="none" w:pos="189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Other Termination of Employment</w:t>
      </w:r>
      <w:r>
        <w:rPr>
          <w:rFonts w:ascii="Arial" w:cs="Arial" w:eastAsia="Arial" w:hAnsi="Arial"/>
          <w:sz w:val="20"/>
          <w:szCs w:val="20"/>
          <w:color w:val="auto"/>
        </w:rPr>
        <w:t xml:space="preserve">. For purposes of clarity, in the event that (A) Executive voluntarily resigns or otherwise voluntarily terminates Employment, except due to Good Reason within a Corporate Change Period, or (B) Executive’s Employment is terminated due to Cause then, in any such event under clause (A) or (B), the Company shall have no obligation to provide the severance benefits described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30">
        <w:r>
          <w:rPr>
            <w:rFonts w:ascii="Arial" w:cs="Arial" w:eastAsia="Arial" w:hAnsi="Arial"/>
            <w:sz w:val="20"/>
            <w:szCs w:val="20"/>
            <w:color w:val="0000FF"/>
          </w:rPr>
          <w:t>6(b) or the coverage described in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Section 6(c),</w:t>
        </w:r>
      </w:hyperlink>
      <w:r>
        <w:rPr>
          <w:rFonts w:ascii="Arial" w:cs="Arial" w:eastAsia="Arial" w:hAnsi="Arial"/>
          <w:sz w:val="20"/>
          <w:szCs w:val="20"/>
          <w:color w:val="auto"/>
        </w:rPr>
        <w:t xml:space="preserve"> except to offer COBRA coverage (as required by COBRA law) but not at the rate described in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However, Executive shall still be entitled to the minimum benefits provided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30">
        <w:r>
          <w:rPr>
            <w:rFonts w:ascii="Arial" w:cs="Arial" w:eastAsia="Arial" w:hAnsi="Arial"/>
            <w:sz w:val="20"/>
            <w:szCs w:val="20"/>
            <w:color w:val="0000FF"/>
          </w:rPr>
          <w:t>6(a).</w:t>
        </w:r>
      </w:hyperlink>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-5375910</wp:posOffset>
            </wp:positionV>
            <wp:extent cx="2482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-295275</wp:posOffset>
            </wp:positionV>
            <wp:extent cx="19805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-27940</wp:posOffset>
            </wp:positionV>
            <wp:extent cx="281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4</w:t>
            </w:r>
          </w:p>
        </w:tc>
      </w:tr>
    </w:tbl>
    <w:p>
      <w:pPr>
        <w:sectPr>
          <w:pgSz w:w="11900" w:h="16838" w:orient="portrait"/>
          <w:cols w:equalWidth="0" w:num="1">
            <w:col w:w="11240"/>
          </w:cols>
          <w:pgMar w:left="320" w:top="10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firstLine="628"/>
        <w:spacing w:after="0" w:line="228" w:lineRule="auto"/>
        <w:tabs>
          <w:tab w:leader="none" w:pos="1899"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No Duplication of Severance Benefits</w:t>
      </w:r>
      <w:r>
        <w:rPr>
          <w:rFonts w:ascii="Arial" w:cs="Arial" w:eastAsia="Arial" w:hAnsi="Arial"/>
          <w:sz w:val="21"/>
          <w:szCs w:val="21"/>
          <w:color w:val="auto"/>
        </w:rPr>
        <w:t xml:space="preserve">. The severance payments provided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30">
        <w:r>
          <w:rPr>
            <w:rFonts w:ascii="Arial" w:cs="Arial" w:eastAsia="Arial" w:hAnsi="Arial"/>
            <w:sz w:val="21"/>
            <w:szCs w:val="21"/>
            <w:color w:val="0000FF"/>
          </w:rPr>
          <w:t>6(b)</w:t>
        </w:r>
        <w:r>
          <w:rPr>
            <w:rFonts w:ascii="Arial" w:cs="Arial" w:eastAsia="Arial" w:hAnsi="Arial"/>
            <w:sz w:val="21"/>
            <w:szCs w:val="21"/>
            <w:color w:val="auto"/>
          </w:rPr>
          <w:t xml:space="preserve"> </w:t>
        </w:r>
      </w:hyperlink>
      <w:r>
        <w:rPr>
          <w:rFonts w:ascii="Arial" w:cs="Arial" w:eastAsia="Arial" w:hAnsi="Arial"/>
          <w:sz w:val="21"/>
          <w:szCs w:val="21"/>
          <w:color w:val="auto"/>
        </w:rPr>
        <w:t>shall supersede and replace any severance payments under any severance pay plan or similar agreement that the Company or any Affiliate maintains for key management employees or employees generally.</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55"/>
        </w:numPr>
        <w:rPr>
          <w:rFonts w:ascii="Arial" w:cs="Arial" w:eastAsia="Arial" w:hAnsi="Arial"/>
          <w:sz w:val="21"/>
          <w:szCs w:val="21"/>
          <w:color w:val="auto"/>
        </w:rPr>
      </w:pPr>
      <w:r>
        <w:rPr>
          <w:rFonts w:ascii="Arial" w:cs="Arial" w:eastAsia="Arial" w:hAnsi="Arial"/>
          <w:sz w:val="21"/>
          <w:szCs w:val="21"/>
          <w:b w:val="1"/>
          <w:bCs w:val="1"/>
          <w:i w:val="1"/>
          <w:iCs w:val="1"/>
          <w:color w:val="auto"/>
        </w:rPr>
        <w:t>Subsidized COBRA Coverage for Certain Terminations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shall apply only with respect to an Executive who becomes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-807720</wp:posOffset>
            </wp:positionV>
            <wp:extent cx="3644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21"/>
          <w:szCs w:val="21"/>
          <w:color w:val="auto"/>
        </w:rPr>
        <w:t xml:space="preserve">benefits under </w:t>
      </w:r>
      <w:r>
        <w:rPr>
          <w:rFonts w:ascii="Arial" w:cs="Arial" w:eastAsia="Arial" w:hAnsi="Arial"/>
          <w:sz w:val="21"/>
          <w:szCs w:val="21"/>
          <w:u w:val="single" w:color="auto"/>
          <w:color w:val="auto"/>
        </w:rPr>
        <w:t>Section 6(b)(1), (2), (3) or (4)</w:t>
      </w:r>
      <w:r>
        <w:rPr>
          <w:rFonts w:ascii="Arial" w:cs="Arial" w:eastAsia="Arial" w:hAnsi="Arial"/>
          <w:sz w:val="21"/>
          <w:szCs w:val="21"/>
          <w:color w:val="auto"/>
        </w:rPr>
        <w:t xml:space="preserve"> on account of his qualifying termination from Employment:</w:t>
      </w:r>
    </w:p>
    <w:p>
      <w:pPr>
        <w:spacing w:after="0" w:line="162" w:lineRule="exact"/>
        <w:rPr>
          <w:sz w:val="20"/>
          <w:szCs w:val="20"/>
          <w:color w:val="auto"/>
        </w:rPr>
      </w:pPr>
    </w:p>
    <w:p>
      <w:pPr>
        <w:jc w:val="both"/>
        <w:ind w:left="640" w:firstLine="628"/>
        <w:spacing w:after="0" w:line="237" w:lineRule="auto"/>
        <w:tabs>
          <w:tab w:leader="none" w:pos="1899" w:val="left"/>
        </w:tabs>
        <w:numPr>
          <w:ilvl w:val="1"/>
          <w:numId w:val="56"/>
        </w:numPr>
        <w:rPr>
          <w:rFonts w:ascii="Arial" w:cs="Arial" w:eastAsia="Arial" w:hAnsi="Arial"/>
          <w:sz w:val="19"/>
          <w:szCs w:val="19"/>
          <w:color w:val="auto"/>
        </w:rPr>
      </w:pPr>
      <w:r>
        <w:rPr>
          <w:rFonts w:ascii="Arial" w:cs="Arial" w:eastAsia="Arial" w:hAnsi="Arial"/>
          <w:sz w:val="19"/>
          <w:szCs w:val="19"/>
          <w:color w:val="auto"/>
        </w:rPr>
        <w:t>In the event that Executive timely elects continuation coverage under any of the Company’s “group health plans” within the meaning of Treasury Regulations Section 54.4980B-2 Q/A-1 (collectively, the “</w:t>
      </w:r>
      <w:r>
        <w:rPr>
          <w:rFonts w:ascii="Arial" w:cs="Arial" w:eastAsia="Arial" w:hAnsi="Arial"/>
          <w:sz w:val="19"/>
          <w:szCs w:val="19"/>
          <w:u w:val="single" w:color="auto"/>
          <w:color w:val="auto"/>
        </w:rPr>
        <w:t>Health Plan</w:t>
      </w:r>
      <w:r>
        <w:rPr>
          <w:rFonts w:ascii="Arial" w:cs="Arial" w:eastAsia="Arial" w:hAnsi="Arial"/>
          <w:sz w:val="19"/>
          <w:szCs w:val="19"/>
          <w:color w:val="auto"/>
        </w:rPr>
        <w:t xml:space="preserve">”) on behalf of himself and any of his eligible covered dependents (including his spouse) pursuant to COBRA, following the Termination Date, the Company shall, subject to </w:t>
      </w:r>
      <w:r>
        <w:rPr>
          <w:rFonts w:ascii="Arial" w:cs="Arial" w:eastAsia="Arial" w:hAnsi="Arial"/>
          <w:sz w:val="19"/>
          <w:szCs w:val="19"/>
          <w:u w:val="single" w:color="auto"/>
          <w:color w:val="auto"/>
        </w:rPr>
        <w:t>Section 6(e)</w:t>
      </w:r>
      <w:r>
        <w:rPr>
          <w:rFonts w:ascii="Arial" w:cs="Arial" w:eastAsia="Arial" w:hAnsi="Arial"/>
          <w:sz w:val="19"/>
          <w:szCs w:val="19"/>
          <w:color w:val="auto"/>
        </w:rPr>
        <w:t>, pay on Executive’s behalf or reimburse Executive for an amount equal to the monthly premium for such COBRA coverage for each month during which such COBRA coverage is in effect during the period commencing on the Termination Date and ending upon the earliest of (x) the date that is eighteen (18) months following the Termination Date, (y) the date that Executive and Executive’s covered dependents become no longer eligible for COBRA coverage, or (z) the date Executive becomes eligible to receive group healthcare coverage from a subsequent employer (and Executive agrees to promptly notify the Company of such eligibility). In all other respects, Executive and his dependents shall be treated the same as any other qualified beneficiaries under the Health Plan and COBRA.</w:t>
      </w:r>
    </w:p>
    <w:p>
      <w:pPr>
        <w:spacing w:after="0" w:line="158" w:lineRule="exact"/>
        <w:rPr>
          <w:rFonts w:ascii="Arial" w:cs="Arial" w:eastAsia="Arial" w:hAnsi="Arial"/>
          <w:sz w:val="19"/>
          <w:szCs w:val="19"/>
          <w:color w:val="auto"/>
        </w:rPr>
      </w:pPr>
    </w:p>
    <w:p>
      <w:pPr>
        <w:jc w:val="both"/>
        <w:ind w:left="640" w:firstLine="628"/>
        <w:spacing w:after="0" w:line="220" w:lineRule="auto"/>
        <w:tabs>
          <w:tab w:leader="none" w:pos="1899" w:val="left"/>
        </w:tabs>
        <w:numPr>
          <w:ilvl w:val="1"/>
          <w:numId w:val="56"/>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6(c)(1)</w:t>
      </w:r>
      <w:r>
        <w:rPr>
          <w:rFonts w:ascii="Arial" w:cs="Arial" w:eastAsia="Arial" w:hAnsi="Arial"/>
          <w:sz w:val="21"/>
          <w:szCs w:val="21"/>
          <w:color w:val="auto"/>
        </w:rPr>
        <w:t xml:space="preserve"> to the contrary, the Company may alter the manner in which health benefits are provided to Executive under such Section following termination of Executive’s Employment to the extent the Company reasonably determines is necessary for purposes of satisfying Code Section 105(h)(2) or avoiding the imposition of an excise tax on the Company or any of its Affiliates, provided that such alterations do not materially decrease coverage or increase the after-tax cost to Executive of such benefits.</w:t>
      </w:r>
    </w:p>
    <w:p>
      <w:pPr>
        <w:spacing w:after="0" w:line="156"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57"/>
        </w:numPr>
        <w:rPr>
          <w:rFonts w:ascii="Arial" w:cs="Arial" w:eastAsia="Arial" w:hAnsi="Arial"/>
          <w:sz w:val="21"/>
          <w:szCs w:val="21"/>
          <w:color w:val="auto"/>
        </w:rPr>
      </w:pPr>
      <w:r>
        <w:rPr>
          <w:rFonts w:ascii="Arial" w:cs="Arial" w:eastAsia="Arial" w:hAnsi="Arial"/>
          <w:sz w:val="21"/>
          <w:szCs w:val="21"/>
          <w:b w:val="1"/>
          <w:bCs w:val="1"/>
          <w:i w:val="1"/>
          <w:iCs w:val="1"/>
          <w:color w:val="auto"/>
        </w:rPr>
        <w:t>Accelerated Vesting of Equity Awards</w:t>
      </w:r>
      <w:r>
        <w:rPr>
          <w:rFonts w:ascii="Arial" w:cs="Arial" w:eastAsia="Arial" w:hAnsi="Arial"/>
          <w:sz w:val="21"/>
          <w:szCs w:val="21"/>
          <w:color w:val="auto"/>
        </w:rPr>
        <w:t>. To the extent Executive received any equity incentive award that is not fully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vested as of the Termination Date, the following shall apply with respect to each such award, unless the applicable award agreement provides for more generous treatment of such award:</w:t>
      </w:r>
    </w:p>
    <w:p>
      <w:pPr>
        <w:spacing w:after="0" w:line="153" w:lineRule="exact"/>
        <w:rPr>
          <w:rFonts w:ascii="Arial" w:cs="Arial" w:eastAsia="Arial" w:hAnsi="Arial"/>
          <w:sz w:val="21"/>
          <w:szCs w:val="21"/>
          <w:color w:val="auto"/>
        </w:rPr>
      </w:pPr>
    </w:p>
    <w:p>
      <w:pPr>
        <w:jc w:val="both"/>
        <w:ind w:left="640" w:firstLine="628"/>
        <w:spacing w:after="0" w:line="227" w:lineRule="auto"/>
        <w:tabs>
          <w:tab w:leader="none" w:pos="1899"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subject to compliance with the Release requirements in </w:t>
      </w:r>
      <w:r>
        <w:rPr>
          <w:rFonts w:ascii="Arial" w:cs="Arial" w:eastAsia="Arial" w:hAnsi="Arial"/>
          <w:sz w:val="20"/>
          <w:szCs w:val="20"/>
          <w:u w:val="single" w:color="auto"/>
          <w:color w:val="auto"/>
        </w:rPr>
        <w:t>Section 6(e)</w:t>
      </w:r>
      <w:r>
        <w:rPr>
          <w:rFonts w:ascii="Arial" w:cs="Arial" w:eastAsia="Arial" w:hAnsi="Arial"/>
          <w:sz w:val="20"/>
          <w:szCs w:val="20"/>
          <w:color w:val="auto"/>
        </w:rPr>
        <w:t xml:space="preserve">, if Executive becomes entitled to receive benefits under </w:t>
      </w:r>
      <w:r>
        <w:rPr>
          <w:rFonts w:ascii="Arial" w:cs="Arial" w:eastAsia="Arial" w:hAnsi="Arial"/>
          <w:sz w:val="20"/>
          <w:szCs w:val="20"/>
          <w:u w:val="single" w:color="auto"/>
          <w:color w:val="auto"/>
        </w:rPr>
        <w:t>Section 6(b)(1), (2) or (4)</w:t>
      </w:r>
      <w:r>
        <w:rPr>
          <w:rFonts w:ascii="Arial" w:cs="Arial" w:eastAsia="Arial" w:hAnsi="Arial"/>
          <w:sz w:val="20"/>
          <w:szCs w:val="20"/>
          <w:color w:val="auto"/>
        </w:rPr>
        <w:t xml:space="preserve"> on account of his qualifying termination from Employment, (i) Executive shall become immediately 100% vested in any outstanding awards of restricted stock, stock options and any other equity incentive awards granted under the LTIP (or any other equity incentive plan of the Company) that vest solely based on the passage of time, and (ii) with respect to any awards that vest based on the attainment of performance-based vesting conditions, Executive shall be considered to have remained in Employment through the end of the applicable performance period (with any such award being paid out within 60 days following the end of the applicable performance period, provided that applicable performance targets have been met); and</w:t>
      </w:r>
    </w:p>
    <w:p>
      <w:pPr>
        <w:spacing w:after="0" w:line="154" w:lineRule="exact"/>
        <w:rPr>
          <w:rFonts w:ascii="Arial" w:cs="Arial" w:eastAsia="Arial" w:hAnsi="Arial"/>
          <w:sz w:val="20"/>
          <w:szCs w:val="20"/>
          <w:color w:val="auto"/>
        </w:rPr>
      </w:pPr>
    </w:p>
    <w:p>
      <w:pPr>
        <w:ind w:left="640" w:firstLine="628"/>
        <w:spacing w:after="0" w:line="237" w:lineRule="auto"/>
        <w:tabs>
          <w:tab w:leader="none" w:pos="1899"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except as specifically provided in </w:t>
      </w:r>
      <w:r>
        <w:rPr>
          <w:rFonts w:ascii="Arial" w:cs="Arial" w:eastAsia="Arial" w:hAnsi="Arial"/>
          <w:sz w:val="21"/>
          <w:szCs w:val="21"/>
          <w:u w:val="single" w:color="auto"/>
          <w:color w:val="auto"/>
        </w:rPr>
        <w:t>Section 6(d)(1)</w:t>
      </w:r>
      <w:r>
        <w:rPr>
          <w:rFonts w:ascii="Arial" w:cs="Arial" w:eastAsia="Arial" w:hAnsi="Arial"/>
          <w:sz w:val="21"/>
          <w:szCs w:val="21"/>
          <w:color w:val="auto"/>
        </w:rPr>
        <w:t>, all unvested equity incentive awards shall be treated in accordance with the terms of the outstanding award agreement or plan document, as applicable.</w:t>
      </w:r>
    </w:p>
    <w:p>
      <w:pPr>
        <w:spacing w:after="0" w:line="154"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57"/>
        </w:numPr>
        <w:rPr>
          <w:rFonts w:ascii="Arial" w:cs="Arial" w:eastAsia="Arial" w:hAnsi="Arial"/>
          <w:sz w:val="21"/>
          <w:szCs w:val="21"/>
          <w:color w:val="auto"/>
        </w:rPr>
      </w:pPr>
      <w:r>
        <w:rPr>
          <w:rFonts w:ascii="Arial" w:cs="Arial" w:eastAsia="Arial" w:hAnsi="Arial"/>
          <w:sz w:val="21"/>
          <w:szCs w:val="21"/>
          <w:b w:val="1"/>
          <w:bCs w:val="1"/>
          <w:i w:val="1"/>
          <w:iCs w:val="1"/>
          <w:color w:val="auto"/>
        </w:rPr>
        <w:t>Release Agreement</w:t>
      </w:r>
      <w:r>
        <w:rPr>
          <w:rFonts w:ascii="Arial" w:cs="Arial" w:eastAsia="Arial" w:hAnsi="Arial"/>
          <w:sz w:val="21"/>
          <w:szCs w:val="21"/>
          <w:color w:val="auto"/>
        </w:rPr>
        <w:t>. Notwithstanding any provision of the Agreement to the contrary, in order to receive the vesting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acceleration provided under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or the severance payments and benefits provided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30">
        <w:r>
          <w:rPr>
            <w:rFonts w:ascii="Arial" w:cs="Arial" w:eastAsia="Arial" w:hAnsi="Arial"/>
            <w:sz w:val="21"/>
            <w:szCs w:val="21"/>
            <w:u w:val="single" w:color="auto"/>
            <w:color w:val="0000FF"/>
          </w:rPr>
          <w:t>6(b)</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 xml:space="preserve">or </w:t>
      </w:r>
      <w:r>
        <w:rPr>
          <w:rFonts w:ascii="Arial" w:cs="Arial" w:eastAsia="Arial" w:hAnsi="Arial"/>
          <w:sz w:val="21"/>
          <w:szCs w:val="21"/>
          <w:u w:val="single" w:color="auto"/>
          <w:color w:val="auto"/>
        </w:rPr>
        <w:t>(c)</w:t>
      </w:r>
      <w:r>
        <w:rPr>
          <w:rFonts w:ascii="Arial" w:cs="Arial" w:eastAsia="Arial" w:hAnsi="Arial"/>
          <w:sz w:val="21"/>
          <w:szCs w:val="21"/>
          <w:color w:val="auto"/>
        </w:rPr>
        <w:t>, the Executive must first execute an appropriate</w:t>
      </w:r>
    </w:p>
    <w:p>
      <w:pPr>
        <w:spacing w:after="0" w:line="200" w:lineRule="exact"/>
        <w:rPr>
          <w:sz w:val="20"/>
          <w:szCs w:val="20"/>
          <w:color w:val="auto"/>
        </w:rPr>
      </w:pPr>
    </w:p>
    <w:p>
      <w:pPr>
        <w:spacing w:after="0" w:line="396"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5</w:t>
            </w:r>
          </w:p>
        </w:tc>
      </w:tr>
    </w:tbl>
    <w:p>
      <w:pPr>
        <w:sectPr>
          <w:pgSz w:w="11900" w:h="16838" w:orient="portrait"/>
          <w:cols w:equalWidth="0" w:num="1">
            <w:col w:w="11240"/>
          </w:cols>
          <w:pgMar w:left="320" w:top="108"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release agreement (on a form provided by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whereby the Executive agrees to release and waive, in return for such vesting acceleration or severance benefits, any claims that Executive may have against the Company or any of its Affiliates including, without limitation, for unlawful discrimination (</w:t>
      </w:r>
      <w:r>
        <w:rPr>
          <w:rFonts w:ascii="Arial" w:cs="Arial" w:eastAsia="Arial" w:hAnsi="Arial"/>
          <w:sz w:val="19"/>
          <w:szCs w:val="19"/>
          <w:i w:val="1"/>
          <w:iCs w:val="1"/>
          <w:color w:val="auto"/>
        </w:rPr>
        <w:t>e.g.</w:t>
      </w:r>
      <w:r>
        <w:rPr>
          <w:rFonts w:ascii="Arial" w:cs="Arial" w:eastAsia="Arial" w:hAnsi="Arial"/>
          <w:sz w:val="19"/>
          <w:szCs w:val="19"/>
          <w:color w:val="auto"/>
        </w:rPr>
        <w:t>, Title VII of the Civil Rights Act); provided, however, such release agreement shall not release any claim or cause of action by or on behalf of the Executive for (a) any payment or benefit that may be due or payable under this Agreement or any vested benefits under any employee benefit plan or program or (b) non-payment of salary or benefits to which Executive is entitled from the Company as of the Termination Date. The Release must be provided to Executive within five (5) days following the Termination Date, and signed by Executive and returned to the Company, and any applicable revocation period must have expired, no later than thirty (30) days following the Termination Date.</w:t>
      </w:r>
    </w:p>
    <w:p>
      <w:pPr>
        <w:spacing w:after="0" w:line="154" w:lineRule="exact"/>
        <w:rPr>
          <w:sz w:val="20"/>
          <w:szCs w:val="20"/>
          <w:color w:val="auto"/>
        </w:rPr>
      </w:pPr>
    </w:p>
    <w:p>
      <w:pPr>
        <w:jc w:val="both"/>
        <w:ind w:firstLine="637"/>
        <w:spacing w:after="0" w:line="234" w:lineRule="auto"/>
        <w:tabs>
          <w:tab w:leader="none" w:pos="1263"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Reduction of Payments</w:t>
      </w:r>
      <w:r>
        <w:rPr>
          <w:rFonts w:ascii="Arial" w:cs="Arial" w:eastAsia="Arial" w:hAnsi="Arial"/>
          <w:sz w:val="19"/>
          <w:szCs w:val="19"/>
          <w:color w:val="auto"/>
        </w:rPr>
        <w:t>. Notwithstanding anything to the contrary in this Agreement, if Executive is a “disqualified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individual” (as defined in Code Section 280G(c)), and the payments and benefits provided for in this Agreement, together with any other payments and benefits which Executive has the right to receive from the Company or any of its Affiliates, would constitute a “parachute payment” (as defined in Code Section 280G(b)(2)), then the payments and benefits provided for in this Agreement shall be reduced (but not below zero) so that the present value of such total amounts and benefits received by Executive from the Company and its Affiliates will be one dollar ($1.00) less than three times Executive’s “base amount” (as defined in Code Section 280G(b)(3)) and so that no portion of such amounts and benefits received by Executive shall be subject to the excise tax imposed by Code Section 4999.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the extent of any such reduction in the amount of the payments and benefits provided hereunder shall be made by the Company in good faith. </w:t>
      </w:r>
      <w:r>
        <w:rPr>
          <w:rFonts w:ascii="Arial" w:cs="Arial" w:eastAsia="Arial" w:hAnsi="Arial"/>
          <w:sz w:val="17"/>
          <w:szCs w:val="17"/>
          <w:color w:val="auto"/>
        </w:rPr>
        <w:t>If</w:t>
      </w:r>
      <w:r>
        <w:rPr>
          <w:rFonts w:ascii="Arial" w:cs="Arial" w:eastAsia="Arial" w:hAnsi="Arial"/>
          <w:sz w:val="19"/>
          <w:szCs w:val="19"/>
          <w:color w:val="auto"/>
        </w:rPr>
        <w:t xml:space="preserve"> a reduced payment or benefit is made or provided and through error or otherwise that payment or benefit, when aggregated with other payments and benefits from the Company (or its affiliates) used in determining if a “parachute payment” exists, exceeds one dollar </w:t>
      </w:r>
      <w:r>
        <w:rPr>
          <w:rFonts w:ascii="Arial" w:cs="Arial" w:eastAsia="Arial" w:hAnsi="Arial"/>
          <w:sz w:val="18"/>
          <w:szCs w:val="18"/>
          <w:color w:val="auto"/>
        </w:rPr>
        <w:t>($</w:t>
      </w:r>
      <w:r>
        <w:rPr>
          <w:rFonts w:ascii="Arial" w:cs="Arial" w:eastAsia="Arial" w:hAnsi="Arial"/>
          <w:sz w:val="19"/>
          <w:szCs w:val="19"/>
          <w:color w:val="auto"/>
        </w:rPr>
        <w:t xml:space="preserve">1.00) less than three times Executive’s base amount, then Executive shall immediately repay such excess to the Company upon notification that an overpayment has been made. Nothing in this </w:t>
      </w:r>
      <w:r>
        <w:rPr>
          <w:rFonts w:ascii="Arial" w:cs="Arial" w:eastAsia="Arial" w:hAnsi="Arial"/>
          <w:sz w:val="19"/>
          <w:szCs w:val="19"/>
          <w:u w:val="single" w:color="auto"/>
          <w:color w:val="auto"/>
        </w:rPr>
        <w:t>Section 6(f)</w:t>
      </w:r>
      <w:r>
        <w:rPr>
          <w:rFonts w:ascii="Arial" w:cs="Arial" w:eastAsia="Arial" w:hAnsi="Arial"/>
          <w:sz w:val="19"/>
          <w:szCs w:val="19"/>
          <w:color w:val="auto"/>
        </w:rPr>
        <w:t xml:space="preserve"> shall require the Company to be responsible for, or have any liability or obligation with respect to, Executive’s excise tax liabilities under Code Section 4999.</w:t>
      </w:r>
    </w:p>
    <w:p>
      <w:pPr>
        <w:spacing w:after="0" w:line="168" w:lineRule="exact"/>
        <w:rPr>
          <w:rFonts w:ascii="Arial" w:cs="Arial" w:eastAsia="Arial" w:hAnsi="Arial"/>
          <w:sz w:val="19"/>
          <w:szCs w:val="19"/>
          <w:color w:val="auto"/>
        </w:rPr>
      </w:pPr>
    </w:p>
    <w:p>
      <w:pPr>
        <w:ind w:left="1260" w:hanging="623"/>
        <w:spacing w:after="0"/>
        <w:tabs>
          <w:tab w:leader="none" w:pos="1260" w:val="left"/>
        </w:tabs>
        <w:numPr>
          <w:ilvl w:val="0"/>
          <w:numId w:val="58"/>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640" w:firstLine="628"/>
        <w:spacing w:after="0" w:line="215" w:lineRule="auto"/>
        <w:tabs>
          <w:tab w:leader="none" w:pos="1899" w:val="left"/>
        </w:tabs>
        <w:numPr>
          <w:ilvl w:val="1"/>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incorporated or unincorporated trade or business or other entity or person, other than the Company, that along with the Company is considered a single employer under Code Section 414(b) or Code Section 414(c); provided, however, (a) in applying Code Section 1563(a)(l), (2), and (3) for purposes of determining a controlled group of corporations under Code Section 414(b), the phrase “at least 50 percent” shall be used instead of the phrase “at least 80 percent” in each place the phrase “at least 80 percent” appears in Code Section 1563(a)(l), (2), and (3), and (b) in applying Treasury Regulation Section l.414(c)-2 for the purposes of determining trades or businesses (whether or not incorporated) that are under common control for the purposes of Code Section 414(c), the phrase “at least 50 percent” shall be used instead of the phrase “at least 80 percent” in each place the phrase “at least 80 percent” appears in Treasury Regulation Section l.414(c)-2.</w:t>
      </w:r>
    </w:p>
    <w:p>
      <w:pPr>
        <w:spacing w:after="0" w:line="158" w:lineRule="exact"/>
        <w:rPr>
          <w:rFonts w:ascii="Arial" w:cs="Arial" w:eastAsia="Arial" w:hAnsi="Arial"/>
          <w:sz w:val="21"/>
          <w:szCs w:val="21"/>
          <w:color w:val="auto"/>
        </w:rPr>
      </w:pPr>
    </w:p>
    <w:p>
      <w:pPr>
        <w:ind w:left="1900" w:hanging="632"/>
        <w:spacing w:after="0"/>
        <w:tabs>
          <w:tab w:leader="none" w:pos="1900" w:val="left"/>
        </w:tabs>
        <w:numPr>
          <w:ilvl w:val="1"/>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then-current Board of Directors of the Company.</w:t>
      </w:r>
    </w:p>
    <w:p>
      <w:pPr>
        <w:spacing w:after="0" w:line="179" w:lineRule="exact"/>
        <w:rPr>
          <w:rFonts w:ascii="Arial" w:cs="Arial" w:eastAsia="Arial" w:hAnsi="Arial"/>
          <w:sz w:val="21"/>
          <w:szCs w:val="21"/>
          <w:color w:val="auto"/>
        </w:rPr>
      </w:pPr>
    </w:p>
    <w:p>
      <w:pPr>
        <w:jc w:val="both"/>
        <w:ind w:left="640" w:firstLine="628"/>
        <w:spacing w:after="0" w:line="237" w:lineRule="auto"/>
        <w:tabs>
          <w:tab w:leader="none" w:pos="1899" w:val="left"/>
        </w:tabs>
        <w:numPr>
          <w:ilvl w:val="1"/>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 (A) Executive’s conviction of, or plea of no contest to, a misdemeanor involving moral turpitude or a felony; (B) Executive’s repeated failure or refusal to perform all of his duties, obligations and agreements herein contained or imposed by law, including his fiduciary duties, to the reasonable satisfaction of the Board;</w:t>
      </w:r>
    </w:p>
    <w:p>
      <w:pPr>
        <w:spacing w:after="0" w:line="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(C) Executive’s commission of acts amounting to gross negligence or willful misconduct 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6</w:t>
            </w:r>
          </w:p>
        </w:tc>
      </w:tr>
    </w:tbl>
    <w:p>
      <w:pPr>
        <w:sectPr>
          <w:pgSz w:w="11900" w:h="16838" w:orient="portrait"/>
          <w:cols w:equalWidth="0" w:num="1">
            <w:col w:w="11240"/>
          </w:cols>
          <w:pgMar w:left="320" w:top="10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spacing w:after="0" w:line="244" w:lineRule="auto"/>
        <w:rPr>
          <w:sz w:val="20"/>
          <w:szCs w:val="20"/>
          <w:color w:val="auto"/>
        </w:rPr>
      </w:pPr>
      <w:r>
        <w:rPr>
          <w:rFonts w:ascii="Arial" w:cs="Arial" w:eastAsia="Arial" w:hAnsi="Arial"/>
          <w:sz w:val="19"/>
          <w:szCs w:val="19"/>
          <w:color w:val="auto"/>
        </w:rPr>
        <w:t>the material detriment of the Company; or (D) Executive’s material breach of any provision of this Agreement or uniformly applied provision of the Company’s employee handbook or other personnel policies, including without limitation, its Code of Business Conduct and Ethics. Such determination of “Cause” shall be made by the Board and, in the event of circumstances described in clause (B) or (D) above, the Board shall give written notice to Executive specifying such circumstances and providing a period of 30 days in which Executive shall be allowed to cure such circumstances, if capable of cure.</w:t>
      </w:r>
    </w:p>
    <w:p>
      <w:pPr>
        <w:spacing w:after="0" w:line="153" w:lineRule="exact"/>
        <w:rPr>
          <w:sz w:val="20"/>
          <w:szCs w:val="20"/>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means the Consolidated Omnibus Budget Reconciliation Act of 1985, as amended.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means the Compensation Committee of the Board.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Change</w:t>
      </w:r>
      <w:r>
        <w:rPr>
          <w:rFonts w:ascii="Arial" w:cs="Arial" w:eastAsia="Arial" w:hAnsi="Arial"/>
          <w:sz w:val="20"/>
          <w:szCs w:val="20"/>
          <w:color w:val="auto"/>
        </w:rPr>
        <w:t>” means a “Corporate Transaction” or “Change in Control” (as defined in the LTIP).</w:t>
      </w:r>
    </w:p>
    <w:p>
      <w:pPr>
        <w:spacing w:after="0" w:line="191" w:lineRule="exact"/>
        <w:rPr>
          <w:rFonts w:ascii="Arial" w:cs="Arial" w:eastAsia="Arial" w:hAnsi="Arial"/>
          <w:sz w:val="20"/>
          <w:szCs w:val="20"/>
          <w:color w:val="auto"/>
        </w:rPr>
      </w:pPr>
    </w:p>
    <w:p>
      <w:pPr>
        <w:ind w:left="1900" w:hanging="632"/>
        <w:spacing w:after="0"/>
        <w:tabs>
          <w:tab w:leader="none" w:pos="19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Change Period</w:t>
      </w:r>
      <w:r>
        <w:rPr>
          <w:rFonts w:ascii="Arial" w:cs="Arial" w:eastAsia="Arial" w:hAnsi="Arial"/>
          <w:sz w:val="20"/>
          <w:szCs w:val="20"/>
          <w:color w:val="auto"/>
        </w:rPr>
        <w:t>” means the 24-month period following the occurrence of a Corporate Change.</w:t>
      </w:r>
    </w:p>
    <w:p>
      <w:pPr>
        <w:spacing w:after="0" w:line="191" w:lineRule="exact"/>
        <w:rPr>
          <w:rFonts w:ascii="Arial" w:cs="Arial" w:eastAsia="Arial" w:hAnsi="Arial"/>
          <w:sz w:val="20"/>
          <w:szCs w:val="20"/>
          <w:color w:val="auto"/>
        </w:rPr>
      </w:pPr>
    </w:p>
    <w:p>
      <w:pPr>
        <w:jc w:val="both"/>
        <w:ind w:left="640" w:firstLine="628"/>
        <w:spacing w:after="0" w:line="223" w:lineRule="auto"/>
        <w:tabs>
          <w:tab w:leader="none" w:pos="1899"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Beneficiary</w:t>
      </w:r>
      <w:r>
        <w:rPr>
          <w:rFonts w:ascii="Arial" w:cs="Arial" w:eastAsia="Arial" w:hAnsi="Arial"/>
          <w:sz w:val="21"/>
          <w:szCs w:val="21"/>
          <w:color w:val="auto"/>
        </w:rPr>
        <w:t>” means the Executive’s surviving spouse, if any. If there is no such surviving spouse at the time of Executive’s death, then the Designated Beneficiary hereunder shall be Executive’s estate after the legal representative of such estate provides satisfactory evidence thereof to the Company (or its delegate) within the one-year period following Executive’s date of death.</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Board member.</w:t>
      </w:r>
    </w:p>
    <w:p>
      <w:pPr>
        <w:spacing w:after="0" w:line="179" w:lineRule="exact"/>
        <w:rPr>
          <w:rFonts w:ascii="Arial" w:cs="Arial" w:eastAsia="Arial" w:hAnsi="Arial"/>
          <w:sz w:val="21"/>
          <w:szCs w:val="21"/>
          <w:color w:val="auto"/>
        </w:rPr>
      </w:pPr>
    </w:p>
    <w:p>
      <w:pPr>
        <w:jc w:val="both"/>
        <w:ind w:left="640" w:firstLine="628"/>
        <w:spacing w:after="0" w:line="217" w:lineRule="auto"/>
        <w:tabs>
          <w:tab w:leader="none" w:pos="1891"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Disabled</w:t>
      </w:r>
      <w:r>
        <w:rPr>
          <w:rFonts w:ascii="Arial" w:cs="Arial" w:eastAsia="Arial" w:hAnsi="Arial"/>
          <w:sz w:val="21"/>
          <w:szCs w:val="21"/>
          <w:color w:val="auto"/>
        </w:rPr>
        <w:t>” or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that Executive has become incapacitated by accident, illness or other circumstance which has rendered him mentally or physically incapable of performing the duties and services required of him hereunder on a full-time basis for a period of at least 365 consecutive days. Evidence of such Disability shall be certified by a physician acceptable to both the Company and Executive. In the event that the Parties are not able to agree on the choice of a physician, each shall select one physician who, in turn, shall select a third physician to render such certification. All reasonable costs directly relating to the determination of whether Executive has incurred a Disability for purposes of this Agreement shall be paid by the Company.</w:t>
      </w:r>
    </w:p>
    <w:p>
      <w:pPr>
        <w:spacing w:after="0" w:line="155"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w:t>
      </w:r>
      <w:r>
        <w:rPr>
          <w:rFonts w:ascii="Arial" w:cs="Arial" w:eastAsia="Arial" w:hAnsi="Arial"/>
          <w:sz w:val="21"/>
          <w:szCs w:val="21"/>
          <w:color w:val="auto"/>
        </w:rPr>
        <w:t>” means any dispute, disagreement, claim, or controversy arising from, in connection with, or relating to (A) the Employment, or termination of Employment, of Executive, or (B) the Agreement, or the validity, interpretation, performance, breach or termination of the Agreement.</w:t>
      </w:r>
    </w:p>
    <w:p>
      <w:pPr>
        <w:spacing w:after="0" w:line="153"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Employment</w:t>
      </w:r>
      <w:r>
        <w:rPr>
          <w:rFonts w:ascii="Arial" w:cs="Arial" w:eastAsia="Arial" w:hAnsi="Arial"/>
          <w:sz w:val="21"/>
          <w:szCs w:val="21"/>
          <w:color w:val="auto"/>
        </w:rPr>
        <w:t>” means employment by the Company or any Affiliate.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179" w:lineRule="exact"/>
        <w:rPr>
          <w:rFonts w:ascii="Arial" w:cs="Arial" w:eastAsia="Arial" w:hAnsi="Arial"/>
          <w:sz w:val="21"/>
          <w:szCs w:val="21"/>
          <w:color w:val="auto"/>
        </w:rPr>
      </w:pPr>
    </w:p>
    <w:p>
      <w:pPr>
        <w:jc w:val="both"/>
        <w:ind w:left="640" w:firstLine="628"/>
        <w:spacing w:after="0" w:line="241" w:lineRule="auto"/>
        <w:tabs>
          <w:tab w:leader="none" w:pos="1899" w:val="left"/>
        </w:tabs>
        <w:numPr>
          <w:ilvl w:val="1"/>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occurrence of any of the following actions if taken without Executive’s prior written consent: (A) any material breach by the Company to comply with its obligations under the terms of the Agreement;</w:t>
      </w:r>
    </w:p>
    <w:p>
      <w:pPr>
        <w:jc w:val="both"/>
        <w:ind w:left="640" w:hanging="3"/>
        <w:spacing w:after="0" w:line="242" w:lineRule="auto"/>
        <w:tabs>
          <w:tab w:leader="none" w:pos="978"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material diminution in the Executive’s responsibilities, authority or duties, (C) a 10% or greater reduction of the sum of Executive’s Base Salary and Target Annual Bonus; or (D) any change greater than 50 miles in the permanent location at which Executive performs services for the Company. The Executive shall give written notice to the Board specifying such actions within 90 days of the initial existence of such action and providing a period of 30 days in which the Company shall</w:t>
      </w:r>
    </w:p>
    <w:p>
      <w:pPr>
        <w:spacing w:after="0" w:line="200" w:lineRule="exact"/>
        <w:rPr>
          <w:sz w:val="20"/>
          <w:szCs w:val="20"/>
          <w:color w:val="auto"/>
        </w:rPr>
      </w:pPr>
    </w:p>
    <w:p>
      <w:pPr>
        <w:spacing w:after="0" w:line="396"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7</w:t>
            </w:r>
          </w:p>
        </w:tc>
      </w:tr>
    </w:tbl>
    <w:p>
      <w:pPr>
        <w:sectPr>
          <w:pgSz w:w="11900" w:h="16838" w:orient="portrait"/>
          <w:cols w:equalWidth="0" w:num="1">
            <w:col w:w="11240"/>
          </w:cols>
          <w:pgMar w:left="320" w:top="10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spacing w:after="0" w:line="228" w:lineRule="auto"/>
        <w:rPr>
          <w:sz w:val="20"/>
          <w:szCs w:val="20"/>
          <w:color w:val="auto"/>
        </w:rPr>
      </w:pPr>
      <w:r>
        <w:rPr>
          <w:rFonts w:ascii="Arial" w:cs="Arial" w:eastAsia="Arial" w:hAnsi="Arial"/>
          <w:sz w:val="21"/>
          <w:szCs w:val="21"/>
          <w:color w:val="auto"/>
        </w:rPr>
        <w:t>be allowed to cure such circumstances. Provided that the condition purporting to give rise to the Good Reason event is not cured within the 30-day cure period, Executive must exercise his right to terminate this Agreement for Good Reason within 120 days after the initial existence of the Good Reason event.</w:t>
      </w:r>
    </w:p>
    <w:p>
      <w:pPr>
        <w:spacing w:after="0" w:line="154" w:lineRule="exact"/>
        <w:rPr>
          <w:sz w:val="20"/>
          <w:szCs w:val="20"/>
          <w:color w:val="auto"/>
        </w:rPr>
      </w:pPr>
    </w:p>
    <w:p>
      <w:pPr>
        <w:ind w:left="1940" w:hanging="672"/>
        <w:spacing w:after="0"/>
        <w:tabs>
          <w:tab w:leader="none" w:pos="1940" w:val="left"/>
        </w:tabs>
        <w:numPr>
          <w:ilvl w:val="2"/>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date on which Executive’s Employment terminates for whatever reason.</w:t>
      </w:r>
    </w:p>
    <w:p>
      <w:pPr>
        <w:spacing w:after="0" w:line="185" w:lineRule="exact"/>
        <w:rPr>
          <w:rFonts w:ascii="Arial" w:cs="Arial" w:eastAsia="Arial" w:hAnsi="Arial"/>
          <w:sz w:val="20"/>
          <w:szCs w:val="20"/>
          <w:color w:val="auto"/>
        </w:rPr>
      </w:pPr>
    </w:p>
    <w:p>
      <w:pPr>
        <w:jc w:val="both"/>
        <w:ind w:firstLine="5"/>
        <w:spacing w:after="0" w:line="224" w:lineRule="auto"/>
        <w:tabs>
          <w:tab w:leader="none" w:pos="63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Termination</w:t>
      </w:r>
      <w:r>
        <w:rPr>
          <w:rFonts w:ascii="Arial" w:cs="Arial" w:eastAsia="Arial" w:hAnsi="Arial"/>
          <w:sz w:val="20"/>
          <w:szCs w:val="20"/>
          <w:color w:val="auto"/>
        </w:rPr>
        <w:t>. Any termination of Executive’s Employment by the Company or the Executive other than for death</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communicated by Notice of Termination to the other Party hereto. For purposes of this Agreement, the term “</w:t>
      </w:r>
      <w:r>
        <w:rPr>
          <w:rFonts w:ascii="Arial" w:cs="Arial" w:eastAsia="Arial" w:hAnsi="Arial"/>
          <w:sz w:val="20"/>
          <w:szCs w:val="20"/>
          <w:u w:val="single" w:color="auto"/>
          <w:color w:val="auto"/>
        </w:rPr>
        <w:t>Notice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w:t>
      </w:r>
      <w:r>
        <w:rPr>
          <w:rFonts w:ascii="Arial" w:cs="Arial" w:eastAsia="Arial" w:hAnsi="Arial"/>
          <w:sz w:val="20"/>
          <w:szCs w:val="20"/>
          <w:color w:val="auto"/>
        </w:rPr>
        <w:t>” means (a) a written notice which indicates the specific termination provision of this Agreement relied upon, (b) sets forth in reasonable detail the facts and circumstances claimed to provide a basis for termination of the Executive’s Employment under the provision so indicated, and (c) specifies a Termination Date which, if submitted by Executive, shall be at least thirty (30) days following the date of such Notice of Termination unless such termination is for Good Reason within a Corporate Change Period (in which case the requirements for a termination due to Good Reason shall apply); provided, however, that in the event that Executive delivers a Notice of Termination to the Company, the Company may, in its sole discretion, change the Termination Date to any date that occurs following the date of receipt of such Notice of Termination and is prior to the date specified in such Notice of Termination. A Notice of Termination submitted by the Company may provide for a Termination Date on the date Executive receives the Notice of Termination, or any date thereafter elected by the Company in its sole discretion. The failure by the Company or Executive to set forth in the Notice of Termination any fact or circumstance which contributes to a showing of Cause or Good Reason shall not waive or otherwise prejudice any right of such Party hereunder or preclude such Party from asserting such fact or circumstance in enforcing such Party’s rights hereunder.</w:t>
      </w:r>
    </w:p>
    <w:p>
      <w:pPr>
        <w:spacing w:after="0" w:line="153" w:lineRule="exact"/>
        <w:rPr>
          <w:rFonts w:ascii="Arial" w:cs="Arial" w:eastAsia="Arial" w:hAnsi="Arial"/>
          <w:sz w:val="20"/>
          <w:szCs w:val="20"/>
          <w:b w:val="1"/>
          <w:bCs w:val="1"/>
          <w:color w:val="auto"/>
        </w:rPr>
      </w:pPr>
    </w:p>
    <w:p>
      <w:pPr>
        <w:jc w:val="both"/>
        <w:ind w:firstLine="5"/>
        <w:spacing w:after="0" w:line="230" w:lineRule="auto"/>
        <w:tabs>
          <w:tab w:leader="none" w:pos="632"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color w:val="auto"/>
        </w:rPr>
        <w:t>. Except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6(f)</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excess parachute payments, Executive shall not be required to</w:t>
      </w:r>
      <w:r>
        <w:rPr>
          <w:rFonts w:ascii="Arial" w:cs="Arial" w:eastAsia="Arial" w:hAnsi="Arial"/>
          <w:sz w:val="21"/>
          <w:szCs w:val="21"/>
          <w:b w:val="1"/>
          <w:bCs w:val="1"/>
          <w:color w:val="auto"/>
        </w:rPr>
        <w:t xml:space="preserve"> </w:t>
      </w:r>
      <w:r>
        <w:rPr>
          <w:rFonts w:ascii="Arial" w:cs="Arial" w:eastAsia="Arial" w:hAnsi="Arial"/>
          <w:sz w:val="21"/>
          <w:szCs w:val="21"/>
          <w:color w:val="auto"/>
        </w:rPr>
        <w:t>mitigate the amount of any payment or other benefits provided under this Agreement by seeking other employment or in any other manner.</w:t>
      </w:r>
    </w:p>
    <w:p>
      <w:pPr>
        <w:spacing w:after="0" w:line="147" w:lineRule="exact"/>
        <w:rPr>
          <w:rFonts w:ascii="Arial" w:cs="Arial" w:eastAsia="Arial" w:hAnsi="Arial"/>
          <w:sz w:val="21"/>
          <w:szCs w:val="21"/>
          <w:b w:val="1"/>
          <w:bCs w:val="1"/>
          <w:color w:val="auto"/>
        </w:rPr>
      </w:pPr>
    </w:p>
    <w:p>
      <w:pPr>
        <w:jc w:val="both"/>
        <w:ind w:firstLine="5"/>
        <w:spacing w:after="0" w:line="230" w:lineRule="auto"/>
        <w:tabs>
          <w:tab w:leader="none" w:pos="632" w:val="left"/>
        </w:tabs>
        <w:numPr>
          <w:ilvl w:val="0"/>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color w:val="auto"/>
        </w:rPr>
        <w:t>. As an inducement to the Company to enter into this Agreement, Executive represents to,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covenants with or in favor of, the Company that Executive will comply with all of the restrictive covenants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30">
        <w:r>
          <w:rPr>
            <w:rFonts w:ascii="Arial" w:cs="Arial" w:eastAsia="Arial" w:hAnsi="Arial"/>
            <w:sz w:val="21"/>
            <w:szCs w:val="21"/>
            <w:color w:val="0000FF"/>
          </w:rPr>
          <w:t>10</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through </w:t>
      </w:r>
      <w:r>
        <w:rPr>
          <w:rFonts w:ascii="Arial" w:cs="Arial" w:eastAsia="Arial" w:hAnsi="Arial"/>
          <w:sz w:val="21"/>
          <w:szCs w:val="21"/>
          <w:u w:val="single" w:color="auto"/>
          <w:color w:val="auto"/>
        </w:rPr>
        <w:t>16</w:t>
      </w:r>
      <w:r>
        <w:rPr>
          <w:rFonts w:ascii="Arial" w:cs="Arial" w:eastAsia="Arial" w:hAnsi="Arial"/>
          <w:sz w:val="21"/>
          <w:szCs w:val="21"/>
          <w:color w:val="auto"/>
        </w:rPr>
        <w:t>, as a condition to the Company’s obligation to provide any benefits to Executive under this Agreement.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Trade Secrets</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28" w:lineRule="auto"/>
        <w:tabs>
          <w:tab w:leader="none" w:pos="1260" w:val="left"/>
        </w:tabs>
        <w:numPr>
          <w:ilvl w:val="1"/>
          <w:numId w:val="62"/>
        </w:numPr>
        <w:rPr>
          <w:rFonts w:ascii="Arial" w:cs="Arial" w:eastAsia="Arial" w:hAnsi="Arial"/>
          <w:sz w:val="21"/>
          <w:szCs w:val="21"/>
          <w:color w:val="auto"/>
        </w:rPr>
      </w:pPr>
      <w:r>
        <w:rPr>
          <w:rFonts w:ascii="Arial" w:cs="Arial" w:eastAsia="Arial" w:hAnsi="Arial"/>
          <w:sz w:val="21"/>
          <w:szCs w:val="21"/>
          <w:b w:val="1"/>
          <w:bCs w:val="1"/>
          <w:i w:val="1"/>
          <w:iCs w:val="1"/>
          <w:color w:val="auto"/>
        </w:rPr>
        <w:t>Access to Trade Secrets</w:t>
      </w:r>
      <w:r>
        <w:rPr>
          <w:rFonts w:ascii="Arial" w:cs="Arial" w:eastAsia="Arial" w:hAnsi="Arial"/>
          <w:sz w:val="21"/>
          <w:szCs w:val="21"/>
          <w:color w:val="auto"/>
        </w:rPr>
        <w:t>. As of the Effective Date and on an ongoing basis, the Company agrees to give Executive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access to Trade Secrets which the Executive did not have access to, or knowledge of, before Executive’s commencement of Employment.</w:t>
      </w:r>
    </w:p>
    <w:p>
      <w:pPr>
        <w:spacing w:after="0" w:line="153" w:lineRule="exact"/>
        <w:rPr>
          <w:rFonts w:ascii="Arial" w:cs="Arial" w:eastAsia="Arial" w:hAnsi="Arial"/>
          <w:sz w:val="21"/>
          <w:szCs w:val="21"/>
          <w:color w:val="auto"/>
        </w:rPr>
      </w:pPr>
    </w:p>
    <w:p>
      <w:pPr>
        <w:jc w:val="both"/>
        <w:ind w:firstLine="637"/>
        <w:spacing w:after="0" w:line="216" w:lineRule="auto"/>
        <w:tabs>
          <w:tab w:leader="none" w:pos="1259" w:val="left"/>
        </w:tabs>
        <w:numPr>
          <w:ilvl w:val="1"/>
          <w:numId w:val="62"/>
        </w:numPr>
        <w:rPr>
          <w:rFonts w:ascii="Arial" w:cs="Arial" w:eastAsia="Arial" w:hAnsi="Arial"/>
          <w:sz w:val="21"/>
          <w:szCs w:val="21"/>
          <w:color w:val="auto"/>
        </w:rPr>
      </w:pPr>
      <w:r>
        <w:rPr>
          <w:rFonts w:ascii="Arial" w:cs="Arial" w:eastAsia="Arial" w:hAnsi="Arial"/>
          <w:sz w:val="21"/>
          <w:szCs w:val="21"/>
          <w:b w:val="1"/>
          <w:bCs w:val="1"/>
          <w:i w:val="1"/>
          <w:iCs w:val="1"/>
          <w:color w:val="auto"/>
        </w:rPr>
        <w:t>Agreement Not to Use or Disclose Trade Secrets</w:t>
      </w:r>
      <w:r>
        <w:rPr>
          <w:rFonts w:ascii="Arial" w:cs="Arial" w:eastAsia="Arial" w:hAnsi="Arial"/>
          <w:sz w:val="21"/>
          <w:szCs w:val="21"/>
          <w:color w:val="auto"/>
        </w:rPr>
        <w:t>. In exchange for the Company’s promises to provide Executive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access to Trade Secrets, and the other consideration and benefits provided to Executive under this Agreement, Executive agrees that, during the Employment Period and any time thereafter, not to disclose to anyone, including, without limitation, any person, firm, corporation or other entity, or publish or use for any purpose, any Trade Secrets, except (1) as required in the ordinary course of the business of the Company or an Affiliate or (2) as authorized by the Company or Affiliate, as applicable. Executive acknowledges that Trade Secrets (A) have been and will be developed or acquired by the Company (or an Affiliate) through the expenditure of substantial time, effort and money and (B) provide the Company (or an Affiliate) with an advantage over competitors who do not know or use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6502400</wp:posOffset>
            </wp:positionH>
            <wp:positionV relativeFrom="paragraph">
              <wp:posOffset>-2167890</wp:posOffset>
            </wp:positionV>
            <wp:extent cx="2171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136"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Executive shall hold in a fiduciary capacity for the benefit of the Company (or its Affiliate, as applicable) any Trade Secret relating to the Company or any of its Affiliates, and their respective businesses, which (a) has been obtained by Executive during his Employment and (b) is not public knowledge other than via an unauthorized disclosure made by Executive in violation of this</w:t>
      </w:r>
    </w:p>
    <w:p>
      <w:pPr>
        <w:spacing w:after="0" w:line="200" w:lineRule="exact"/>
        <w:rPr>
          <w:sz w:val="20"/>
          <w:szCs w:val="20"/>
          <w:color w:val="auto"/>
        </w:rPr>
      </w:pPr>
    </w:p>
    <w:p>
      <w:pPr>
        <w:spacing w:after="0" w:line="380"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8</w:t>
            </w:r>
          </w:p>
        </w:tc>
      </w:tr>
    </w:tbl>
    <w:p>
      <w:pPr>
        <w:sectPr>
          <w:pgSz w:w="11900" w:h="16838" w:orient="portrait"/>
          <w:cols w:equalWidth="0" w:num="1">
            <w:col w:w="11240"/>
          </w:cols>
          <w:pgMar w:left="320" w:top="108"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Agreement. Executive acknowledges and agrees that all Trade Secrets are, and will continue to be, the exclusive property of the Company or Affiliate, as applicable.</w:t>
      </w:r>
    </w:p>
    <w:p>
      <w:pPr>
        <w:spacing w:after="0" w:line="155"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Executive shall not at any time disclose to any person or entity, or publish, or use for any unauthorized purpose, any Trade Secret, except as the Company directs or under compulsion of law. Executive agrees to give notice to the Company of any attempt to compel disclosure of any Trade Secret within five (5) business days after Executive is informed that such disclosure is being, or will be, compelled. Any such notice shall contain a copy of the subpoena, order or other process used to compel disclosure.</w:t>
      </w:r>
    </w:p>
    <w:p>
      <w:pPr>
        <w:spacing w:after="0" w:line="146" w:lineRule="exact"/>
        <w:rPr>
          <w:sz w:val="20"/>
          <w:szCs w:val="20"/>
          <w:color w:val="auto"/>
        </w:rPr>
      </w:pPr>
    </w:p>
    <w:p>
      <w:pPr>
        <w:jc w:val="both"/>
        <w:ind w:firstLine="632"/>
        <w:spacing w:after="0" w:line="228" w:lineRule="auto"/>
        <w:rPr>
          <w:rFonts w:ascii="Arial" w:cs="Arial" w:eastAsia="Arial" w:hAnsi="Arial"/>
          <w:sz w:val="21"/>
          <w:szCs w:val="21"/>
          <w:color w:val="auto"/>
        </w:rPr>
      </w:pPr>
      <w:r>
        <w:rPr>
          <w:rFonts w:ascii="Arial" w:cs="Arial" w:eastAsia="Arial" w:hAnsi="Arial"/>
          <w:sz w:val="21"/>
          <w:szCs w:val="21"/>
          <w:color w:val="auto"/>
        </w:rPr>
        <w:t xml:space="preserve">The agreements and covenants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30">
        <w:r>
          <w:rPr>
            <w:rFonts w:ascii="Arial" w:cs="Arial" w:eastAsia="Arial" w:hAnsi="Arial"/>
            <w:sz w:val="21"/>
            <w:szCs w:val="21"/>
            <w:u w:val="single" w:color="auto"/>
            <w:color w:val="0000FF"/>
          </w:rPr>
          <w:t>10(b)</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apply to all Trade Secrets, whether now known or later to become known to Executive. In addition, these provisions shall be in addition to, and not limit or restrict in any way, any other confidentiality agreement or covenant between the Executive and the Company or any of its Affiliates.</w:t>
      </w:r>
    </w:p>
    <w:p>
      <w:pPr>
        <w:spacing w:after="0" w:line="154" w:lineRule="exact"/>
        <w:rPr>
          <w:sz w:val="20"/>
          <w:szCs w:val="20"/>
          <w:color w:val="auto"/>
        </w:rPr>
      </w:pPr>
    </w:p>
    <w:p>
      <w:pPr>
        <w:jc w:val="both"/>
        <w:ind w:firstLine="637"/>
        <w:spacing w:after="0" w:line="217" w:lineRule="auto"/>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b w:val="1"/>
          <w:bCs w:val="1"/>
          <w:i w:val="1"/>
          <w:iCs w:val="1"/>
          <w:color w:val="auto"/>
        </w:rPr>
        <w:t>Agreement to Refrain from Defamatory Statements</w:t>
      </w:r>
      <w:r>
        <w:rPr>
          <w:rFonts w:ascii="Arial" w:cs="Arial" w:eastAsia="Arial" w:hAnsi="Arial"/>
          <w:sz w:val="21"/>
          <w:szCs w:val="21"/>
          <w:color w:val="auto"/>
        </w:rPr>
        <w:t>. Executive shall refrain, both during the Employment Period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thereafter, from publishing any oral or written statements about any directors, partners, officers, employees, agents, investors or representatives of the Company or any Affiliate that are (1) slanderous, libelous, or defamatory; (2) disclose private or confidential information about the business affairs, directors, partners, officers, employees, agents, investors or representatives of the Company or any Affiliate; (3) constitute an intrusion into the seclusion or private lives of any such person; (4) give rise to unreasonable publicity about the private life of any such person; (5) place any such person in a false light before the public; or (6) constitute a misappropriation of the name or likeness of any such person.</w:t>
      </w:r>
    </w:p>
    <w:p>
      <w:pPr>
        <w:spacing w:after="0" w:line="155" w:lineRule="exact"/>
        <w:rPr>
          <w:rFonts w:ascii="Arial" w:cs="Arial" w:eastAsia="Arial" w:hAnsi="Arial"/>
          <w:sz w:val="21"/>
          <w:szCs w:val="21"/>
          <w:color w:val="auto"/>
        </w:rPr>
      </w:pPr>
    </w:p>
    <w:p>
      <w:pPr>
        <w:ind w:left="1260" w:hanging="623"/>
        <w:spacing w:after="0"/>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The following terms, when used in this Agreement, are defined below:</w:t>
      </w:r>
    </w:p>
    <w:p>
      <w:pPr>
        <w:spacing w:after="0" w:line="179" w:lineRule="exact"/>
        <w:rPr>
          <w:rFonts w:ascii="Arial" w:cs="Arial" w:eastAsia="Arial" w:hAnsi="Arial"/>
          <w:sz w:val="21"/>
          <w:szCs w:val="21"/>
          <w:color w:val="auto"/>
        </w:rPr>
      </w:pPr>
    </w:p>
    <w:p>
      <w:pPr>
        <w:jc w:val="both"/>
        <w:ind w:left="640" w:firstLine="628"/>
        <w:spacing w:after="0" w:line="220" w:lineRule="auto"/>
        <w:tabs>
          <w:tab w:leader="none" w:pos="18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Territory</w:t>
      </w:r>
      <w:r>
        <w:rPr>
          <w:rFonts w:ascii="Arial" w:cs="Arial" w:eastAsia="Arial" w:hAnsi="Arial"/>
          <w:sz w:val="21"/>
          <w:szCs w:val="21"/>
          <w:color w:val="auto"/>
        </w:rPr>
        <w:t>” means any county, or equivalent political or governmental subdivision, of any state, district, or territory of the continental United States in which the Company or any of its Affiliates conducts its business; and any area adjacent to such counties, or equivalent political or governmental subdivision, to the extent such adjacent areas are within a 50-mile radius of any funeral home, cemetery or other death care business owned or operated by the Company or any of its Affiliates as of the Termination Date.</w:t>
      </w:r>
    </w:p>
    <w:p>
      <w:pPr>
        <w:spacing w:after="0" w:line="156"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means any and all information and materials (in any form or medium) that are proprietary to the Company or an Affiliate, or are treated as confidential by the Company or an Affiliate as part of, or relating to, any portion of its or their businesses (whether or not owned or developed by the Company or an Affiliate) and that are not generally known by other persons or entities in the same type of business.</w:t>
      </w:r>
    </w:p>
    <w:p>
      <w:pPr>
        <w:spacing w:after="0" w:line="155" w:lineRule="exact"/>
        <w:rPr>
          <w:sz w:val="20"/>
          <w:szCs w:val="20"/>
          <w:color w:val="auto"/>
        </w:rPr>
      </w:pPr>
    </w:p>
    <w:p>
      <w:pPr>
        <w:jc w:val="both"/>
        <w:ind w:left="640" w:firstLine="632"/>
        <w:spacing w:after="0" w:line="224" w:lineRule="auto"/>
        <w:rPr>
          <w:sz w:val="20"/>
          <w:szCs w:val="20"/>
          <w:color w:val="auto"/>
        </w:rPr>
      </w:pPr>
      <w:r>
        <w:rPr>
          <w:rFonts w:ascii="Arial" w:cs="Arial" w:eastAsia="Arial" w:hAnsi="Arial"/>
          <w:sz w:val="20"/>
          <w:szCs w:val="20"/>
          <w:color w:val="auto"/>
        </w:rPr>
        <w:t>For purposes of the Agreement, Trade Secrets include, without limitation, the following: all of the Company’s or Affiliate’s research, technical and business information, whether patentable or not, which is of a confidential, trade secret or proprietary character, and which is either developed by the Executive alone, or with others or by others; all non-public information that the Company or an Affiliate has marked as confidential or has otherwise described to Executive (either in writing or orally) as confidential; all non-public information concerning the Company’s or Affiliate’s products, services, prospective products or services, research, prospects, leases, designs, prices, costs, marketing plans, marketing techniques, studies, customers, investors, suppliers and contracts; all business records and plans; all personnel files; all financial information of or concerning the Company or an Affiliate; all information relating to the Company’s operating system software, application software, software and system methodology, hardware platforms, technical information, inventions, computer programs and listings, source codes, object codes, copyrights and other intellectual property; all technical specifications; any proprietary information belonging to the Company or an Affiliate; all computer hardware or software manuals of the Company or an Affiliate; all Company or Affiliate training or instruction manuals; all Company or Affiliate electronic data; and all computer system passwords and user codes.</w:t>
      </w:r>
    </w:p>
    <w:p>
      <w:pPr>
        <w:spacing w:after="0" w:line="200" w:lineRule="exact"/>
        <w:rPr>
          <w:sz w:val="20"/>
          <w:szCs w:val="20"/>
          <w:color w:val="auto"/>
        </w:rPr>
      </w:pPr>
    </w:p>
    <w:p>
      <w:pPr>
        <w:spacing w:after="0" w:line="400"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9</w:t>
            </w:r>
          </w:p>
        </w:tc>
      </w:tr>
    </w:tbl>
    <w:p>
      <w:pPr>
        <w:sectPr>
          <w:pgSz w:w="11900" w:h="16838" w:orient="portrait"/>
          <w:cols w:equalWidth="0" w:num="1">
            <w:col w:w="11240"/>
          </w:cols>
          <w:pgMar w:left="320" w:top="10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5"/>
        <w:spacing w:after="0" w:line="219" w:lineRule="auto"/>
        <w:tabs>
          <w:tab w:leader="none" w:pos="62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Duty to Return Company Documents and Property</w:t>
      </w:r>
      <w:r>
        <w:rPr>
          <w:rFonts w:ascii="Arial" w:cs="Arial" w:eastAsia="Arial" w:hAnsi="Arial"/>
          <w:sz w:val="21"/>
          <w:szCs w:val="21"/>
          <w:color w:val="auto"/>
        </w:rPr>
        <w:t>. Upon the Termination Date, Executive shall immediately return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to the Company any and all papers, books, records, documents, memoranda and manuals, e-mail, electronic or magnetic recordings or data, including all copies thereof, belonging to the Company or relating to its business, in Executive’s possession, whether prepared by Executive or others. If at any time after the Termination Date, Executive determines that Executive has any Trade Secrets in Executive’s possession or control, Executive shall immediately return them to the Company, including all copies thereof.</w:t>
      </w:r>
    </w:p>
    <w:p>
      <w:pPr>
        <w:spacing w:after="0" w:line="151" w:lineRule="exact"/>
        <w:rPr>
          <w:rFonts w:ascii="Arial" w:cs="Arial" w:eastAsia="Arial" w:hAnsi="Arial"/>
          <w:sz w:val="21"/>
          <w:szCs w:val="21"/>
          <w:b w:val="1"/>
          <w:bCs w:val="1"/>
          <w:color w:val="auto"/>
        </w:rPr>
      </w:pPr>
    </w:p>
    <w:p>
      <w:pPr>
        <w:jc w:val="both"/>
        <w:ind w:firstLine="5"/>
        <w:spacing w:after="0" w:line="232" w:lineRule="auto"/>
        <w:tabs>
          <w:tab w:leader="none" w:pos="632"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Best Efforts and Disclosure</w:t>
      </w:r>
      <w:r>
        <w:rPr>
          <w:rFonts w:ascii="Arial" w:cs="Arial" w:eastAsia="Arial" w:hAnsi="Arial"/>
          <w:sz w:val="20"/>
          <w:szCs w:val="20"/>
          <w:color w:val="auto"/>
        </w:rPr>
        <w:t>. Executive agrees that, while employed with the Company under this Agreement,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shall be devoted on a full time basis to the Company’s business, and Executive shall use best efforts to promote its success. Further, Executive shall promptly disclose to the Company all ideas, inventions, computer programs, and discoveries, whether or not patentable or copyrightable, which Executive may conceive or make, alone or with others, during Executive’s period of Employment, whether or not during working hours, and which directly or indirectly:</w:t>
      </w:r>
    </w:p>
    <w:p>
      <w:pPr>
        <w:spacing w:after="0" w:line="157" w:lineRule="exact"/>
        <w:rPr>
          <w:rFonts w:ascii="Arial" w:cs="Arial" w:eastAsia="Arial" w:hAnsi="Arial"/>
          <w:sz w:val="20"/>
          <w:szCs w:val="20"/>
          <w:b w:val="1"/>
          <w:bCs w:val="1"/>
          <w:color w:val="auto"/>
        </w:rPr>
      </w:pPr>
    </w:p>
    <w:p>
      <w:pPr>
        <w:ind w:left="1260" w:hanging="623"/>
        <w:spacing w:after="0" w:line="237" w:lineRule="auto"/>
        <w:tabs>
          <w:tab w:leader="none" w:pos="1257" w:val="left"/>
        </w:tabs>
        <w:numPr>
          <w:ilvl w:val="1"/>
          <w:numId w:val="64"/>
        </w:numPr>
        <w:rPr>
          <w:rFonts w:ascii="Arial" w:cs="Arial" w:eastAsia="Arial" w:hAnsi="Arial"/>
          <w:sz w:val="21"/>
          <w:szCs w:val="21"/>
          <w:color w:val="auto"/>
        </w:rPr>
      </w:pPr>
      <w:r>
        <w:rPr>
          <w:rFonts w:ascii="Arial" w:cs="Arial" w:eastAsia="Arial" w:hAnsi="Arial"/>
          <w:sz w:val="21"/>
          <w:szCs w:val="21"/>
          <w:color w:val="auto"/>
        </w:rPr>
        <w:t>relate to a matter within the scope, field, duties or responsibility of Executive’s Employment or within the scope or field of the Company’s or an Affiliate’s business; or</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1"/>
          <w:numId w:val="64"/>
        </w:numPr>
        <w:rPr>
          <w:rFonts w:ascii="Arial" w:cs="Arial" w:eastAsia="Arial" w:hAnsi="Arial"/>
          <w:sz w:val="21"/>
          <w:szCs w:val="21"/>
          <w:color w:val="auto"/>
        </w:rPr>
      </w:pPr>
      <w:r>
        <w:rPr>
          <w:rFonts w:ascii="Arial" w:cs="Arial" w:eastAsia="Arial" w:hAnsi="Arial"/>
          <w:sz w:val="21"/>
          <w:szCs w:val="21"/>
          <w:color w:val="auto"/>
        </w:rPr>
        <w:t>are based on any knowledge of the actual or anticipated business or interests of the Company; or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64"/>
        </w:numPr>
        <w:rPr>
          <w:rFonts w:ascii="Arial" w:cs="Arial" w:eastAsia="Arial" w:hAnsi="Arial"/>
          <w:sz w:val="21"/>
          <w:szCs w:val="21"/>
          <w:color w:val="auto"/>
        </w:rPr>
      </w:pPr>
      <w:r>
        <w:rPr>
          <w:rFonts w:ascii="Arial" w:cs="Arial" w:eastAsia="Arial" w:hAnsi="Arial"/>
          <w:sz w:val="21"/>
          <w:szCs w:val="21"/>
          <w:color w:val="auto"/>
        </w:rPr>
        <w:t>are aided by the use of time, materials, facilities or information of the Company or an Affiliate.</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Executive assigns to the Company, without further compensation, any and all rights, titles and interest in all such ideas, inventions, computer programs and discoveries in all countries of the world.</w:t>
      </w:r>
    </w:p>
    <w:p>
      <w:pPr>
        <w:spacing w:after="0" w:line="149" w:lineRule="exact"/>
        <w:rPr>
          <w:sz w:val="20"/>
          <w:szCs w:val="20"/>
          <w:color w:val="auto"/>
        </w:rPr>
      </w:pPr>
    </w:p>
    <w:p>
      <w:pPr>
        <w:jc w:val="both"/>
        <w:ind w:firstLine="5"/>
        <w:spacing w:after="0" w:line="236" w:lineRule="auto"/>
        <w:tabs>
          <w:tab w:leader="none" w:pos="63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Inventions and Other Works</w:t>
      </w:r>
      <w:r>
        <w:rPr>
          <w:rFonts w:ascii="Arial" w:cs="Arial" w:eastAsia="Arial" w:hAnsi="Arial"/>
          <w:sz w:val="19"/>
          <w:szCs w:val="19"/>
          <w:color w:val="auto"/>
        </w:rPr>
        <w:t>. Any and all writings, computer software, inventions, improvements, processes,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and/or techniques which Executive may make, conceive, discover, or develop, either solely or jointly with any other person or persons, at any time during Executive’s period of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agrees to take any and all actions necessary or appropriate so that the Company can prepare and present applications for copyright or letters patent therefor, and secure such copyright or letters patent wherever possible, as well as reissue renewals, and extensions thereof, and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w:t>
      </w:r>
    </w:p>
    <w:p>
      <w:pPr>
        <w:spacing w:after="0" w:line="154" w:lineRule="exact"/>
        <w:rPr>
          <w:rFonts w:ascii="Arial" w:cs="Arial" w:eastAsia="Arial" w:hAnsi="Arial"/>
          <w:sz w:val="19"/>
          <w:szCs w:val="19"/>
          <w:b w:val="1"/>
          <w:bCs w:val="1"/>
          <w:color w:val="auto"/>
        </w:rPr>
      </w:pPr>
    </w:p>
    <w:p>
      <w:pPr>
        <w:jc w:val="both"/>
        <w:ind w:firstLine="5"/>
        <w:spacing w:after="0" w:line="241" w:lineRule="auto"/>
        <w:tabs>
          <w:tab w:leader="none" w:pos="632"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 Restriction</w:t>
      </w:r>
      <w:r>
        <w:rPr>
          <w:rFonts w:ascii="Arial" w:cs="Arial" w:eastAsia="Arial" w:hAnsi="Arial"/>
          <w:sz w:val="19"/>
          <w:szCs w:val="19"/>
          <w:color w:val="auto"/>
        </w:rPr>
        <w:t>. Executive hereby agrees that in order to protect Trade Secrets, it is necessary to enter into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restrictive covenant, which is ancillary to the enforceable promises between the Company and Executive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hyperlink w:anchor="page130">
        <w:r>
          <w:rPr>
            <w:rFonts w:ascii="Arial" w:cs="Arial" w:eastAsia="Arial" w:hAnsi="Arial"/>
            <w:sz w:val="19"/>
            <w:szCs w:val="19"/>
            <w:color w:val="0000FF"/>
          </w:rPr>
          <w:t>9</w:t>
        </w:r>
      </w:hyperlink>
      <w:r>
        <w:rPr>
          <w:rFonts w:ascii="Arial" w:cs="Arial" w:eastAsia="Arial" w:hAnsi="Arial"/>
          <w:sz w:val="19"/>
          <w:szCs w:val="19"/>
          <w:color w:val="auto"/>
        </w:rPr>
        <w:t xml:space="preserve"> through </w:t>
      </w:r>
      <w:hyperlink w:anchor="page130">
        <w:r>
          <w:rPr>
            <w:rFonts w:ascii="Arial" w:cs="Arial" w:eastAsia="Arial" w:hAnsi="Arial"/>
            <w:sz w:val="19"/>
            <w:szCs w:val="19"/>
            <w:color w:val="0000FF"/>
          </w:rPr>
          <w:t>13</w:t>
        </w:r>
        <w:r>
          <w:rPr>
            <w:rFonts w:ascii="Arial" w:cs="Arial" w:eastAsia="Arial" w:hAnsi="Arial"/>
            <w:sz w:val="19"/>
            <w:szCs w:val="19"/>
            <w:color w:val="auto"/>
          </w:rPr>
          <w:t xml:space="preserve"> </w:t>
        </w:r>
      </w:hyperlink>
      <w:r>
        <w:rPr>
          <w:rFonts w:ascii="Arial" w:cs="Arial" w:eastAsia="Arial" w:hAnsi="Arial"/>
          <w:sz w:val="19"/>
          <w:szCs w:val="19"/>
          <w:color w:val="auto"/>
        </w:rPr>
        <w:t>and other provisions of this Agreement. During the Executive’s Employment and for a period of two (2) years following the Termination Date (regardless of the reason for termination), Executive hereby covenants and agrees that he will not, directly or indirectly, without obtaining the express written consent of the Board, either individually or as a principal, partner, agent, consultant, contractor, employee, or as a director or officer of any entity, or in any other manner or capacity whatsoever, except on behalf of the Company, solicit business, attempt to solicit business, or conduct business, in products or services</w:t>
      </w:r>
    </w:p>
    <w:p>
      <w:pPr>
        <w:spacing w:after="0" w:line="20" w:lineRule="exact"/>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column">
              <wp:posOffset>7021195</wp:posOffset>
            </wp:positionH>
            <wp:positionV relativeFrom="paragraph">
              <wp:posOffset>-697865</wp:posOffset>
            </wp:positionV>
            <wp:extent cx="1168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-564515</wp:posOffset>
            </wp:positionV>
            <wp:extent cx="2006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200" w:lineRule="exact"/>
        <w:rPr>
          <w:rFonts w:ascii="Arial" w:cs="Arial" w:eastAsia="Arial" w:hAnsi="Arial"/>
          <w:sz w:val="19"/>
          <w:szCs w:val="19"/>
          <w:b w:val="1"/>
          <w:bCs w:val="1"/>
          <w:color w:val="auto"/>
        </w:rPr>
      </w:pPr>
    </w:p>
    <w:p>
      <w:pPr>
        <w:spacing w:after="0" w:line="377" w:lineRule="exact"/>
        <w:rPr>
          <w:rFonts w:ascii="Arial" w:cs="Arial" w:eastAsia="Arial" w:hAnsi="Arial"/>
          <w:sz w:val="19"/>
          <w:szCs w:val="19"/>
          <w:b w:val="1"/>
          <w:bCs w:val="1"/>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10</w:t>
            </w:r>
          </w:p>
        </w:tc>
      </w:tr>
    </w:tbl>
    <w:p>
      <w:pPr>
        <w:sectPr>
          <w:pgSz w:w="11900" w:h="16838" w:orient="portrait"/>
          <w:cols w:equalWidth="0" w:num="1">
            <w:col w:w="11240"/>
          </w:cols>
          <w:pgMar w:left="320" w:top="10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competitive with any products or services offered or performed by the Company or its Affiliates as of the Termination Date within the Restricted Territory.</w:t>
      </w:r>
    </w:p>
    <w:p>
      <w:pPr>
        <w:spacing w:after="0" w:line="149" w:lineRule="exact"/>
        <w:rPr>
          <w:sz w:val="20"/>
          <w:szCs w:val="20"/>
          <w:color w:val="auto"/>
        </w:rPr>
      </w:pPr>
    </w:p>
    <w:p>
      <w:pPr>
        <w:jc w:val="both"/>
        <w:ind w:firstLine="5"/>
        <w:spacing w:after="0" w:line="237" w:lineRule="auto"/>
        <w:tabs>
          <w:tab w:leader="none" w:pos="632"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Restriction</w:t>
      </w:r>
      <w:r>
        <w:rPr>
          <w:rFonts w:ascii="Arial" w:cs="Arial" w:eastAsia="Arial" w:hAnsi="Arial"/>
          <w:sz w:val="19"/>
          <w:szCs w:val="19"/>
          <w:color w:val="auto"/>
        </w:rPr>
        <w:t>. Executive hereby agrees that in order to protect Trade Secrets, it is necessary to enter into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restrictive covenant, which is ancillary to the enforceable promises between the Company and Executive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hyperlink w:anchor="page130">
        <w:r>
          <w:rPr>
            <w:rFonts w:ascii="Arial" w:cs="Arial" w:eastAsia="Arial" w:hAnsi="Arial"/>
            <w:sz w:val="19"/>
            <w:szCs w:val="19"/>
            <w:color w:val="0000FF"/>
          </w:rPr>
          <w:t>9</w:t>
        </w:r>
      </w:hyperlink>
      <w:r>
        <w:rPr>
          <w:rFonts w:ascii="Arial" w:cs="Arial" w:eastAsia="Arial" w:hAnsi="Arial"/>
          <w:sz w:val="19"/>
          <w:szCs w:val="19"/>
          <w:color w:val="auto"/>
        </w:rPr>
        <w:t xml:space="preserve"> through </w:t>
      </w:r>
      <w:hyperlink w:anchor="page130">
        <w:r>
          <w:rPr>
            <w:rFonts w:ascii="Arial" w:cs="Arial" w:eastAsia="Arial" w:hAnsi="Arial"/>
            <w:sz w:val="19"/>
            <w:szCs w:val="19"/>
            <w:color w:val="0000FF"/>
          </w:rPr>
          <w:t>14</w:t>
        </w:r>
        <w:r>
          <w:rPr>
            <w:rFonts w:ascii="Arial" w:cs="Arial" w:eastAsia="Arial" w:hAnsi="Arial"/>
            <w:sz w:val="19"/>
            <w:szCs w:val="19"/>
            <w:color w:val="auto"/>
          </w:rPr>
          <w:t xml:space="preserve"> </w:t>
        </w:r>
      </w:hyperlink>
      <w:r>
        <w:rPr>
          <w:rFonts w:ascii="Arial" w:cs="Arial" w:eastAsia="Arial" w:hAnsi="Arial"/>
          <w:sz w:val="19"/>
          <w:szCs w:val="19"/>
          <w:color w:val="auto"/>
        </w:rPr>
        <w:t xml:space="preserve">and other provisions of this Agreement. Executive hereby covenants and agrees that during Executive’s period of Employment, and for a period of two (2) years following the Termination Date (regardless of the reason for termination), Executive will not, without obtaining the express written consent of the Company, engage in any capacity, directly or indirectly (whether as proprietor, stockholder, director, partner, employee, agent, independent contractor, consultant, trustee, or in any other capacity), with respect to any entity which is or may be in the funeral, mortuary, crematory, cemetery or burial insurance business or in any business related thereto (a) as part of any of the companies or entities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or (b) within the Restricted Territory (in each case, a “</w:t>
      </w:r>
      <w:r>
        <w:rPr>
          <w:rFonts w:ascii="Arial" w:cs="Arial" w:eastAsia="Arial" w:hAnsi="Arial"/>
          <w:sz w:val="19"/>
          <w:szCs w:val="19"/>
          <w:u w:val="single" w:color="auto"/>
          <w:color w:val="auto"/>
        </w:rPr>
        <w:t>Competing Enterprise</w:t>
      </w:r>
      <w:r>
        <w:rPr>
          <w:rFonts w:ascii="Arial" w:cs="Arial" w:eastAsia="Arial" w:hAnsi="Arial"/>
          <w:sz w:val="19"/>
          <w:szCs w:val="19"/>
          <w:color w:val="auto"/>
        </w:rPr>
        <w:t>”); provided, however, Executive shall not be deemed to be participating or engaging in a Competing Enterprise solely by virtue of the ownership of not more than one percent (1%) of any class of stock or other securities which are publicly traded on a national securities exchange or in a recognized over-the-counter market.</w:t>
      </w:r>
    </w:p>
    <w:p>
      <w:pPr>
        <w:spacing w:after="0" w:line="153" w:lineRule="exact"/>
        <w:rPr>
          <w:rFonts w:ascii="Arial" w:cs="Arial" w:eastAsia="Arial" w:hAnsi="Arial"/>
          <w:sz w:val="19"/>
          <w:szCs w:val="19"/>
          <w:color w:val="auto"/>
        </w:rPr>
      </w:pPr>
    </w:p>
    <w:p>
      <w:pPr>
        <w:jc w:val="both"/>
        <w:ind w:firstLine="5"/>
        <w:spacing w:after="0" w:line="227" w:lineRule="auto"/>
        <w:tabs>
          <w:tab w:leader="none" w:pos="63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Recruitment Restriction</w:t>
      </w:r>
      <w:r>
        <w:rPr>
          <w:rFonts w:ascii="Arial" w:cs="Arial" w:eastAsia="Arial" w:hAnsi="Arial"/>
          <w:sz w:val="20"/>
          <w:szCs w:val="20"/>
          <w:color w:val="auto"/>
        </w:rPr>
        <w:t>. Executive agrees that during Executive’s period of employment with the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for a period of two (2) years following the Termination Date (regardless of the reason for termination), without obtaining the express written consent of the Company, Executive shall not, either directly or indirectly, or by acting in concert with another person or entity, (a) hire any employee or independent contractor performing services for the Company or any Affiliate, or any such individual who performed services for the Company or any Affiliate at any time during the one-year period ending on the Termination Date, or (b) solicit or influence or seek to solicit or influence, any employee or independent contractor performing services for the Company or any Affiliate, or any such individual who performed services for the Company or any Affiliate at any time during the one-year period ending on the Termination Date, to terminate, reduce or otherwise adversely affect such individual’s employment or other relationship with the Company or any Affiliate.</w:t>
      </w:r>
    </w:p>
    <w:p>
      <w:pPr>
        <w:spacing w:after="0" w:line="147" w:lineRule="exact"/>
        <w:rPr>
          <w:rFonts w:ascii="Arial" w:cs="Arial" w:eastAsia="Arial" w:hAnsi="Arial"/>
          <w:sz w:val="20"/>
          <w:szCs w:val="20"/>
          <w:b w:val="1"/>
          <w:bCs w:val="1"/>
          <w:color w:val="auto"/>
        </w:rPr>
      </w:pPr>
    </w:p>
    <w:p>
      <w:pPr>
        <w:jc w:val="both"/>
        <w:ind w:firstLine="5"/>
        <w:spacing w:after="0" w:line="224" w:lineRule="auto"/>
        <w:tabs>
          <w:tab w:leader="none" w:pos="632"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Tolling</w:t>
      </w:r>
      <w:r>
        <w:rPr>
          <w:rFonts w:ascii="Arial" w:cs="Arial" w:eastAsia="Arial" w:hAnsi="Arial"/>
          <w:sz w:val="21"/>
          <w:szCs w:val="21"/>
          <w:color w:val="auto"/>
        </w:rPr>
        <w:t>. If Executive violates any of the restrictions contained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w:t>
      </w:r>
      <w:r>
        <w:rPr>
          <w:rFonts w:ascii="Arial" w:cs="Arial" w:eastAsia="Arial" w:hAnsi="Arial"/>
          <w:sz w:val="21"/>
          <w:szCs w:val="21"/>
          <w:b w:val="1"/>
          <w:bCs w:val="1"/>
          <w:color w:val="auto"/>
        </w:rPr>
        <w:t xml:space="preserve"> </w:t>
      </w:r>
      <w:hyperlink w:anchor="page130">
        <w:r>
          <w:rPr>
            <w:rFonts w:ascii="Arial" w:cs="Arial" w:eastAsia="Arial" w:hAnsi="Arial"/>
            <w:sz w:val="21"/>
            <w:szCs w:val="21"/>
            <w:color w:val="0000FF"/>
          </w:rPr>
          <w:t>9</w:t>
        </w:r>
        <w:r>
          <w:rPr>
            <w:rFonts w:ascii="Arial" w:cs="Arial" w:eastAsia="Arial" w:hAnsi="Arial"/>
            <w:sz w:val="21"/>
            <w:szCs w:val="21"/>
            <w:b w:val="1"/>
            <w:bCs w:val="1"/>
            <w:color w:val="auto"/>
          </w:rPr>
          <w:t xml:space="preserve"> </w:t>
        </w:r>
      </w:hyperlink>
      <w:r>
        <w:rPr>
          <w:rFonts w:ascii="Arial" w:cs="Arial" w:eastAsia="Arial" w:hAnsi="Arial"/>
          <w:sz w:val="21"/>
          <w:szCs w:val="21"/>
          <w:color w:val="auto"/>
        </w:rPr>
        <w:t>through</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16</w:t>
      </w:r>
      <w:r>
        <w:rPr>
          <w:rFonts w:ascii="Arial" w:cs="Arial" w:eastAsia="Arial" w:hAnsi="Arial"/>
          <w:sz w:val="21"/>
          <w:szCs w:val="21"/>
          <w:color w:val="auto"/>
        </w:rPr>
        <w:t>, then notwithstanding any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hereof to the contrary, the restrictive period will be suspended and will not run in favor of Executive from the time of the commencement of any such violation, unless and until such time when the Executive cures the violation to the reasonable satisfaction of the Company.</w:t>
      </w:r>
    </w:p>
    <w:p>
      <w:pPr>
        <w:spacing w:after="0" w:line="151" w:lineRule="exact"/>
        <w:rPr>
          <w:rFonts w:ascii="Arial" w:cs="Arial" w:eastAsia="Arial" w:hAnsi="Arial"/>
          <w:sz w:val="21"/>
          <w:szCs w:val="21"/>
          <w:b w:val="1"/>
          <w:bCs w:val="1"/>
          <w:color w:val="auto"/>
        </w:rPr>
      </w:pPr>
    </w:p>
    <w:p>
      <w:pPr>
        <w:jc w:val="both"/>
        <w:ind w:firstLine="5"/>
        <w:spacing w:after="0" w:line="224" w:lineRule="auto"/>
        <w:tabs>
          <w:tab w:leader="none" w:pos="632" w:val="left"/>
        </w:tabs>
        <w:numPr>
          <w:ilvl w:val="0"/>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Reformation</w:t>
      </w:r>
      <w:r>
        <w:rPr>
          <w:rFonts w:ascii="Arial" w:cs="Arial" w:eastAsia="Arial" w:hAnsi="Arial"/>
          <w:sz w:val="21"/>
          <w:szCs w:val="21"/>
          <w:color w:val="auto"/>
        </w:rPr>
        <w:t>. If a court or arbitrator rules that any time period or the geographic area specified in any restrictive covenant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30">
        <w:r>
          <w:rPr>
            <w:rFonts w:ascii="Arial" w:cs="Arial" w:eastAsia="Arial" w:hAnsi="Arial"/>
            <w:sz w:val="21"/>
            <w:szCs w:val="21"/>
            <w:color w:val="0000FF"/>
          </w:rPr>
          <w:t>9</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through </w:t>
      </w:r>
      <w:r>
        <w:rPr>
          <w:rFonts w:ascii="Arial" w:cs="Arial" w:eastAsia="Arial" w:hAnsi="Arial"/>
          <w:sz w:val="21"/>
          <w:szCs w:val="21"/>
          <w:u w:val="single" w:color="auto"/>
          <w:color w:val="auto"/>
        </w:rPr>
        <w:t>16</w:t>
      </w:r>
      <w:r>
        <w:rPr>
          <w:rFonts w:ascii="Arial" w:cs="Arial" w:eastAsia="Arial" w:hAnsi="Arial"/>
          <w:sz w:val="21"/>
          <w:szCs w:val="21"/>
          <w:color w:val="auto"/>
        </w:rPr>
        <w:t xml:space="preserve"> is unenforceable, then the time period will be reduced by the number of months, or the geographic area will be reduced by the elimination of such unenforceable portion, or both, so that the restrictions may be enforced in the geographic area and for the time to the full extent permitted by law.</w:t>
      </w:r>
    </w:p>
    <w:p>
      <w:pPr>
        <w:spacing w:after="0" w:line="151" w:lineRule="exact"/>
        <w:rPr>
          <w:rFonts w:ascii="Arial" w:cs="Arial" w:eastAsia="Arial" w:hAnsi="Arial"/>
          <w:sz w:val="21"/>
          <w:szCs w:val="21"/>
          <w:color w:val="auto"/>
        </w:rPr>
      </w:pPr>
    </w:p>
    <w:p>
      <w:pPr>
        <w:jc w:val="both"/>
        <w:ind w:firstLine="5"/>
        <w:spacing w:after="0" w:line="227" w:lineRule="auto"/>
        <w:tabs>
          <w:tab w:leader="none" w:pos="63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Previous Restrictive Agreements</w:t>
      </w:r>
      <w:r>
        <w:rPr>
          <w:rFonts w:ascii="Arial" w:cs="Arial" w:eastAsia="Arial" w:hAnsi="Arial"/>
          <w:sz w:val="20"/>
          <w:szCs w:val="20"/>
          <w:color w:val="auto"/>
        </w:rPr>
        <w:t>. Executive represents that, except as disclosed in writing to the Company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Executive is not bound by the terms of any agreement with any previous employer or other third party to (a) refrain from using or disclosing any confidential or proprietary information in the course of Executive’s Employment or (b) refrain from competing, directly or indirectly, with the business of such previous employer or any other person or entity. Executive further represents that Executive’s performance under this Agreement and work duties for the Company do not, and will not, breach any agreement to keep in confidence any proprietary information, knowledge or data acquired by Executive in confidence or in trust prior to Executive’s Employment, and Executive will not disclose to the Company or induce the Company to use any confidential or proprietary information or material belonging to any previous employer or others.</w:t>
      </w:r>
    </w:p>
    <w:p>
      <w:pPr>
        <w:spacing w:after="0" w:line="20" w:lineRule="exact"/>
        <w:rPr>
          <w:rFonts w:ascii="Arial" w:cs="Arial" w:eastAsia="Arial" w:hAnsi="Arial"/>
          <w:sz w:val="21"/>
          <w:szCs w:val="21"/>
          <w:b w:val="1"/>
          <w:bCs w:val="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column">
              <wp:posOffset>7021195</wp:posOffset>
            </wp:positionH>
            <wp:positionV relativeFrom="paragraph">
              <wp:posOffset>-5106035</wp:posOffset>
            </wp:positionV>
            <wp:extent cx="1168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-4972685</wp:posOffset>
            </wp:positionV>
            <wp:extent cx="2508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250825"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-2298700</wp:posOffset>
            </wp:positionV>
            <wp:extent cx="142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14224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-1496695</wp:posOffset>
            </wp:positionV>
            <wp:extent cx="1339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rFonts w:ascii="Arial" w:cs="Arial" w:eastAsia="Arial" w:hAnsi="Arial"/>
          <w:sz w:val="21"/>
          <w:szCs w:val="21"/>
          <w:b w:val="1"/>
          <w:bCs w:val="1"/>
          <w:color w:val="auto"/>
        </w:rPr>
      </w:pPr>
    </w:p>
    <w:p>
      <w:pPr>
        <w:spacing w:after="0" w:line="383" w:lineRule="exact"/>
        <w:rPr>
          <w:rFonts w:ascii="Arial" w:cs="Arial" w:eastAsia="Arial" w:hAnsi="Arial"/>
          <w:sz w:val="21"/>
          <w:szCs w:val="21"/>
          <w:b w:val="1"/>
          <w:bCs w:val="1"/>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41"/>
              <w:spacing w:after="0"/>
              <w:rPr>
                <w:sz w:val="20"/>
                <w:szCs w:val="20"/>
                <w:color w:val="auto"/>
              </w:rPr>
            </w:pPr>
            <w:r>
              <w:rPr>
                <w:rFonts w:ascii="Arial" w:cs="Arial" w:eastAsia="Arial" w:hAnsi="Arial"/>
                <w:sz w:val="16"/>
                <w:szCs w:val="16"/>
                <w:color w:val="FFFFFF"/>
              </w:rPr>
              <w:t>11</w:t>
            </w:r>
          </w:p>
        </w:tc>
      </w:tr>
    </w:tbl>
    <w:p>
      <w:pPr>
        <w:sectPr>
          <w:pgSz w:w="11900" w:h="16838" w:orient="portrait"/>
          <w:cols w:equalWidth="0" w:num="1">
            <w:col w:w="11240"/>
          </w:cols>
          <w:pgMar w:left="320" w:top="10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5"/>
        <w:spacing w:after="0" w:line="219" w:lineRule="auto"/>
        <w:tabs>
          <w:tab w:leader="none" w:pos="632"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of Interest</w:t>
      </w:r>
      <w:r>
        <w:rPr>
          <w:rFonts w:ascii="Arial" w:cs="Arial" w:eastAsia="Arial" w:hAnsi="Arial"/>
          <w:sz w:val="21"/>
          <w:szCs w:val="21"/>
          <w:color w:val="auto"/>
        </w:rPr>
        <w:t>. In keeping with Executive’s fiduciary duties to the Company, Executive hereby agrees that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become involved in a conflict of interest, or upon discovery thereof, allow such a conflict to continue at any time during Executive’s period of Employment. In this respect, Executive agrees to fully comply with the conflict of interest agreement entered into by Executive as an employee, officer or director of the Company or an Affiliate. In the instance of a violation of the conflict of interest agreement to which Executive is a party, it may be necessary for the Company to terminate Executive’s Employment for Cause.</w:t>
      </w:r>
    </w:p>
    <w:p>
      <w:pPr>
        <w:spacing w:after="0" w:line="151" w:lineRule="exact"/>
        <w:rPr>
          <w:rFonts w:ascii="Arial" w:cs="Arial" w:eastAsia="Arial" w:hAnsi="Arial"/>
          <w:sz w:val="21"/>
          <w:szCs w:val="21"/>
          <w:b w:val="1"/>
          <w:bCs w:val="1"/>
          <w:color w:val="auto"/>
        </w:rPr>
      </w:pPr>
    </w:p>
    <w:p>
      <w:pPr>
        <w:jc w:val="both"/>
        <w:ind w:firstLine="5"/>
        <w:spacing w:after="0" w:line="225" w:lineRule="auto"/>
        <w:tabs>
          <w:tab w:leader="none" w:pos="632"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Executive acknowledges that the restrictions contained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w:t>
      </w:r>
      <w:r>
        <w:rPr>
          <w:rFonts w:ascii="Arial" w:cs="Arial" w:eastAsia="Arial" w:hAnsi="Arial"/>
          <w:sz w:val="20"/>
          <w:szCs w:val="20"/>
          <w:b w:val="1"/>
          <w:bCs w:val="1"/>
          <w:color w:val="auto"/>
        </w:rPr>
        <w:t xml:space="preserve"> </w:t>
      </w:r>
      <w:hyperlink w:anchor="page130">
        <w:r>
          <w:rPr>
            <w:rFonts w:ascii="Arial" w:cs="Arial" w:eastAsia="Arial" w:hAnsi="Arial"/>
            <w:sz w:val="20"/>
            <w:szCs w:val="20"/>
            <w:color w:val="0000FF"/>
          </w:rPr>
          <w:t>9</w:t>
        </w:r>
        <w:r>
          <w:rPr>
            <w:rFonts w:ascii="Arial" w:cs="Arial" w:eastAsia="Arial" w:hAnsi="Arial"/>
            <w:sz w:val="20"/>
            <w:szCs w:val="20"/>
            <w:b w:val="1"/>
            <w:bCs w:val="1"/>
            <w:color w:val="auto"/>
          </w:rPr>
          <w:t xml:space="preserve"> </w:t>
        </w:r>
      </w:hyperlink>
      <w:r>
        <w:rPr>
          <w:rFonts w:ascii="Arial" w:cs="Arial" w:eastAsia="Arial" w:hAnsi="Arial"/>
          <w:sz w:val="20"/>
          <w:szCs w:val="20"/>
          <w:color w:val="auto"/>
        </w:rPr>
        <w:t>through</w:t>
      </w:r>
      <w:r>
        <w:rPr>
          <w:rFonts w:ascii="Arial" w:cs="Arial" w:eastAsia="Arial" w:hAnsi="Arial"/>
          <w:sz w:val="20"/>
          <w:szCs w:val="20"/>
          <w:b w:val="1"/>
          <w:bCs w:val="1"/>
          <w:color w:val="auto"/>
        </w:rPr>
        <w:t xml:space="preserve"> </w:t>
      </w:r>
      <w:hyperlink w:anchor="page130">
        <w:r>
          <w:rPr>
            <w:rFonts w:ascii="Arial" w:cs="Arial" w:eastAsia="Arial" w:hAnsi="Arial"/>
            <w:sz w:val="20"/>
            <w:szCs w:val="20"/>
            <w:u w:val="single" w:color="auto"/>
            <w:color w:val="0000FF"/>
          </w:rPr>
          <w:t>20</w:t>
        </w:r>
        <w:r>
          <w:rPr>
            <w:rFonts w:ascii="Arial" w:cs="Arial" w:eastAsia="Arial" w:hAnsi="Arial"/>
            <w:sz w:val="20"/>
            <w:szCs w:val="20"/>
            <w:b w:val="1"/>
            <w:bCs w:val="1"/>
            <w:u w:val="single" w:color="auto"/>
            <w:color w:val="auto"/>
          </w:rPr>
          <w:t xml:space="preserve"> </w:t>
        </w:r>
      </w:hyperlink>
      <w:r>
        <w:rPr>
          <w:rFonts w:ascii="Arial" w:cs="Arial" w:eastAsia="Arial" w:hAnsi="Arial"/>
          <w:sz w:val="20"/>
          <w:szCs w:val="20"/>
          <w:color w:val="auto"/>
        </w:rPr>
        <w:t>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in view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nature of the Company’s business, are reasonable and necessary to protect the Company’s legitimate business interests, and that any violation of this Agreement would result in irreparable injury to the Company. In the event of a breach or a threatened breach by Executive of any provision of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hyperlink w:anchor="page130">
        <w:r>
          <w:rPr>
            <w:rFonts w:ascii="Arial" w:cs="Arial" w:eastAsia="Arial" w:hAnsi="Arial"/>
            <w:sz w:val="20"/>
            <w:szCs w:val="20"/>
            <w:color w:val="0000FF"/>
          </w:rPr>
          <w:t>9</w:t>
        </w:r>
        <w:r>
          <w:rPr>
            <w:rFonts w:ascii="Arial" w:cs="Arial" w:eastAsia="Arial" w:hAnsi="Arial"/>
            <w:sz w:val="20"/>
            <w:szCs w:val="20"/>
            <w:color w:val="auto"/>
          </w:rPr>
          <w:t xml:space="preserve"> </w:t>
        </w:r>
      </w:hyperlink>
      <w:r>
        <w:rPr>
          <w:rFonts w:ascii="Arial" w:cs="Arial" w:eastAsia="Arial" w:hAnsi="Arial"/>
          <w:sz w:val="20"/>
          <w:szCs w:val="20"/>
          <w:color w:val="auto"/>
        </w:rPr>
        <w:t xml:space="preserve">through </w:t>
      </w:r>
      <w:hyperlink w:anchor="page130">
        <w:r>
          <w:rPr>
            <w:rFonts w:ascii="Arial" w:cs="Arial" w:eastAsia="Arial" w:hAnsi="Arial"/>
            <w:sz w:val="20"/>
            <w:szCs w:val="20"/>
            <w:color w:val="0000FF"/>
          </w:rPr>
          <w:t>20</w:t>
        </w:r>
        <w:r>
          <w:rPr>
            <w:rFonts w:ascii="Arial" w:cs="Arial" w:eastAsia="Arial" w:hAnsi="Arial"/>
            <w:sz w:val="20"/>
            <w:szCs w:val="20"/>
            <w:color w:val="auto"/>
          </w:rPr>
          <w:t xml:space="preserve"> </w:t>
        </w:r>
      </w:hyperlink>
      <w:r>
        <w:rPr>
          <w:rFonts w:ascii="Arial" w:cs="Arial" w:eastAsia="Arial" w:hAnsi="Arial"/>
          <w:sz w:val="20"/>
          <w:szCs w:val="20"/>
          <w:color w:val="auto"/>
        </w:rPr>
        <w:t>of this Agreement, the Company shall be entitled to a temporary restraining order and injunctive relief restraining Executive from the commission of any breach, and to recover the Company’s attorneys’ fees, costs and expenses related to the breach or threatened breach. Nothing contained in this Agreement shall be construed as prohibiting the Company from pursuing any other remedies available to it for any such breach or threatened breach, including, without limitation, the recovery of money damages, attorneys’ fees, and costs. These covenants and agreements shall each be construed as independent of any other provisions in this Agreement, and the existence of any claim or cause of action by Executive against the Company, whether predicated on this Agreement or otherwise, shall not constitute a defense to the enforcement by the Company of such covenants and agreements.</w:t>
      </w:r>
    </w:p>
    <w:p>
      <w:pPr>
        <w:spacing w:after="0" w:line="154" w:lineRule="exact"/>
        <w:rPr>
          <w:rFonts w:ascii="Arial" w:cs="Arial" w:eastAsia="Arial" w:hAnsi="Arial"/>
          <w:sz w:val="20"/>
          <w:szCs w:val="20"/>
          <w:color w:val="auto"/>
        </w:rPr>
      </w:pPr>
    </w:p>
    <w:p>
      <w:pPr>
        <w:jc w:val="both"/>
        <w:ind w:firstLine="5"/>
        <w:spacing w:after="0" w:line="235" w:lineRule="auto"/>
        <w:tabs>
          <w:tab w:leader="none" w:pos="632"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Interference</w:t>
      </w:r>
      <w:r>
        <w:rPr>
          <w:rFonts w:ascii="Arial" w:cs="Arial" w:eastAsia="Arial" w:hAnsi="Arial"/>
          <w:sz w:val="19"/>
          <w:szCs w:val="19"/>
          <w:color w:val="auto"/>
        </w:rPr>
        <w:t>. Notwithstanding any other provision of this Agreement, (a) Executive may disclose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when required to do so by a court of competent jurisdiction, by any governmental agency having authority over Executive or the business of the Company or by any administrative body or legislative body (including a committee thereof) with jurisdiction to order Executive to divulge, disclose or make accessible such information, in each case, subject to Executive’s obligations to notify the Company under </w:t>
      </w:r>
      <w:r>
        <w:rPr>
          <w:rFonts w:ascii="Arial" w:cs="Arial" w:eastAsia="Arial" w:hAnsi="Arial"/>
          <w:sz w:val="19"/>
          <w:szCs w:val="19"/>
          <w:u w:val="single" w:color="auto"/>
          <w:color w:val="auto"/>
        </w:rPr>
        <w:t>Section 10(b)</w:t>
      </w:r>
      <w:r>
        <w:rPr>
          <w:rFonts w:ascii="Arial" w:cs="Arial" w:eastAsia="Arial" w:hAnsi="Arial"/>
          <w:sz w:val="19"/>
          <w:szCs w:val="19"/>
          <w:color w:val="auto"/>
        </w:rPr>
        <w:t>; and (b) nothing in this Agreement is intended to interfere with Executive’s right to (1) report possible violations of state or federal law or regulation to any governmental or law enforcement agency or entity;</w:t>
      </w:r>
    </w:p>
    <w:p>
      <w:pPr>
        <w:spacing w:after="0" w:line="3" w:lineRule="exact"/>
        <w:rPr>
          <w:rFonts w:ascii="Arial" w:cs="Arial" w:eastAsia="Arial" w:hAnsi="Arial"/>
          <w:sz w:val="19"/>
          <w:szCs w:val="19"/>
          <w:b w:val="1"/>
          <w:bCs w:val="1"/>
          <w:color w:val="auto"/>
        </w:rPr>
      </w:pPr>
    </w:p>
    <w:p>
      <w:pPr>
        <w:jc w:val="both"/>
        <w:spacing w:after="0" w:line="225" w:lineRule="auto"/>
        <w:rPr>
          <w:rFonts w:ascii="Arial" w:cs="Arial" w:eastAsia="Arial" w:hAnsi="Arial"/>
          <w:sz w:val="19"/>
          <w:szCs w:val="19"/>
          <w:b w:val="1"/>
          <w:bCs w:val="1"/>
          <w:color w:val="auto"/>
        </w:rPr>
      </w:pPr>
      <w:r>
        <w:rPr>
          <w:rFonts w:ascii="Arial" w:cs="Arial" w:eastAsia="Arial" w:hAnsi="Arial"/>
          <w:sz w:val="20"/>
          <w:szCs w:val="20"/>
          <w:color w:val="auto"/>
        </w:rPr>
        <w:t xml:space="preserve">(2) make other disclosures that are protected under the whistleblower provisions of state or federal law or regulation (including the right to receive an award for information provided to any such government agencies); (3) file a claim or charge any governmental agency or entity; or (4) testify, assist, or participate in an investigation, hearing, or proceeding conducted by any governmental or law enforcement agency or entity, or any court. For purposes of clarity, in making or initiating any such reports or disclosures or engaging in any of the conduct outlined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Executive may disclose confidential information to the extent necessary to such governmental or law enforcement agency or entity or such court, need not seek prior authorization from the Company, and is not required to notify the Company of any such reports, disclosures or conduct.</w:t>
      </w:r>
    </w:p>
    <w:p>
      <w:pPr>
        <w:spacing w:after="0" w:line="151" w:lineRule="exact"/>
        <w:rPr>
          <w:rFonts w:ascii="Arial" w:cs="Arial" w:eastAsia="Arial" w:hAnsi="Arial"/>
          <w:sz w:val="19"/>
          <w:szCs w:val="19"/>
          <w:b w:val="1"/>
          <w:bCs w:val="1"/>
          <w:color w:val="auto"/>
        </w:rPr>
      </w:pPr>
    </w:p>
    <w:p>
      <w:pPr>
        <w:jc w:val="both"/>
        <w:ind w:firstLine="5"/>
        <w:spacing w:after="0"/>
        <w:tabs>
          <w:tab w:leader="none" w:pos="632"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Defend Trade Secrets Act</w:t>
      </w:r>
      <w:r>
        <w:rPr>
          <w:rFonts w:ascii="Arial" w:cs="Arial" w:eastAsia="Arial" w:hAnsi="Arial"/>
          <w:sz w:val="19"/>
          <w:szCs w:val="19"/>
          <w:color w:val="auto"/>
        </w:rPr>
        <w:t>. Executive is hereby notified in accordance with the Defend Trade Secrets Act of 2016 that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not be held criminally or civilly liable under any federal or state trade secret law for the disclosure of a trade secret that (a) is made (1) in confidence to a federal, state, or local government official, either directly or indirectly, or to an attorney; and</w:t>
      </w:r>
    </w:p>
    <w:p>
      <w:pPr>
        <w:jc w:val="both"/>
        <w:spacing w:after="0" w:line="217" w:lineRule="auto"/>
        <w:rPr>
          <w:rFonts w:ascii="Arial" w:cs="Arial" w:eastAsia="Arial" w:hAnsi="Arial"/>
          <w:sz w:val="19"/>
          <w:szCs w:val="19"/>
          <w:b w:val="1"/>
          <w:bCs w:val="1"/>
          <w:color w:val="auto"/>
        </w:rPr>
      </w:pPr>
      <w:r>
        <w:rPr>
          <w:rFonts w:ascii="Arial" w:cs="Arial" w:eastAsia="Arial" w:hAnsi="Arial"/>
          <w:sz w:val="21"/>
          <w:szCs w:val="21"/>
          <w:color w:val="auto"/>
        </w:rPr>
        <w:t>(2) solely for the purpose of reporting or investigating a suspected violation of law; or (b) is made in a complaint or other document that is filed under seal in a lawsuit or other proceeding. If Executive files a lawsuit for retaliation against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47" w:lineRule="exact"/>
        <w:rPr>
          <w:rFonts w:ascii="Arial" w:cs="Arial" w:eastAsia="Arial" w:hAnsi="Arial"/>
          <w:sz w:val="19"/>
          <w:szCs w:val="19"/>
          <w:b w:val="1"/>
          <w:bCs w:val="1"/>
          <w:color w:val="auto"/>
        </w:rPr>
      </w:pPr>
    </w:p>
    <w:p>
      <w:pPr>
        <w:jc w:val="both"/>
        <w:ind w:firstLine="5"/>
        <w:spacing w:after="0" w:line="224" w:lineRule="auto"/>
        <w:tabs>
          <w:tab w:leader="none" w:pos="632"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Withholdings; Right of Offset</w:t>
      </w:r>
      <w:r>
        <w:rPr>
          <w:rFonts w:ascii="Arial" w:cs="Arial" w:eastAsia="Arial" w:hAnsi="Arial"/>
          <w:sz w:val="21"/>
          <w:szCs w:val="21"/>
          <w:color w:val="auto"/>
        </w:rPr>
        <w:t>. The Company may withhold and deduct from any benefits and payments made or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this Agreement (a) all federal, state, local and other taxes as may be required pursuant to any law or governmental regulation or ruling, (b) all other normal employee deductions made with respect to Company’s employees generally, and (c) any advances made to Executive and owed to Company.</w:t>
      </w:r>
    </w:p>
    <w:p>
      <w:pPr>
        <w:spacing w:after="0" w:line="20" w:lineRule="exact"/>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column">
              <wp:posOffset>4589145</wp:posOffset>
            </wp:positionH>
            <wp:positionV relativeFrom="paragraph">
              <wp:posOffset>-5108575</wp:posOffset>
            </wp:positionV>
            <wp:extent cx="1339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13398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-4707255</wp:posOffset>
            </wp:positionV>
            <wp:extent cx="1504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15049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-4707255</wp:posOffset>
            </wp:positionV>
            <wp:extent cx="2171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200" w:lineRule="exact"/>
        <w:rPr>
          <w:rFonts w:ascii="Arial" w:cs="Arial" w:eastAsia="Arial" w:hAnsi="Arial"/>
          <w:sz w:val="20"/>
          <w:szCs w:val="20"/>
          <w:b w:val="1"/>
          <w:bCs w:val="1"/>
          <w:color w:val="auto"/>
        </w:rPr>
      </w:pPr>
    </w:p>
    <w:p>
      <w:pPr>
        <w:spacing w:after="0" w:line="380" w:lineRule="exact"/>
        <w:rPr>
          <w:rFonts w:ascii="Arial" w:cs="Arial" w:eastAsia="Arial" w:hAnsi="Arial"/>
          <w:sz w:val="20"/>
          <w:szCs w:val="20"/>
          <w:b w:val="1"/>
          <w:bCs w:val="1"/>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12</w:t>
            </w:r>
          </w:p>
        </w:tc>
      </w:tr>
    </w:tbl>
    <w:p>
      <w:pPr>
        <w:sectPr>
          <w:pgSz w:w="11900" w:h="16838" w:orient="portrait"/>
          <w:cols w:equalWidth="0" w:num="1">
            <w:col w:w="11240"/>
          </w:cols>
          <w:pgMar w:left="320" w:top="10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5"/>
        <w:spacing w:after="0" w:line="219" w:lineRule="auto"/>
        <w:tabs>
          <w:tab w:leader="none" w:pos="632"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It is the desire of the Parties hereto that this Agreement be enforced to the maximum extent permitted by law,</w:t>
      </w:r>
      <w:r>
        <w:rPr>
          <w:rFonts w:ascii="Arial" w:cs="Arial" w:eastAsia="Arial" w:hAnsi="Arial"/>
          <w:sz w:val="21"/>
          <w:szCs w:val="21"/>
          <w:b w:val="1"/>
          <w:bCs w:val="1"/>
          <w:color w:val="auto"/>
        </w:rPr>
        <w:t xml:space="preserve"> </w:t>
      </w:r>
      <w:r>
        <w:rPr>
          <w:rFonts w:ascii="Arial" w:cs="Arial" w:eastAsia="Arial" w:hAnsi="Arial"/>
          <w:sz w:val="21"/>
          <w:szCs w:val="21"/>
          <w:color w:val="auto"/>
        </w:rPr>
        <w:t>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it shall be deemed ineffective and deleted herefrom without affecting any other provision of this Agreement. This Agreement should be construed by limiting and reducing it only to the minimum extent necessary to be enforceable under then applicable law.</w:t>
      </w:r>
    </w:p>
    <w:p>
      <w:pPr>
        <w:spacing w:after="0" w:line="151" w:lineRule="exact"/>
        <w:rPr>
          <w:rFonts w:ascii="Arial" w:cs="Arial" w:eastAsia="Arial" w:hAnsi="Arial"/>
          <w:sz w:val="21"/>
          <w:szCs w:val="21"/>
          <w:b w:val="1"/>
          <w:bCs w:val="1"/>
          <w:color w:val="auto"/>
        </w:rPr>
      </w:pPr>
    </w:p>
    <w:p>
      <w:pPr>
        <w:ind w:firstLine="5"/>
        <w:spacing w:after="0" w:line="241" w:lineRule="auto"/>
        <w:tabs>
          <w:tab w:leader="none" w:pos="632"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 and Headings; Construction</w:t>
      </w:r>
      <w:r>
        <w:rPr>
          <w:rFonts w:ascii="Arial" w:cs="Arial" w:eastAsia="Arial" w:hAnsi="Arial"/>
          <w:sz w:val="21"/>
          <w:szCs w:val="21"/>
          <w:color w:val="auto"/>
        </w:rPr>
        <w:t>. In the interpretation of the Agreement, except where the context clearly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requires:</w:t>
      </w:r>
    </w:p>
    <w:p>
      <w:pPr>
        <w:spacing w:after="0" w:line="152" w:lineRule="exact"/>
        <w:rPr>
          <w:rFonts w:ascii="Arial" w:cs="Arial" w:eastAsia="Arial" w:hAnsi="Arial"/>
          <w:sz w:val="21"/>
          <w:szCs w:val="21"/>
          <w:b w:val="1"/>
          <w:bCs w:val="1"/>
          <w:color w:val="auto"/>
        </w:rPr>
      </w:pPr>
    </w:p>
    <w:p>
      <w:pPr>
        <w:ind w:left="1260" w:hanging="623"/>
        <w:spacing w:after="0"/>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“including” or “include” does not denote or imply any limitation;</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“or” has the inclusive meaning “and/or”;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singular includes the plural, and vice versa, and each gender includes each of the others;</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captions or headings are only for reference and are not to be considered in interpreting the Agreement;</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“Section” refers to a Section of the Agreement, unless otherwise stated in the Agreement;</w:t>
      </w:r>
    </w:p>
    <w:p>
      <w:pPr>
        <w:spacing w:after="0" w:line="179" w:lineRule="exact"/>
        <w:rPr>
          <w:rFonts w:ascii="Arial" w:cs="Arial" w:eastAsia="Arial" w:hAnsi="Arial"/>
          <w:sz w:val="21"/>
          <w:szCs w:val="21"/>
          <w:color w:val="auto"/>
        </w:rPr>
      </w:pPr>
    </w:p>
    <w:p>
      <w:pPr>
        <w:ind w:firstLine="637"/>
        <w:spacing w:after="0" w:line="237" w:lineRule="auto"/>
        <w:tabs>
          <w:tab w:leader="none" w:pos="1263"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words “herein”, “hereof”, “hereunder” and other compounds of the word “here” shall refer to the entire Agreement and not to any particular provision; and</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1"/>
          <w:numId w:val="68"/>
        </w:numPr>
        <w:rPr>
          <w:rFonts w:ascii="Arial" w:cs="Arial" w:eastAsia="Arial" w:hAnsi="Arial"/>
          <w:sz w:val="21"/>
          <w:szCs w:val="21"/>
          <w:color w:val="auto"/>
        </w:rPr>
      </w:pPr>
      <w:r>
        <w:rPr>
          <w:rFonts w:ascii="Arial" w:cs="Arial" w:eastAsia="Arial" w:hAnsi="Arial"/>
          <w:sz w:val="21"/>
          <w:szCs w:val="21"/>
          <w:color w:val="auto"/>
        </w:rPr>
        <w:t>a reference to any statute, rule, or regulation includes any amendment thereto or any statute, rule, or regulation enacted or promulgated in replacement thereof or as the successor thereto.</w:t>
      </w:r>
    </w:p>
    <w:p>
      <w:pPr>
        <w:spacing w:after="0" w:line="148" w:lineRule="exact"/>
        <w:rPr>
          <w:rFonts w:ascii="Arial" w:cs="Arial" w:eastAsia="Arial" w:hAnsi="Arial"/>
          <w:sz w:val="21"/>
          <w:szCs w:val="21"/>
          <w:color w:val="auto"/>
        </w:rPr>
      </w:pPr>
    </w:p>
    <w:p>
      <w:pPr>
        <w:jc w:val="both"/>
        <w:ind w:firstLine="5"/>
        <w:spacing w:after="0" w:line="219" w:lineRule="auto"/>
        <w:tabs>
          <w:tab w:leader="none" w:pos="632"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All matters or issues relating to the interpretation, construction, validity, and enforcement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by the laws of the State of Texas, without giving effect to any choice-of-law principle that would cause the application of the laws of any jurisdiction other than Texas. Jurisdiction and venue of any action or proceeding relating to this Agreement or any Dispute must be brought, if at all, in a state district court in Harris County, Texas or federal district court in the Southern District of Texas, Houston Division. Each party submits to the jurisdiction of such courts and agrees not to raise any objection to such jurisdiction.</w:t>
      </w:r>
    </w:p>
    <w:p>
      <w:pPr>
        <w:spacing w:after="0" w:line="151" w:lineRule="exact"/>
        <w:rPr>
          <w:rFonts w:ascii="Arial" w:cs="Arial" w:eastAsia="Arial" w:hAnsi="Arial"/>
          <w:sz w:val="21"/>
          <w:szCs w:val="21"/>
          <w:b w:val="1"/>
          <w:bCs w:val="1"/>
          <w:color w:val="auto"/>
        </w:rPr>
      </w:pPr>
    </w:p>
    <w:p>
      <w:pPr>
        <w:jc w:val="both"/>
        <w:ind w:firstLine="5"/>
        <w:spacing w:after="0" w:line="230" w:lineRule="auto"/>
        <w:tabs>
          <w:tab w:leader="none" w:pos="632"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Binding Effect; Third Party Beneficiaries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hyperlink w:anchor="page130">
        <w:r>
          <w:rPr>
            <w:rFonts w:ascii="Arial" w:cs="Arial" w:eastAsia="Arial" w:hAnsi="Arial"/>
            <w:sz w:val="21"/>
            <w:szCs w:val="21"/>
            <w:color w:val="0000FF"/>
          </w:rPr>
          <w:t>33,</w:t>
        </w:r>
        <w:r>
          <w:rPr>
            <w:rFonts w:ascii="Arial" w:cs="Arial" w:eastAsia="Arial" w:hAnsi="Arial"/>
            <w:sz w:val="21"/>
            <w:szCs w:val="21"/>
            <w:b w:val="1"/>
            <w:bCs w:val="1"/>
            <w:color w:val="auto"/>
          </w:rPr>
          <w:t xml:space="preserve"> </w:t>
        </w:r>
      </w:hyperlink>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binding upon and inure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 of the Parties hereto, and to their respective heirs, executors, beneficiaries, personal representatives, successors and permitted assigns hereunder; otherwise this Agreement shall not be for the benefit of any third parties.</w:t>
      </w:r>
    </w:p>
    <w:p>
      <w:pPr>
        <w:spacing w:after="0" w:line="147" w:lineRule="exact"/>
        <w:rPr>
          <w:rFonts w:ascii="Arial" w:cs="Arial" w:eastAsia="Arial" w:hAnsi="Arial"/>
          <w:sz w:val="21"/>
          <w:szCs w:val="21"/>
          <w:b w:val="1"/>
          <w:bCs w:val="1"/>
          <w:color w:val="auto"/>
        </w:rPr>
      </w:pPr>
    </w:p>
    <w:p>
      <w:pPr>
        <w:jc w:val="both"/>
        <w:ind w:firstLine="5"/>
        <w:spacing w:after="0" w:line="226" w:lineRule="auto"/>
        <w:tabs>
          <w:tab w:leader="none" w:pos="63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Amendment and Termination</w:t>
      </w:r>
      <w:r>
        <w:rPr>
          <w:rFonts w:ascii="Arial" w:cs="Arial" w:eastAsia="Arial" w:hAnsi="Arial"/>
          <w:sz w:val="20"/>
          <w:szCs w:val="20"/>
          <w:color w:val="auto"/>
        </w:rPr>
        <w:t>. This Agreement replaces and merges all previous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and discussions relating to the same or similar subject matters between Executive and Company (or any of its Affiliates) and constitutes the entire agreement between the Executive and the Company (and any of its Affiliates) with respect to the subject matter of this Agreement. Any existing employment agreement between the Executive and the Company (or any of its Affiliates) is hereby terminated, effective immediately. This Agreement may be amended, waived or terminated only by a written instrument that is identified as an amendment, waiver or termination hereto, and is executed on behalf of both Parties. Executive hereby acknowledges and represents that in executing this Agreement, he did not rely on, has not relied on, and specifically disavows any reliance on any communications, promises, statements, inducements, or representation(s), oral or written, by the Company, except as expressly contained in this Agreement. The Parties represent that they relied on their own judgment, and on the advice of legal counsel for such Party, if applicable, in entering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-1766570</wp:posOffset>
            </wp:positionV>
            <wp:extent cx="2089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13</w:t>
            </w:r>
          </w:p>
        </w:tc>
      </w:tr>
    </w:tbl>
    <w:p>
      <w:pPr>
        <w:sectPr>
          <w:pgSz w:w="11900" w:h="16838" w:orient="portrait"/>
          <w:cols w:equalWidth="0" w:num="1">
            <w:col w:w="11240"/>
          </w:cols>
          <w:pgMar w:left="320" w:top="10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5"/>
        <w:spacing w:after="0"/>
        <w:tabs>
          <w:tab w:leader="none" w:pos="64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37" w:lineRule="auto"/>
        <w:tabs>
          <w:tab w:leader="none" w:pos="1260" w:val="left"/>
        </w:tabs>
        <w:numPr>
          <w:ilvl w:val="1"/>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Any provisions of the Agreement that are subject to Section 409A of the Code and the regulations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authoritative guidance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are intended to comply with all applicable requirements of Section 409A, or an exemption from the application of Section 409A, and shall be interpreted and administered accordingly. Notwithstanding any provision of this Agreement to the contrary, a termination of Employment shall not be deemed to have occurred for purposes of any provision of this Agreement providing for the payment of any amount or benefit that constitutes “non-qualified deferred compensation” (within the meaning of Section 409A) upon or following a termination of the Executive’s Employment unless such termination is also a “separation from service” (as defined under Section 409A)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and, for purposes of any such provision, references herein to a “termination,” “termination of employment” or like terms shall mean a Separation from Service, if applicable. Each payment under this Agreement shall be treated as a separate payment for purposes of Section 409A. In no event may the Executive, directly or indirectly, designate the calendar year of any payment to be made under this Agreement.</w:t>
      </w:r>
    </w:p>
    <w:p>
      <w:pPr>
        <w:spacing w:after="0" w:line="158" w:lineRule="exact"/>
        <w:rPr>
          <w:rFonts w:ascii="Arial" w:cs="Arial" w:eastAsia="Arial" w:hAnsi="Arial"/>
          <w:sz w:val="19"/>
          <w:szCs w:val="19"/>
          <w:color w:val="auto"/>
        </w:rPr>
      </w:pPr>
    </w:p>
    <w:p>
      <w:pPr>
        <w:jc w:val="both"/>
        <w:ind w:firstLine="637"/>
        <w:spacing w:after="0" w:line="226" w:lineRule="auto"/>
        <w:tabs>
          <w:tab w:leader="none" w:pos="1259" w:val="left"/>
        </w:tabs>
        <w:numPr>
          <w:ilvl w:val="1"/>
          <w:numId w:val="69"/>
        </w:numPr>
        <w:rPr>
          <w:rFonts w:ascii="Arial" w:cs="Arial" w:eastAsia="Arial" w:hAnsi="Arial"/>
          <w:sz w:val="20"/>
          <w:szCs w:val="20"/>
          <w:color w:val="auto"/>
        </w:rPr>
      </w:pP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Notwithstanding any provision of this Agreement to the contrary, if any payment or other benefit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hereunder would be subject to additional taxes and interest under Section 409A because the timing of such payment is not delayed as required by Section 409A for a “specified employee” (as defined under Section 409A), then if the Executive is on the date of Executive’s Separation from Service a specified employee, any such payment or benefit that Executive would otherwise be entitled to receive during the first six months following the Separation from Service shall be accumulated and paid in a lump sum within ten (10) days after the date that is six months following the date of the Separation from Service, or such earlier date upon which such amount can be paid under Section 409A without being subject to such additional taxes and interest such as, for example, upon the Executive’s death. Any remaining payments due to Executive under this Agreement shall be paid as otherwise provided in this Agreement.</w:t>
      </w:r>
    </w:p>
    <w:p>
      <w:pPr>
        <w:spacing w:after="0" w:line="156" w:lineRule="exact"/>
        <w:rPr>
          <w:rFonts w:ascii="Arial" w:cs="Arial" w:eastAsia="Arial" w:hAnsi="Arial"/>
          <w:sz w:val="20"/>
          <w:szCs w:val="20"/>
          <w:color w:val="auto"/>
        </w:rPr>
      </w:pPr>
    </w:p>
    <w:p>
      <w:pPr>
        <w:jc w:val="both"/>
        <w:ind w:firstLine="637"/>
        <w:spacing w:after="0" w:line="218" w:lineRule="auto"/>
        <w:tabs>
          <w:tab w:leader="none" w:pos="1260" w:val="left"/>
        </w:tabs>
        <w:numPr>
          <w:ilvl w:val="1"/>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Reimbursements and In-Kind Benefits</w:t>
      </w:r>
      <w:r>
        <w:rPr>
          <w:rFonts w:ascii="Arial" w:cs="Arial" w:eastAsia="Arial" w:hAnsi="Arial"/>
          <w:sz w:val="21"/>
          <w:szCs w:val="21"/>
          <w:color w:val="auto"/>
        </w:rPr>
        <w:t>. Notwithstanding any provision of this Agreement to the contrary,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reimbursements or in-kind benefits provided under this Agreement that constitute “deferred compensation” within the meaning of Section 409A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other benefits.</w:t>
      </w:r>
    </w:p>
    <w:p>
      <w:pPr>
        <w:spacing w:after="0" w:line="157" w:lineRule="exact"/>
        <w:rPr>
          <w:rFonts w:ascii="Arial" w:cs="Arial" w:eastAsia="Arial" w:hAnsi="Arial"/>
          <w:sz w:val="21"/>
          <w:szCs w:val="21"/>
          <w:color w:val="auto"/>
        </w:rPr>
      </w:pPr>
    </w:p>
    <w:p>
      <w:pPr>
        <w:jc w:val="both"/>
        <w:ind w:firstLine="637"/>
        <w:spacing w:after="0" w:line="228" w:lineRule="auto"/>
        <w:tabs>
          <w:tab w:leader="none" w:pos="1259" w:val="left"/>
        </w:tabs>
        <w:numPr>
          <w:ilvl w:val="1"/>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No Section 409A Representations</w:t>
      </w:r>
      <w:r>
        <w:rPr>
          <w:rFonts w:ascii="Arial" w:cs="Arial" w:eastAsia="Arial" w:hAnsi="Arial"/>
          <w:sz w:val="21"/>
          <w:szCs w:val="21"/>
          <w:color w:val="auto"/>
        </w:rPr>
        <w:t>. Notwithstanding the foregoing, the Company makes no representations,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warranties, or guarantees regarding the tax consequences of this Agreement, or any payments made hereunder, under Section 409A or otherwise, and has advised the Executive to consult with Executive’s own tax advisor.</w:t>
      </w:r>
    </w:p>
    <w:p>
      <w:pPr>
        <w:spacing w:after="0" w:line="147" w:lineRule="exact"/>
        <w:rPr>
          <w:rFonts w:ascii="Arial" w:cs="Arial" w:eastAsia="Arial" w:hAnsi="Arial"/>
          <w:sz w:val="21"/>
          <w:szCs w:val="21"/>
          <w:color w:val="auto"/>
        </w:rPr>
      </w:pPr>
    </w:p>
    <w:p>
      <w:pPr>
        <w:jc w:val="both"/>
        <w:ind w:firstLine="5"/>
        <w:spacing w:after="0" w:line="261" w:lineRule="auto"/>
        <w:tabs>
          <w:tab w:leader="none" w:pos="632"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Survival of Certain Provisions</w:t>
      </w:r>
      <w:r>
        <w:rPr>
          <w:rFonts w:ascii="Arial" w:cs="Arial" w:eastAsia="Arial" w:hAnsi="Arial"/>
          <w:sz w:val="19"/>
          <w:szCs w:val="19"/>
          <w:color w:val="auto"/>
        </w:rPr>
        <w:t>. Provisions of this Agreement which by their terms must survive the termination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shall survive any such termination of this Agreement or termination of Executive’s Employment, as applicable, including, without limitation, Executive’s obligations under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and the Company’s obligations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29" w:lineRule="exact"/>
        <w:rPr>
          <w:rFonts w:ascii="Arial" w:cs="Arial" w:eastAsia="Arial" w:hAnsi="Arial"/>
          <w:sz w:val="19"/>
          <w:szCs w:val="19"/>
          <w:b w:val="1"/>
          <w:bCs w:val="1"/>
          <w:color w:val="auto"/>
        </w:rPr>
      </w:pPr>
    </w:p>
    <w:p>
      <w:pPr>
        <w:jc w:val="both"/>
        <w:ind w:firstLine="5"/>
        <w:spacing w:after="0" w:line="221" w:lineRule="auto"/>
        <w:tabs>
          <w:tab w:leader="none" w:pos="632"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Breach</w:t>
      </w:r>
      <w:r>
        <w:rPr>
          <w:rFonts w:ascii="Arial" w:cs="Arial" w:eastAsia="Arial" w:hAnsi="Arial"/>
          <w:sz w:val="21"/>
          <w:szCs w:val="21"/>
          <w:color w:val="auto"/>
        </w:rPr>
        <w:t>. No waiver by any party hereto of a breach of any provision of this Agreement by any other party, or of</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any party hereto to take any action by reason of any breach will not deprive such party of the right to take action at any time while such breach continues.</w:t>
      </w:r>
    </w:p>
    <w:p>
      <w:pPr>
        <w:spacing w:after="0" w:line="151" w:lineRule="exact"/>
        <w:rPr>
          <w:rFonts w:ascii="Arial" w:cs="Arial" w:eastAsia="Arial" w:hAnsi="Arial"/>
          <w:sz w:val="21"/>
          <w:szCs w:val="21"/>
          <w:b w:val="1"/>
          <w:bCs w:val="1"/>
          <w:color w:val="auto"/>
        </w:rPr>
      </w:pPr>
    </w:p>
    <w:p>
      <w:pPr>
        <w:ind w:firstLine="5"/>
        <w:spacing w:after="0" w:line="241" w:lineRule="auto"/>
        <w:tabs>
          <w:tab w:leader="none" w:pos="632"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This Agreement shall be binding upon and inure to the benefit of the Company and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(and its and their successors), as well as upon any person or entity</w:t>
      </w:r>
    </w:p>
    <w:p>
      <w:pPr>
        <w:spacing w:after="0" w:line="200" w:lineRule="exact"/>
        <w:rPr>
          <w:sz w:val="20"/>
          <w:szCs w:val="20"/>
          <w:color w:val="auto"/>
        </w:rPr>
      </w:pPr>
    </w:p>
    <w:p>
      <w:pPr>
        <w:spacing w:after="0" w:line="395"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14</w:t>
            </w:r>
          </w:p>
        </w:tc>
      </w:tr>
    </w:tbl>
    <w:p>
      <w:pPr>
        <w:sectPr>
          <w:pgSz w:w="11900" w:h="16838" w:orient="portrait"/>
          <w:cols w:equalWidth="0" w:num="1">
            <w:col w:w="11240"/>
          </w:cols>
          <w:pgMar w:left="320" w:top="10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rPr>
          <w:sz w:val="20"/>
          <w:szCs w:val="20"/>
          <w:color w:val="auto"/>
        </w:rPr>
      </w:pPr>
      <w:r>
        <w:rPr>
          <w:rFonts w:ascii="Arial" w:cs="Arial" w:eastAsia="Arial" w:hAnsi="Arial"/>
          <w:sz w:val="19"/>
          <w:szCs w:val="19"/>
          <w:color w:val="auto"/>
        </w:rPr>
        <w:t>acquiring, whether by merger, consolidation, purchase of assets, dissolution or otherwise, all or substantially all of the capital stock, business and/or assets of the Company (or its successor) regardless of whether the Company is the surviving or resulting entity. The Company shall require any successor (whether direct or indirect, by purchase, merger, consolidation, dissolution or otherwise) to all or substantially all of the capital stock, business or assets of the Company to expressly assume and agree to perform this Agreement in the same manner and to the same extent that the Company would be required to perform it if no such succession had occurred; provided, however, no such assumption shall relieve the Company or any of its Affiliates (or any successor thereof) of any of its duties or obligations hereunder unless otherwise agreed, in writing, by Executive.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This Agreement shall inure to the benefit of and be enforceable by Executive’s personal or legal representative, executors, administrators, successors, and heirs. In the event of the death of Executive while any amount is payable hereunder, all such amounts shall be paid to the Designated Beneficiary.</w:t>
      </w:r>
    </w:p>
    <w:p>
      <w:pPr>
        <w:spacing w:after="0" w:line="148" w:lineRule="exact"/>
        <w:rPr>
          <w:sz w:val="20"/>
          <w:szCs w:val="20"/>
          <w:color w:val="auto"/>
        </w:rPr>
      </w:pPr>
    </w:p>
    <w:p>
      <w:pPr>
        <w:jc w:val="both"/>
        <w:ind w:firstLine="5"/>
        <w:spacing w:after="0" w:line="246" w:lineRule="auto"/>
        <w:tabs>
          <w:tab w:leader="none" w:pos="632"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Each notice or other communication required or permitted under this Agreement shall be in writing and transmitted,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or sent by personal delivery, prepaid courier or messenger service (whether overnight or same-day), or prepaid certified United States mail (with return receipt requested), addressed (in any case) to the other party at the address for that party set forth below that party’s signature on this Agreement, or at such other address as the recipient has designated by Notice to the other party, by electronic mail, delivery and read receipt required, or by facsimile, confirmation of delivery required.</w:t>
      </w:r>
    </w:p>
    <w:p>
      <w:pPr>
        <w:spacing w:after="0" w:line="14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19"/>
          <w:szCs w:val="19"/>
          <w:color w:val="auto"/>
        </w:rPr>
        <w:t>Each notice or communication so transmitted, delivered, or sent (a) in person, by courier or messenger service, or by certified United States mail shall be deemed given, received, and effective on the date delivered to or refused by the intended recipient (with the return receipt, or the equivalent record of the courier or messenger, being deemed conclusive evidence of delivery or refusal), or</w:t>
      </w:r>
    </w:p>
    <w:p>
      <w:pPr>
        <w:spacing w:after="0" w:line="2" w:lineRule="exact"/>
        <w:rPr>
          <w:sz w:val="20"/>
          <w:szCs w:val="20"/>
          <w:color w:val="auto"/>
        </w:rPr>
      </w:pPr>
    </w:p>
    <w:p>
      <w:pPr>
        <w:jc w:val="both"/>
        <w:ind w:firstLine="5"/>
        <w:spacing w:after="0" w:line="217" w:lineRule="auto"/>
        <w:tabs>
          <w:tab w:leader="none" w:pos="319" w:val="left"/>
        </w:tabs>
        <w:numPr>
          <w:ilvl w:val="0"/>
          <w:numId w:val="71"/>
        </w:numPr>
        <w:rPr>
          <w:rFonts w:ascii="Arial" w:cs="Arial" w:eastAsia="Arial" w:hAnsi="Arial"/>
          <w:sz w:val="21"/>
          <w:szCs w:val="21"/>
          <w:color w:val="auto"/>
        </w:rPr>
      </w:pPr>
      <w:r>
        <w:rPr>
          <w:rFonts w:ascii="Arial" w:cs="Arial" w:eastAsia="Arial" w:hAnsi="Arial"/>
          <w:sz w:val="21"/>
          <w:szCs w:val="21"/>
          <w:color w:val="auto"/>
        </w:rPr>
        <w:t>by telecopy or facsimile shall be deemed given received) and effective on the date of actual receipt (with the confirmation of transmission being deemed conclusive evidence of receipt, except where the intended recipient has promptly notified the other party that the transmission is illegible). Nevertheless, if the date of delivery or transmission is not a business day, or if the delivery or transmission is after 5:00 p.m. (local time) on a business day, the notice or other communication shall be deemed given, received, and effective on the next business day.</w:t>
      </w:r>
    </w:p>
    <w:p>
      <w:pPr>
        <w:spacing w:after="0" w:line="148" w:lineRule="exact"/>
        <w:rPr>
          <w:sz w:val="20"/>
          <w:szCs w:val="20"/>
          <w:color w:val="auto"/>
        </w:rPr>
      </w:pPr>
    </w:p>
    <w:p>
      <w:pPr>
        <w:jc w:val="both"/>
        <w:ind w:firstLine="5"/>
        <w:spacing w:after="0" w:line="241" w:lineRule="auto"/>
        <w:tabs>
          <w:tab w:leader="none" w:pos="632"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Deemed Resignations</w:t>
      </w:r>
      <w:r>
        <w:rPr>
          <w:rFonts w:ascii="Arial" w:cs="Arial" w:eastAsia="Arial" w:hAnsi="Arial"/>
          <w:sz w:val="19"/>
          <w:szCs w:val="19"/>
          <w:color w:val="auto"/>
        </w:rPr>
        <w:t>. Unless otherwise agreed to in writing by the Company and Executive prior to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any termination of Executive’s Employment shall constitute: (a) an automatic resignation of Executive as an officer of the Company and each Affiliate and subsidiary of the Company, as applicable, and (b) an automatic resignation of Executive from the Board (if applicable), from the board of directors of any Affiliate and subsidiary of the Company (if applicable), and from the board of directors or any similar governing body of any corporation, limited liability entity or other entity (i) in which the Company or any Affiliate or subsidiary holds an equity interest and (ii) with respect to which board or similar governing body the Executive serves as the Company’s or such Affiliate’s or subsidiary’s designee or other representative (if applicable).</w:t>
      </w:r>
    </w:p>
    <w:p>
      <w:pPr>
        <w:spacing w:after="0" w:line="148" w:lineRule="exact"/>
        <w:rPr>
          <w:rFonts w:ascii="Arial" w:cs="Arial" w:eastAsia="Arial" w:hAnsi="Arial"/>
          <w:sz w:val="19"/>
          <w:szCs w:val="19"/>
          <w:b w:val="1"/>
          <w:bCs w:val="1"/>
          <w:color w:val="auto"/>
        </w:rPr>
      </w:pPr>
    </w:p>
    <w:p>
      <w:pPr>
        <w:jc w:val="both"/>
        <w:ind w:firstLine="5"/>
        <w:spacing w:after="0" w:line="218" w:lineRule="auto"/>
        <w:tabs>
          <w:tab w:leader="none" w:pos="632"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 Acknowledgment</w:t>
      </w:r>
      <w:r>
        <w:rPr>
          <w:rFonts w:ascii="Arial" w:cs="Arial" w:eastAsia="Arial" w:hAnsi="Arial"/>
          <w:sz w:val="21"/>
          <w:szCs w:val="21"/>
          <w:color w:val="auto"/>
        </w:rPr>
        <w:t>. Executive acknowledges (a) being knowledgeable and sophisticated as to business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the subject matter of this Agreement, (b) having read this Agreement and understanding its terms and conditions, (c) having been given an ample opportunity to discuss this Agreement with his personal legal counsel prior to execution, and (d) that no strict rules of construction shall apply for or against the drafter or any other party. Executive hereby represents that he is free to enter into this Agreement including, without limitation, that he is not subject to any covenant not to compete, confidentiality agreement or other restrictive agreement or covenant, with former employer or otherwise, that could conflict with this Agreement or his duties hereunder.</w:t>
      </w:r>
    </w:p>
    <w:p>
      <w:pPr>
        <w:spacing w:after="0" w:line="200" w:lineRule="exact"/>
        <w:rPr>
          <w:sz w:val="20"/>
          <w:szCs w:val="20"/>
          <w:color w:val="auto"/>
        </w:rPr>
      </w:pPr>
    </w:p>
    <w:p>
      <w:pPr>
        <w:spacing w:after="0" w:line="397"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15</w:t>
            </w:r>
          </w:p>
        </w:tc>
      </w:tr>
    </w:tbl>
    <w:p>
      <w:pPr>
        <w:sectPr>
          <w:pgSz w:w="11900" w:h="16838" w:orient="portrait"/>
          <w:cols w:equalWidth="0" w:num="1">
            <w:col w:w="11240"/>
          </w:cols>
          <w:pgMar w:left="320" w:top="108"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5"/>
        <w:spacing w:after="0" w:line="261" w:lineRule="auto"/>
        <w:tabs>
          <w:tab w:leader="none" w:pos="632"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each of which when so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shall be an original, but all such counterparts shall together constitute one and the same instrument. Each counterpart may consist of a copy hereof containing multiple signature pages, each signed by one party hereto, but together signed by both Parties.</w:t>
      </w:r>
    </w:p>
    <w:p>
      <w:pPr>
        <w:spacing w:after="0" w:line="129" w:lineRule="exact"/>
        <w:rPr>
          <w:sz w:val="20"/>
          <w:szCs w:val="20"/>
          <w:color w:val="auto"/>
        </w:rPr>
      </w:pPr>
    </w:p>
    <w:p>
      <w:pPr>
        <w:ind w:firstLine="632"/>
        <w:spacing w:after="0" w:line="241"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Executive has executed this Agreement, the Company has caused this Agreement to be</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in its name and on its behalf by its duly authorized officer, to be effective as of the Effective Date.</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21"/>
          <w:szCs w:val="21"/>
          <w:b w:val="1"/>
          <w:bCs w:val="1"/>
          <w:i w:val="1"/>
          <w:iCs w:val="1"/>
          <w:color w:val="auto"/>
        </w:rPr>
        <w:t>EXECUTIVE:</w:t>
      </w:r>
    </w:p>
    <w:p>
      <w:pPr>
        <w:spacing w:after="0" w:line="193" w:lineRule="exact"/>
        <w:rPr>
          <w:sz w:val="20"/>
          <w:szCs w:val="20"/>
          <w:color w:val="auto"/>
        </w:rPr>
      </w:pPr>
    </w:p>
    <w:p>
      <w:pPr>
        <w:ind w:left="3800"/>
        <w:spacing w:after="0"/>
        <w:rPr>
          <w:sz w:val="20"/>
          <w:szCs w:val="20"/>
          <w:color w:val="auto"/>
        </w:rPr>
      </w:pPr>
      <w:r>
        <w:rPr>
          <w:rFonts w:ascii="Arial" w:cs="Arial" w:eastAsia="Arial" w:hAnsi="Arial"/>
          <w:sz w:val="21"/>
          <w:szCs w:val="21"/>
          <w:u w:val="single" w:color="auto"/>
          <w:color w:val="auto"/>
        </w:rPr>
        <w:t>/s/ Steven D. Metzger</w:t>
      </w:r>
    </w:p>
    <w:p>
      <w:pPr>
        <w:ind w:left="3800"/>
        <w:spacing w:after="0"/>
        <w:rPr>
          <w:sz w:val="20"/>
          <w:szCs w:val="20"/>
          <w:color w:val="auto"/>
        </w:rPr>
      </w:pPr>
      <w:r>
        <w:rPr>
          <w:rFonts w:ascii="Arial" w:cs="Arial" w:eastAsia="Arial" w:hAnsi="Arial"/>
          <w:sz w:val="21"/>
          <w:szCs w:val="21"/>
          <w:b w:val="1"/>
          <w:bCs w:val="1"/>
          <w:color w:val="auto"/>
        </w:rPr>
        <w:t>Steve Metzger</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21"/>
          <w:szCs w:val="21"/>
          <w:i w:val="1"/>
          <w:iCs w:val="1"/>
          <w:color w:val="auto"/>
        </w:rPr>
        <w:t>Address for Notices:</w:t>
      </w:r>
    </w:p>
    <w:p>
      <w:pPr>
        <w:ind w:left="3800"/>
        <w:spacing w:after="0" w:line="209" w:lineRule="auto"/>
        <w:rPr>
          <w:sz w:val="20"/>
          <w:szCs w:val="20"/>
          <w:color w:val="auto"/>
        </w:rPr>
      </w:pPr>
      <w:r>
        <w:rPr>
          <w:rFonts w:ascii="Arial" w:cs="Arial" w:eastAsia="Arial" w:hAnsi="Arial"/>
          <w:sz w:val="21"/>
          <w:szCs w:val="21"/>
          <w:color w:val="auto"/>
        </w:rPr>
        <w:t>6332 Schiller Street</w:t>
      </w:r>
    </w:p>
    <w:p>
      <w:pPr>
        <w:ind w:left="3800"/>
        <w:spacing w:after="0"/>
        <w:rPr>
          <w:sz w:val="20"/>
          <w:szCs w:val="20"/>
          <w:color w:val="auto"/>
        </w:rPr>
      </w:pPr>
      <w:r>
        <w:rPr>
          <w:rFonts w:ascii="Arial" w:cs="Arial" w:eastAsia="Arial" w:hAnsi="Arial"/>
          <w:sz w:val="21"/>
          <w:szCs w:val="21"/>
          <w:color w:val="auto"/>
        </w:rPr>
        <w:t>Houston, Texas 77055</w:t>
      </w: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Arial" w:cs="Arial" w:eastAsia="Arial" w:hAnsi="Arial"/>
          <w:sz w:val="21"/>
          <w:szCs w:val="21"/>
          <w:b w:val="1"/>
          <w:bCs w:val="1"/>
          <w:i w:val="1"/>
          <w:iCs w:val="1"/>
          <w:color w:val="auto"/>
        </w:rPr>
        <w:t>COMPANY</w:t>
      </w:r>
      <w:r>
        <w:rPr>
          <w:rFonts w:ascii="Arial" w:cs="Arial" w:eastAsia="Arial" w:hAnsi="Arial"/>
          <w:sz w:val="21"/>
          <w:szCs w:val="21"/>
          <w:b w:val="1"/>
          <w:bCs w:val="1"/>
          <w:color w:val="auto"/>
        </w:rPr>
        <w:t>:</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1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Melvin C. Payne</w:t>
      </w:r>
    </w:p>
    <w:p>
      <w:pPr>
        <w:spacing w:after="0" w:line="167" w:lineRule="exact"/>
        <w:rPr>
          <w:sz w:val="20"/>
          <w:szCs w:val="20"/>
          <w:color w:val="auto"/>
        </w:rPr>
      </w:pPr>
    </w:p>
    <w:p>
      <w:pPr>
        <w:ind w:left="3800"/>
        <w:spacing w:after="0"/>
        <w:tabs>
          <w:tab w:leader="none" w:pos="460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b w:val="1"/>
          <w:bCs w:val="1"/>
          <w:color w:val="auto"/>
        </w:rPr>
        <w:t>Mel Payne</w:t>
      </w:r>
    </w:p>
    <w:p>
      <w:pPr>
        <w:ind w:left="3800"/>
        <w:spacing w:after="0" w:line="209" w:lineRule="auto"/>
        <w:tabs>
          <w:tab w:leader="none" w:pos="44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b w:val="1"/>
          <w:bCs w:val="1"/>
          <w:color w:val="auto"/>
        </w:rPr>
        <w:t>Chairman of the Board &amp;</w:t>
      </w:r>
    </w:p>
    <w:p>
      <w:pPr>
        <w:ind w:left="4000"/>
        <w:spacing w:after="0"/>
        <w:rPr>
          <w:sz w:val="20"/>
          <w:szCs w:val="20"/>
          <w:color w:val="auto"/>
        </w:rPr>
      </w:pPr>
      <w:r>
        <w:rPr>
          <w:rFonts w:ascii="Arial" w:cs="Arial" w:eastAsia="Arial" w:hAnsi="Arial"/>
          <w:sz w:val="21"/>
          <w:szCs w:val="21"/>
          <w:b w:val="1"/>
          <w:bCs w:val="1"/>
          <w:color w:val="auto"/>
        </w:rPr>
        <w:t>Chief Executive Officer</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21"/>
          <w:szCs w:val="21"/>
          <w:i w:val="1"/>
          <w:iCs w:val="1"/>
          <w:color w:val="auto"/>
        </w:rPr>
        <w:t>Address for Notices:</w:t>
      </w:r>
    </w:p>
    <w:p>
      <w:pPr>
        <w:ind w:left="3800"/>
        <w:spacing w:after="0" w:line="209" w:lineRule="auto"/>
        <w:rPr>
          <w:sz w:val="20"/>
          <w:szCs w:val="20"/>
          <w:color w:val="auto"/>
        </w:rPr>
      </w:pPr>
      <w:r>
        <w:rPr>
          <w:rFonts w:ascii="Arial" w:cs="Arial" w:eastAsia="Arial" w:hAnsi="Arial"/>
          <w:sz w:val="21"/>
          <w:szCs w:val="21"/>
          <w:color w:val="auto"/>
        </w:rPr>
        <w:t>Carriage Services, Inc.</w:t>
      </w:r>
    </w:p>
    <w:p>
      <w:pPr>
        <w:ind w:left="3800"/>
        <w:spacing w:after="0" w:line="209" w:lineRule="auto"/>
        <w:rPr>
          <w:sz w:val="20"/>
          <w:szCs w:val="20"/>
          <w:color w:val="auto"/>
        </w:rPr>
      </w:pPr>
      <w:r>
        <w:rPr>
          <w:rFonts w:ascii="Arial" w:cs="Arial" w:eastAsia="Arial" w:hAnsi="Arial"/>
          <w:sz w:val="21"/>
          <w:szCs w:val="21"/>
          <w:color w:val="auto"/>
        </w:rPr>
        <w:t>3040 Post Oak Blvd, Suite 300</w:t>
      </w:r>
    </w:p>
    <w:p>
      <w:pPr>
        <w:ind w:left="3800"/>
        <w:spacing w:after="0" w:line="209" w:lineRule="auto"/>
        <w:rPr>
          <w:sz w:val="20"/>
          <w:szCs w:val="20"/>
          <w:color w:val="auto"/>
        </w:rPr>
      </w:pPr>
      <w:r>
        <w:rPr>
          <w:rFonts w:ascii="Arial" w:cs="Arial" w:eastAsia="Arial" w:hAnsi="Arial"/>
          <w:sz w:val="21"/>
          <w:szCs w:val="21"/>
          <w:color w:val="auto"/>
        </w:rPr>
        <w:t>Houston, Texas 77056</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Attn: General Counsel</w:t>
      </w:r>
    </w:p>
    <w:p>
      <w:pPr>
        <w:spacing w:after="0" w:line="188" w:lineRule="exact"/>
        <w:rPr>
          <w:sz w:val="20"/>
          <w:szCs w:val="20"/>
          <w:color w:val="auto"/>
        </w:rPr>
      </w:pPr>
    </w:p>
    <w:p>
      <w:pPr>
        <w:ind w:left="4760"/>
        <w:spacing w:after="0"/>
        <w:rPr>
          <w:sz w:val="20"/>
          <w:szCs w:val="20"/>
          <w:color w:val="auto"/>
        </w:rPr>
      </w:pPr>
      <w:r>
        <w:rPr>
          <w:rFonts w:ascii="Arial" w:cs="Arial" w:eastAsia="Arial" w:hAnsi="Arial"/>
          <w:sz w:val="21"/>
          <w:szCs w:val="21"/>
          <w:i w:val="1"/>
          <w:iCs w:val="1"/>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16</w:t>
            </w:r>
          </w:p>
        </w:tc>
      </w:tr>
    </w:tbl>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21"/>
          <w:szCs w:val="21"/>
          <w:b w:val="1"/>
          <w:bCs w:val="1"/>
          <w:u w:val="single" w:color="auto"/>
          <w:color w:val="auto"/>
        </w:rPr>
        <w:t>Schedule I</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19"/>
          <w:szCs w:val="19"/>
          <w:color w:val="auto"/>
        </w:rPr>
        <w:t>The following entities, together with all Affiliated Parties thereof:</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Service Corporation International</w:t>
      </w:r>
    </w:p>
    <w:p>
      <w:pPr>
        <w:ind w:left="1260"/>
        <w:spacing w:after="0" w:line="209" w:lineRule="auto"/>
        <w:rPr>
          <w:sz w:val="20"/>
          <w:szCs w:val="20"/>
          <w:color w:val="auto"/>
        </w:rPr>
      </w:pPr>
      <w:r>
        <w:rPr>
          <w:rFonts w:ascii="Arial" w:cs="Arial" w:eastAsia="Arial" w:hAnsi="Arial"/>
          <w:sz w:val="21"/>
          <w:szCs w:val="21"/>
          <w:color w:val="auto"/>
        </w:rPr>
        <w:t>StoneMor Partners LP</w:t>
      </w:r>
    </w:p>
    <w:p>
      <w:pPr>
        <w:ind w:left="1260"/>
        <w:spacing w:after="0" w:line="209" w:lineRule="auto"/>
        <w:rPr>
          <w:sz w:val="20"/>
          <w:szCs w:val="20"/>
          <w:color w:val="auto"/>
        </w:rPr>
      </w:pPr>
      <w:r>
        <w:rPr>
          <w:rFonts w:ascii="Arial" w:cs="Arial" w:eastAsia="Arial" w:hAnsi="Arial"/>
          <w:sz w:val="21"/>
          <w:szCs w:val="21"/>
          <w:color w:val="auto"/>
        </w:rPr>
        <w:t>NorthStar Memorial Group, LLC</w:t>
      </w:r>
    </w:p>
    <w:p>
      <w:pPr>
        <w:ind w:left="1260"/>
        <w:spacing w:after="0" w:line="209" w:lineRule="auto"/>
        <w:rPr>
          <w:sz w:val="20"/>
          <w:szCs w:val="20"/>
          <w:color w:val="auto"/>
        </w:rPr>
      </w:pPr>
      <w:r>
        <w:rPr>
          <w:rFonts w:ascii="Arial" w:cs="Arial" w:eastAsia="Arial" w:hAnsi="Arial"/>
          <w:sz w:val="21"/>
          <w:szCs w:val="21"/>
          <w:color w:val="auto"/>
        </w:rPr>
        <w:t>Park Lawn Corporation</w:t>
      </w:r>
    </w:p>
    <w:p>
      <w:pPr>
        <w:ind w:left="1260"/>
        <w:spacing w:after="0" w:line="209" w:lineRule="auto"/>
        <w:rPr>
          <w:sz w:val="20"/>
          <w:szCs w:val="20"/>
          <w:color w:val="auto"/>
        </w:rPr>
      </w:pPr>
      <w:r>
        <w:rPr>
          <w:rFonts w:ascii="Arial" w:cs="Arial" w:eastAsia="Arial" w:hAnsi="Arial"/>
          <w:sz w:val="21"/>
          <w:szCs w:val="21"/>
          <w:color w:val="auto"/>
        </w:rPr>
        <w:t>Legacy Funeral Group, LLC</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Foundation Partners Group, LLC</w:t>
      </w:r>
    </w:p>
    <w:p>
      <w:pPr>
        <w:spacing w:after="0" w:line="398"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Schedule I</w:t>
      </w:r>
      <w:r>
        <w:rPr>
          <w:rFonts w:ascii="Arial" w:cs="Arial" w:eastAsia="Arial" w:hAnsi="Arial"/>
          <w:sz w:val="21"/>
          <w:szCs w:val="21"/>
          <w:color w:val="auto"/>
        </w:rPr>
        <w:t>, an “Affiliated Party” of an entity is an entity that directly or indirectly controls, is under the control of or is under common control with such entity.</w:t>
      </w:r>
    </w:p>
    <w:p>
      <w:pPr>
        <w:spacing w:after="0" w:line="155" w:lineRule="exact"/>
        <w:rPr>
          <w:sz w:val="20"/>
          <w:szCs w:val="20"/>
          <w:color w:val="auto"/>
        </w:rPr>
      </w:pPr>
    </w:p>
    <w:p>
      <w:pPr>
        <w:ind w:left="640" w:hanging="635"/>
        <w:spacing w:after="0" w:line="237" w:lineRule="auto"/>
        <w:tabs>
          <w:tab w:leader="none" w:pos="490"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Any new entity which may hereafter be established which acquires any combination of ten or more funeral homes and/or cemeteries from any of the entities described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Schedule I</w:t>
      </w:r>
      <w:r>
        <w:rPr>
          <w:rFonts w:ascii="Arial" w:cs="Arial" w:eastAsia="Arial" w:hAnsi="Arial"/>
          <w:sz w:val="21"/>
          <w:szCs w:val="21"/>
          <w:color w:val="auto"/>
        </w:rPr>
        <w:t>.</w:t>
      </w:r>
    </w:p>
    <w:p>
      <w:pPr>
        <w:spacing w:after="0" w:line="154" w:lineRule="exact"/>
        <w:rPr>
          <w:rFonts w:ascii="Arial" w:cs="Arial" w:eastAsia="Arial" w:hAnsi="Arial"/>
          <w:sz w:val="21"/>
          <w:szCs w:val="21"/>
          <w:color w:val="auto"/>
        </w:rPr>
      </w:pPr>
    </w:p>
    <w:p>
      <w:pPr>
        <w:ind w:left="640" w:hanging="635"/>
        <w:spacing w:after="0" w:line="237" w:lineRule="auto"/>
        <w:tabs>
          <w:tab w:leader="none" w:pos="418"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Any funeral home, cemetery or other death care enterprise which is managed by any entity described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Schedule 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758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w w:val="91"/>
              </w:rPr>
              <w:t>Steve Metzger’s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17</w:t>
            </w:r>
          </w:p>
        </w:tc>
      </w:tr>
    </w:tbl>
    <w:p>
      <w:pPr>
        <w:sectPr>
          <w:pgSz w:w="11900" w:h="16838" w:orient="portrait"/>
          <w:cols w:equalWidth="0" w:num="1">
            <w:col w:w="11240"/>
          </w:cols>
          <w:pgMar w:left="320" w:top="10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EMPLOYMENT AGREEMENT</w:t>
      </w:r>
    </w:p>
    <w:p>
      <w:pPr>
        <w:spacing w:after="0" w:line="180"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June ___, 2020 (the “</w:t>
      </w:r>
      <w:r>
        <w:rPr>
          <w:rFonts w:ascii="Arial" w:cs="Arial" w:eastAsia="Arial" w:hAnsi="Arial"/>
          <w:sz w:val="21"/>
          <w:szCs w:val="2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by and between Carriage Services,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Carlos Quezada (hereafter “</w:t>
      </w:r>
      <w:r>
        <w:rPr>
          <w:rFonts w:ascii="Arial" w:cs="Arial" w:eastAsia="Arial" w:hAnsi="Arial"/>
          <w:sz w:val="21"/>
          <w:szCs w:val="21"/>
          <w:u w:val="single" w:color="auto"/>
          <w:color w:val="auto"/>
        </w:rPr>
        <w:t>Executive</w:t>
      </w:r>
      <w:r>
        <w:rPr>
          <w:rFonts w:ascii="Arial" w:cs="Arial" w:eastAsia="Arial" w:hAnsi="Arial"/>
          <w:sz w:val="21"/>
          <w:szCs w:val="21"/>
          <w:color w:val="auto"/>
        </w:rPr>
        <w:t>”). The Company and Executive may sometimes hereafter be referred to singularly as a “</w:t>
      </w:r>
      <w:r>
        <w:rPr>
          <w:rFonts w:ascii="Arial" w:cs="Arial" w:eastAsia="Arial" w:hAnsi="Arial"/>
          <w:sz w:val="21"/>
          <w:szCs w:val="21"/>
          <w:u w:val="single" w:color="auto"/>
          <w:color w:val="auto"/>
        </w:rPr>
        <w:t>Party</w:t>
      </w:r>
      <w:r>
        <w:rPr>
          <w:rFonts w:ascii="Arial" w:cs="Arial" w:eastAsia="Arial" w:hAnsi="Arial"/>
          <w:sz w:val="21"/>
          <w:szCs w:val="21"/>
          <w:color w:val="auto"/>
        </w:rPr>
        <w:t>” or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WITNESSETH:</w:t>
      </w:r>
    </w:p>
    <w:p>
      <w:pPr>
        <w:spacing w:after="0" w:line="180"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to continue to secure the employment services of Executive subject to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hereafter set forth;</w:t>
      </w:r>
    </w:p>
    <w:p>
      <w:pPr>
        <w:spacing w:after="0" w:line="147"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Executive’s continued employment with the Company, and the premises and</w:t>
      </w:r>
      <w:r>
        <w:rPr>
          <w:rFonts w:ascii="Arial" w:cs="Arial" w:eastAsia="Arial" w:hAnsi="Arial"/>
          <w:sz w:val="21"/>
          <w:szCs w:val="21"/>
          <w:b w:val="1"/>
          <w:bCs w:val="1"/>
          <w:color w:val="auto"/>
        </w:rPr>
        <w:t xml:space="preserve"> </w:t>
      </w:r>
      <w:r>
        <w:rPr>
          <w:rFonts w:ascii="Arial" w:cs="Arial" w:eastAsia="Arial" w:hAnsi="Arial"/>
          <w:sz w:val="21"/>
          <w:szCs w:val="21"/>
          <w:color w:val="auto"/>
        </w:rPr>
        <w:t>mutual covenants contained herein, the Parties hereto agree as follows:</w:t>
      </w:r>
    </w:p>
    <w:p>
      <w:pPr>
        <w:spacing w:after="0" w:line="291" w:lineRule="exact"/>
        <w:rPr>
          <w:sz w:val="20"/>
          <w:szCs w:val="20"/>
          <w:color w:val="auto"/>
        </w:rPr>
      </w:pPr>
    </w:p>
    <w:p>
      <w:pPr>
        <w:jc w:val="both"/>
        <w:ind w:firstLine="5"/>
        <w:spacing w:after="0" w:line="517" w:lineRule="auto"/>
        <w:tabs>
          <w:tab w:leader="none" w:pos="632"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Position and Defined Terms</w:t>
      </w:r>
      <w:r>
        <w:rPr>
          <w:rFonts w:ascii="Arial" w:cs="Arial" w:eastAsia="Arial" w:hAnsi="Arial"/>
          <w:sz w:val="20"/>
          <w:szCs w:val="20"/>
          <w:color w:val="auto"/>
        </w:rPr>
        <w:t>. During the Employment Period (as defined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b w:val="1"/>
          <w:bCs w:val="1"/>
          <w:color w:val="auto"/>
        </w:rPr>
        <w:t xml:space="preserve"> </w:t>
      </w:r>
      <w:hyperlink w:anchor="page147">
        <w:r>
          <w:rPr>
            <w:rFonts w:ascii="Arial" w:cs="Arial" w:eastAsia="Arial" w:hAnsi="Arial"/>
            <w:sz w:val="20"/>
            <w:szCs w:val="20"/>
            <w:color w:val="0000FF"/>
          </w:rPr>
          <w:t>4)</w:t>
        </w:r>
      </w:hyperlink>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employ Executive, and Executive shall serve, as Vice President of Cemetery Sales and Marketing of the Company. Executive shall also serve as an officer of any subsidiary of the Company as may be requested by the Company. Executive shall perform such other duties which are from time to time assigned to him and are not inconsistent with the provisions hereof. Executive’s principal place of Employment shall be at the main business offices of the Company in Houston, Texas. Defined terms used in the Agreement that are not otherwise defined herein when first used are defined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hyperlink w:anchor="page147">
        <w:r>
          <w:rPr>
            <w:rFonts w:ascii="Arial" w:cs="Arial" w:eastAsia="Arial" w:hAnsi="Arial"/>
            <w:sz w:val="20"/>
            <w:szCs w:val="20"/>
            <w:color w:val="0000FF"/>
          </w:rPr>
          <w:t>6(g)</w:t>
        </w:r>
        <w:r>
          <w:rPr>
            <w:rFonts w:ascii="Arial" w:cs="Arial" w:eastAsia="Arial" w:hAnsi="Arial"/>
            <w:sz w:val="20"/>
            <w:szCs w:val="20"/>
            <w:color w:val="auto"/>
          </w:rPr>
          <w:t xml:space="preserve"> </w:t>
        </w:r>
      </w:hyperlink>
      <w:r>
        <w:rPr>
          <w:rFonts w:ascii="Arial" w:cs="Arial" w:eastAsia="Arial" w:hAnsi="Arial"/>
          <w:sz w:val="20"/>
          <w:szCs w:val="20"/>
          <w:color w:val="auto"/>
        </w:rPr>
        <w:t xml:space="preserve">and </w:t>
      </w:r>
      <w:hyperlink w:anchor="page147">
        <w:r>
          <w:rPr>
            <w:rFonts w:ascii="Arial" w:cs="Arial" w:eastAsia="Arial" w:hAnsi="Arial"/>
            <w:sz w:val="20"/>
            <w:szCs w:val="20"/>
            <w:u w:val="single" w:color="auto"/>
            <w:color w:val="0000FF"/>
          </w:rPr>
          <w:t>10(d).</w:t>
        </w:r>
      </w:hyperlink>
    </w:p>
    <w:p>
      <w:pPr>
        <w:spacing w:after="0" w:line="14" w:lineRule="exact"/>
        <w:rPr>
          <w:rFonts w:ascii="Arial" w:cs="Arial" w:eastAsia="Arial" w:hAnsi="Arial"/>
          <w:sz w:val="20"/>
          <w:szCs w:val="20"/>
          <w:color w:val="auto"/>
        </w:rPr>
      </w:pPr>
    </w:p>
    <w:p>
      <w:pPr>
        <w:ind w:left="640" w:hanging="635"/>
        <w:spacing w:after="0"/>
        <w:tabs>
          <w:tab w:leader="none" w:pos="64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29" w:lineRule="auto"/>
        <w:tabs>
          <w:tab w:leader="none" w:pos="1260" w:val="left"/>
        </w:tabs>
        <w:numPr>
          <w:ilvl w:val="1"/>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Company shall pay to Executive during the Employment Period an annual salary at a rate of not 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than Three Hundred Thousand Dollars ($300,000.00) per full calendar year of service (the “</w:t>
      </w:r>
      <w:r>
        <w:rPr>
          <w:rFonts w:ascii="Arial" w:cs="Arial" w:eastAsia="Arial" w:hAnsi="Arial"/>
          <w:sz w:val="20"/>
          <w:szCs w:val="20"/>
          <w:u w:val="single" w:color="auto"/>
          <w:color w:val="auto"/>
        </w:rPr>
        <w:t>Base Salary</w:t>
      </w:r>
      <w:r>
        <w:rPr>
          <w:rFonts w:ascii="Arial" w:cs="Arial" w:eastAsia="Arial" w:hAnsi="Arial"/>
          <w:sz w:val="20"/>
          <w:szCs w:val="20"/>
          <w:color w:val="auto"/>
        </w:rPr>
        <w:t>”). Executive’s Base Salary may increase at the discretion of the Compensation Committee or its duly authorized delegate and shall be paid in equal installments in accordance with the Company’s standard policy regarding payment of compensation to similarly situated employees, but no less frequently than monthly. Nothing contained herein shall preclude the payment of any other compensation to Executive at any time as determined by the Compensation Committee.</w:t>
      </w:r>
    </w:p>
    <w:p>
      <w:pPr>
        <w:spacing w:after="0" w:line="157" w:lineRule="exact"/>
        <w:rPr>
          <w:rFonts w:ascii="Arial" w:cs="Arial" w:eastAsia="Arial" w:hAnsi="Arial"/>
          <w:sz w:val="20"/>
          <w:szCs w:val="20"/>
          <w:color w:val="auto"/>
        </w:rPr>
      </w:pPr>
    </w:p>
    <w:p>
      <w:pPr>
        <w:jc w:val="both"/>
        <w:ind w:firstLine="637"/>
        <w:spacing w:after="0"/>
        <w:tabs>
          <w:tab w:leader="none" w:pos="1259" w:val="left"/>
        </w:tabs>
        <w:numPr>
          <w:ilvl w:val="1"/>
          <w:numId w:val="7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In addition to the Base Salary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i w:val="1"/>
          <w:iCs w:val="1"/>
          <w:color w:val="auto"/>
        </w:rPr>
        <w:t xml:space="preserve"> </w:t>
      </w:r>
      <w:hyperlink w:anchor="page147">
        <w:r>
          <w:rPr>
            <w:rFonts w:ascii="Arial" w:cs="Arial" w:eastAsia="Arial" w:hAnsi="Arial"/>
            <w:sz w:val="19"/>
            <w:szCs w:val="19"/>
            <w:u w:val="single" w:color="auto"/>
            <w:color w:val="0000FF"/>
          </w:rPr>
          <w:t>2(a),</w:t>
        </w:r>
        <w:r>
          <w:rPr>
            <w:rFonts w:ascii="Arial" w:cs="Arial" w:eastAsia="Arial" w:hAnsi="Arial"/>
            <w:sz w:val="19"/>
            <w:szCs w:val="19"/>
            <w:b w:val="1"/>
            <w:bCs w:val="1"/>
            <w:i w:val="1"/>
            <w:iCs w:val="1"/>
            <w:u w:val="single" w:color="auto"/>
            <w:color w:val="auto"/>
          </w:rPr>
          <w:t xml:space="preserve"> </w:t>
        </w:r>
      </w:hyperlink>
      <w:r>
        <w:rPr>
          <w:rFonts w:ascii="Arial" w:cs="Arial" w:eastAsia="Arial" w:hAnsi="Arial"/>
          <w:sz w:val="19"/>
          <w:szCs w:val="19"/>
          <w:color w:val="auto"/>
        </w:rPr>
        <w:t>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eligible for an annual, discretionary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incentive award (the “</w:t>
      </w:r>
      <w:r>
        <w:rPr>
          <w:rFonts w:ascii="Arial" w:cs="Arial" w:eastAsia="Arial" w:hAnsi="Arial"/>
          <w:sz w:val="19"/>
          <w:szCs w:val="19"/>
          <w:u w:val="single" w:color="auto"/>
          <w:color w:val="auto"/>
        </w:rPr>
        <w:t>Annual Bonus</w:t>
      </w:r>
      <w:r>
        <w:rPr>
          <w:rFonts w:ascii="Arial" w:cs="Arial" w:eastAsia="Arial" w:hAnsi="Arial"/>
          <w:sz w:val="19"/>
          <w:szCs w:val="19"/>
          <w:color w:val="auto"/>
        </w:rPr>
        <w:t>”) for each full calendar year that he is employed hereunder, as determined in the sole discretion of the Compensation Committee (or its duly authorized delegate) upon consideration of, among other things, corporate and individual performance for the year. The Annual Bonus shall be payable before March 15 of the year following the calendar year to which the Annual Bonus relates, following the certification of applicable year-end financial results. Executive must be employed by the Company on the payment date in order to earn and receive an Annual Bonus and thus Executive shall have no entitlement to any Annual Bonus before that date. The Executive’s “</w:t>
      </w:r>
      <w:r>
        <w:rPr>
          <w:rFonts w:ascii="Arial" w:cs="Arial" w:eastAsia="Arial" w:hAnsi="Arial"/>
          <w:sz w:val="19"/>
          <w:szCs w:val="19"/>
          <w:u w:val="single" w:color="auto"/>
          <w:color w:val="auto"/>
        </w:rPr>
        <w:t>Target Annual Bonus</w:t>
      </w:r>
      <w:r>
        <w:rPr>
          <w:rFonts w:ascii="Arial" w:cs="Arial" w:eastAsia="Arial" w:hAnsi="Arial"/>
          <w:sz w:val="19"/>
          <w:szCs w:val="19"/>
          <w:color w:val="auto"/>
        </w:rPr>
        <w:t>” shall be established by</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-3931920</wp:posOffset>
            </wp:positionV>
            <wp:extent cx="1530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-2385695</wp:posOffset>
            </wp:positionV>
            <wp:extent cx="289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00" w:lineRule="exact"/>
        <w:rPr>
          <w:rFonts w:ascii="Arial" w:cs="Arial" w:eastAsia="Arial" w:hAnsi="Arial"/>
          <w:sz w:val="20"/>
          <w:szCs w:val="20"/>
          <w:color w:val="auto"/>
        </w:rPr>
      </w:pPr>
    </w:p>
    <w:p>
      <w:pPr>
        <w:spacing w:after="0" w:line="377" w:lineRule="exact"/>
        <w:rPr>
          <w:rFonts w:ascii="Arial" w:cs="Arial" w:eastAsia="Arial" w:hAnsi="Arial"/>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1</w:t>
            </w:r>
          </w:p>
        </w:tc>
      </w:tr>
    </w:tbl>
    <w:p>
      <w:pPr>
        <w:sectPr>
          <w:pgSz w:w="11900" w:h="16838" w:orient="portrait"/>
          <w:cols w:equalWidth="0" w:num="1">
            <w:col w:w="11240"/>
          </w:cols>
          <w:pgMar w:left="320" w:top="1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the Compensation Committee, or its duly authorized delegate, at the beginning of each year. For 2020, Executive’s Annual Bonus shall be guaranteed at a rate of $150,000. After 2020, Executive’s Target Annual Bonus shall be a percentage of Executive’s Base Salary, not to be less than 50% (it being understood that the actual Annual Bonus eventually earned could be lesser or greater than the Target Annual Bonus).</w:t>
      </w:r>
    </w:p>
    <w:p>
      <w:pPr>
        <w:spacing w:after="0" w:line="149" w:lineRule="exact"/>
        <w:rPr>
          <w:sz w:val="20"/>
          <w:szCs w:val="20"/>
          <w:color w:val="auto"/>
        </w:rPr>
      </w:pPr>
    </w:p>
    <w:p>
      <w:pPr>
        <w:ind w:left="640" w:hanging="635"/>
        <w:spacing w:after="0"/>
        <w:tabs>
          <w:tab w:leader="none" w:pos="64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Duties and Responsibilities of Executive</w:t>
      </w:r>
      <w:r>
        <w:rPr>
          <w:rFonts w:ascii="Arial" w:cs="Arial" w:eastAsia="Arial" w:hAnsi="Arial"/>
          <w:sz w:val="19"/>
          <w:szCs w:val="19"/>
          <w:color w:val="auto"/>
        </w:rPr>
        <w:t>. During the Employment Period, Executive shall devote his full working time to</w:t>
      </w:r>
    </w:p>
    <w:p>
      <w:pPr>
        <w:spacing w:after="0" w:line="16" w:lineRule="exact"/>
        <w:rPr>
          <w:rFonts w:ascii="Arial" w:cs="Arial" w:eastAsia="Arial" w:hAnsi="Arial"/>
          <w:sz w:val="19"/>
          <w:szCs w:val="19"/>
          <w:b w:val="1"/>
          <w:bCs w:val="1"/>
          <w:color w:val="auto"/>
        </w:rPr>
      </w:pPr>
    </w:p>
    <w:p>
      <w:pPr>
        <w:jc w:val="both"/>
        <w:spacing w:after="0" w:line="242" w:lineRule="auto"/>
        <w:rPr>
          <w:rFonts w:ascii="Arial" w:cs="Arial" w:eastAsia="Arial" w:hAnsi="Arial"/>
          <w:sz w:val="19"/>
          <w:szCs w:val="19"/>
          <w:b w:val="1"/>
          <w:bCs w:val="1"/>
          <w:color w:val="auto"/>
        </w:rPr>
      </w:pPr>
      <w:r>
        <w:rPr>
          <w:rFonts w:ascii="Arial" w:cs="Arial" w:eastAsia="Arial" w:hAnsi="Arial"/>
          <w:sz w:val="19"/>
          <w:szCs w:val="19"/>
          <w:color w:val="auto"/>
        </w:rPr>
        <w:t>(a) the business of the Company and its Affiliates and (b) performance of the duties and responsibilities assigned to Executive to the best of Executive’s ability and with reasonable diligence. Executive’s Employment shall also be subject to the policies maintained and established by the Company, as such policies may be amended from time to time. Executive shall at all times use his best efforts to comply in good faith with laws applicable to Executive’s actions on behalf of the Company and its Affiliates.</w:t>
      </w:r>
    </w:p>
    <w:p>
      <w:pPr>
        <w:spacing w:after="0" w:line="147" w:lineRule="exact"/>
        <w:rPr>
          <w:rFonts w:ascii="Arial" w:cs="Arial" w:eastAsia="Arial" w:hAnsi="Arial"/>
          <w:sz w:val="19"/>
          <w:szCs w:val="19"/>
          <w:b w:val="1"/>
          <w:bCs w:val="1"/>
          <w:color w:val="auto"/>
        </w:rPr>
      </w:pPr>
    </w:p>
    <w:p>
      <w:pPr>
        <w:ind w:left="640" w:hanging="635"/>
        <w:spacing w:after="0"/>
        <w:tabs>
          <w:tab w:leader="none" w:pos="64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 Termination Rights</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ind w:firstLine="637"/>
        <w:spacing w:after="0" w:line="237" w:lineRule="auto"/>
        <w:tabs>
          <w:tab w:leader="none" w:pos="1260" w:val="left"/>
        </w:tabs>
        <w:numPr>
          <w:ilvl w:val="1"/>
          <w:numId w:val="7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 </w:t>
      </w:r>
      <w:r>
        <w:rPr>
          <w:rFonts w:ascii="Arial" w:cs="Arial" w:eastAsia="Arial" w:hAnsi="Arial"/>
          <w:sz w:val="21"/>
          <w:szCs w:val="21"/>
          <w:color w:val="auto"/>
        </w:rPr>
        <w:t>Executive’s term of Employment with the Company under this Agreement shall be for the period from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Effective Date through the date that is three (3) years from the Effective Date (the “</w:t>
      </w:r>
      <w:r>
        <w:rPr>
          <w:rFonts w:ascii="Arial" w:cs="Arial" w:eastAsia="Arial" w:hAnsi="Arial"/>
          <w:sz w:val="21"/>
          <w:szCs w:val="21"/>
          <w:u w:val="single" w:color="auto"/>
          <w:color w:val="auto"/>
        </w:rPr>
        <w:t>Initial Term</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21"/>
          <w:szCs w:val="21"/>
          <w:color w:val="auto"/>
        </w:rPr>
        <w:t>On the third anniversary of the Effective Date, and on each subsequent anniversary thereafter, this Agreement shall automatically renew and extend for a period of 12 months (each such 12-month period being a “</w:t>
      </w:r>
      <w:r>
        <w:rPr>
          <w:rFonts w:ascii="Arial" w:cs="Arial" w:eastAsia="Arial" w:hAnsi="Arial"/>
          <w:sz w:val="21"/>
          <w:szCs w:val="21"/>
          <w:u w:val="single" w:color="auto"/>
          <w:color w:val="auto"/>
        </w:rPr>
        <w:t>Renewal Term</w:t>
      </w:r>
      <w:r>
        <w:rPr>
          <w:rFonts w:ascii="Arial" w:cs="Arial" w:eastAsia="Arial" w:hAnsi="Arial"/>
          <w:sz w:val="21"/>
          <w:szCs w:val="21"/>
          <w:color w:val="auto"/>
        </w:rPr>
        <w:t>”), unless written notice of non-renewal is delivered from either Party to the other not less than sixty (60) days prior to the expiration of the then-existing Initial Term or Renewal Term, as applicable. Notwithstanding the foregoing, Executive’s Employment pursuant to this Agreement may be terminated prior to the expiration of the then-existing Initial Term or Renewal Term in accordance with this Agreement.</w:t>
      </w:r>
    </w:p>
    <w:p>
      <w:pPr>
        <w:spacing w:after="0" w:line="15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The period from the Effective Date through the Executive’s Termination Date (for whatever reason) shall be referred to herein as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w:t>
      </w:r>
    </w:p>
    <w:p>
      <w:pPr>
        <w:spacing w:after="0" w:line="155" w:lineRule="exact"/>
        <w:rPr>
          <w:sz w:val="20"/>
          <w:szCs w:val="20"/>
          <w:color w:val="auto"/>
        </w:rPr>
      </w:pPr>
    </w:p>
    <w:p>
      <w:pPr>
        <w:jc w:val="both"/>
        <w:ind w:firstLine="637"/>
        <w:spacing w:after="0" w:line="216" w:lineRule="auto"/>
        <w:tabs>
          <w:tab w:leader="none" w:pos="1259" w:val="left"/>
        </w:tabs>
        <w:numPr>
          <w:ilvl w:val="1"/>
          <w:numId w:val="7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Continued Availability Post-Termination. </w:t>
      </w:r>
      <w:r>
        <w:rPr>
          <w:rFonts w:ascii="Arial" w:cs="Arial" w:eastAsia="Arial" w:hAnsi="Arial"/>
          <w:sz w:val="21"/>
          <w:szCs w:val="21"/>
          <w:color w:val="auto"/>
        </w:rPr>
        <w:t>Executive agrees to remain available for twelve (12) months beyond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Employment Period during normal business hours to provide reasonable assistance to the Company or its Affiliates in the event that the Company or an Affiliate become involved in litigation (or another type of dispute or controversy) regarding matters of which Executive has relevant knowledge resulting from Executive’s Employment; provided that such assistance does not unreasonably interfere with the employment duties of Executive with another employer following the Termination Date. Such post-termination assistance shall be provided by Executive in the capacity of an independent contractor at an agreed-upon, reasonable consulting fee, and shall not be deemed to create or continue an employee-employer or fiduciary relationship, or to represent a continuation of this Agreement.</w:t>
      </w:r>
    </w:p>
    <w:p>
      <w:pPr>
        <w:spacing w:after="0" w:line="150" w:lineRule="exact"/>
        <w:rPr>
          <w:rFonts w:ascii="Arial" w:cs="Arial" w:eastAsia="Arial" w:hAnsi="Arial"/>
          <w:sz w:val="21"/>
          <w:szCs w:val="21"/>
          <w:color w:val="auto"/>
        </w:rPr>
      </w:pPr>
    </w:p>
    <w:p>
      <w:pPr>
        <w:ind w:firstLine="5"/>
        <w:spacing w:after="0" w:line="241" w:lineRule="auto"/>
        <w:tabs>
          <w:tab w:leader="none" w:pos="632"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color w:val="auto"/>
        </w:rPr>
        <w:t>. Subject to the terms and conditions of this Agreement, during the Employment Period, Executive shall be entitled</w:t>
      </w:r>
      <w:r>
        <w:rPr>
          <w:rFonts w:ascii="Arial" w:cs="Arial" w:eastAsia="Arial" w:hAnsi="Arial"/>
          <w:sz w:val="21"/>
          <w:szCs w:val="21"/>
          <w:b w:val="1"/>
          <w:bCs w:val="1"/>
          <w:color w:val="auto"/>
        </w:rPr>
        <w:t xml:space="preserve"> </w:t>
      </w:r>
      <w:r>
        <w:rPr>
          <w:rFonts w:ascii="Arial" w:cs="Arial" w:eastAsia="Arial" w:hAnsi="Arial"/>
          <w:sz w:val="21"/>
          <w:szCs w:val="21"/>
          <w:color w:val="auto"/>
        </w:rPr>
        <w:t>to all of the following:</w:t>
      </w:r>
    </w:p>
    <w:p>
      <w:pPr>
        <w:spacing w:after="0" w:line="152" w:lineRule="exact"/>
        <w:rPr>
          <w:rFonts w:ascii="Arial" w:cs="Arial" w:eastAsia="Arial" w:hAnsi="Arial"/>
          <w:sz w:val="21"/>
          <w:szCs w:val="21"/>
          <w:b w:val="1"/>
          <w:bCs w:val="1"/>
          <w:color w:val="auto"/>
        </w:rPr>
      </w:pPr>
    </w:p>
    <w:p>
      <w:pPr>
        <w:jc w:val="both"/>
        <w:ind w:firstLine="637"/>
        <w:spacing w:after="0" w:line="234" w:lineRule="auto"/>
        <w:tabs>
          <w:tab w:leader="none" w:pos="1260" w:val="left"/>
        </w:tabs>
        <w:numPr>
          <w:ilvl w:val="1"/>
          <w:numId w:val="78"/>
        </w:numPr>
        <w:rPr>
          <w:rFonts w:ascii="Arial" w:cs="Arial" w:eastAsia="Arial" w:hAnsi="Arial"/>
          <w:sz w:val="20"/>
          <w:szCs w:val="20"/>
          <w:color w:val="auto"/>
        </w:rPr>
      </w:pPr>
      <w:r>
        <w:rPr>
          <w:rFonts w:ascii="Arial" w:cs="Arial" w:eastAsia="Arial" w:hAnsi="Arial"/>
          <w:sz w:val="20"/>
          <w:szCs w:val="20"/>
          <w:b w:val="1"/>
          <w:bCs w:val="1"/>
          <w:i w:val="1"/>
          <w:iCs w:val="1"/>
          <w:color w:val="auto"/>
        </w:rPr>
        <w:t>Reimbursement of Business Expenses</w:t>
      </w:r>
      <w:r>
        <w:rPr>
          <w:rFonts w:ascii="Arial" w:cs="Arial" w:eastAsia="Arial" w:hAnsi="Arial"/>
          <w:sz w:val="20"/>
          <w:szCs w:val="20"/>
          <w:color w:val="auto"/>
        </w:rPr>
        <w:t>. The Company shall reimburse Executive for all reasonable travel,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entertainment and other business expenses paid or incurred by Executive in the performance of duties hereunder, provided that such expenses are incurred and accounted for in accordance with the expense reimbursement policies and procedures established by the Company from time to time. Such reimbursement shall in all cases be made in compliance with </w:t>
      </w:r>
      <w:r>
        <w:rPr>
          <w:rFonts w:ascii="Arial" w:cs="Arial" w:eastAsia="Arial" w:hAnsi="Arial"/>
          <w:sz w:val="20"/>
          <w:szCs w:val="20"/>
          <w:u w:val="single" w:color="auto"/>
          <w:color w:val="auto"/>
        </w:rPr>
        <w:t>Section 30</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637"/>
        <w:spacing w:after="0" w:line="234" w:lineRule="auto"/>
        <w:tabs>
          <w:tab w:leader="none" w:pos="1259" w:val="left"/>
        </w:tabs>
        <w:numPr>
          <w:ilvl w:val="1"/>
          <w:numId w:val="7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Discretionary Vacation Time. </w:t>
      </w:r>
      <w:r>
        <w:rPr>
          <w:rFonts w:ascii="Arial" w:cs="Arial" w:eastAsia="Arial" w:hAnsi="Arial"/>
          <w:sz w:val="20"/>
          <w:szCs w:val="20"/>
          <w:color w:val="auto"/>
        </w:rPr>
        <w:t>Executive’s work is routinely performed outside of a traditional work schedule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is required to manage his own work schedule and time away from work, including vacation and personal time, in a manner that allows Executive to fulfill his duties and does not negatively impact the Company. Executive is not entitled to a fixed amount of vacation or personal time and will not accrue vacation or personal time balances.</w:t>
      </w:r>
    </w:p>
    <w:p>
      <w:pPr>
        <w:spacing w:after="0" w:line="200" w:lineRule="exact"/>
        <w:rPr>
          <w:sz w:val="20"/>
          <w:szCs w:val="20"/>
          <w:color w:val="auto"/>
        </w:rPr>
      </w:pPr>
    </w:p>
    <w:p>
      <w:pPr>
        <w:spacing w:after="0" w:line="398"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2</w:t>
            </w:r>
          </w:p>
        </w:tc>
      </w:tr>
    </w:tbl>
    <w:p>
      <w:pPr>
        <w:sectPr>
          <w:pgSz w:w="11900" w:h="16838" w:orient="portrait"/>
          <w:cols w:equalWidth="0" w:num="1">
            <w:col w:w="11240"/>
          </w:cols>
          <w:pgMar w:left="320" w:top="10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37"/>
        <w:spacing w:after="0"/>
        <w:tabs>
          <w:tab w:leader="none" w:pos="1260" w:val="left"/>
        </w:tabs>
        <w:numPr>
          <w:ilvl w:val="1"/>
          <w:numId w:val="79"/>
        </w:numPr>
        <w:rPr>
          <w:rFonts w:ascii="Arial" w:cs="Arial" w:eastAsia="Arial" w:hAnsi="Arial"/>
          <w:sz w:val="19"/>
          <w:szCs w:val="19"/>
          <w:color w:val="auto"/>
        </w:rPr>
      </w:pPr>
      <w:r>
        <w:rPr>
          <w:rFonts w:ascii="Arial" w:cs="Arial" w:eastAsia="Arial" w:hAnsi="Arial"/>
          <w:sz w:val="19"/>
          <w:szCs w:val="19"/>
          <w:b w:val="1"/>
          <w:bCs w:val="1"/>
          <w:i w:val="1"/>
          <w:iCs w:val="1"/>
          <w:color w:val="auto"/>
        </w:rPr>
        <w:t>Other Employee Benefits</w:t>
      </w:r>
      <w:r>
        <w:rPr>
          <w:rFonts w:ascii="Arial" w:cs="Arial" w:eastAsia="Arial" w:hAnsi="Arial"/>
          <w:sz w:val="19"/>
          <w:szCs w:val="19"/>
          <w:color w:val="auto"/>
        </w:rPr>
        <w:t>. Executive shall be entitled to participate in any retirement, 401(k), profit-sharing,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employee benefits plans or programs of the Company to the same extent as available to other similarly situated employees of the Company under the terms of such plans or programs. Executive shall also be entitled to participate in any group insurance, hospitalization, medical, dental, health, life, accident, disability and other employee benefits plans or programs of the Company to the extent available to other similarly situated employees of the Company, and their spouses and eligible dependents, under the terms of such plans or programs including, without limitation, any medical expense reimbursement account and post-retirement medical program as made available to other similarly situated employees of the Company.</w:t>
      </w:r>
    </w:p>
    <w:p>
      <w:pPr>
        <w:spacing w:after="0" w:line="154" w:lineRule="exact"/>
        <w:rPr>
          <w:rFonts w:ascii="Arial" w:cs="Arial" w:eastAsia="Arial" w:hAnsi="Arial"/>
          <w:sz w:val="19"/>
          <w:szCs w:val="19"/>
          <w:color w:val="auto"/>
        </w:rPr>
      </w:pPr>
    </w:p>
    <w:p>
      <w:pPr>
        <w:jc w:val="both"/>
        <w:ind w:firstLine="637"/>
        <w:spacing w:after="0" w:line="223" w:lineRule="auto"/>
        <w:tabs>
          <w:tab w:leader="none" w:pos="1259" w:val="left"/>
        </w:tabs>
        <w:numPr>
          <w:ilvl w:val="1"/>
          <w:numId w:val="79"/>
        </w:numPr>
        <w:rPr>
          <w:rFonts w:ascii="Arial" w:cs="Arial" w:eastAsia="Arial" w:hAnsi="Arial"/>
          <w:sz w:val="21"/>
          <w:szCs w:val="21"/>
          <w:color w:val="auto"/>
        </w:rPr>
      </w:pPr>
      <w:r>
        <w:rPr>
          <w:rFonts w:ascii="Arial" w:cs="Arial" w:eastAsia="Arial" w:hAnsi="Arial"/>
          <w:sz w:val="21"/>
          <w:szCs w:val="21"/>
          <w:b w:val="1"/>
          <w:bCs w:val="1"/>
          <w:i w:val="1"/>
          <w:iCs w:val="1"/>
          <w:color w:val="auto"/>
        </w:rPr>
        <w:t>Equity Incentive Awards</w:t>
      </w:r>
      <w:r>
        <w:rPr>
          <w:rFonts w:ascii="Arial" w:cs="Arial" w:eastAsia="Arial" w:hAnsi="Arial"/>
          <w:sz w:val="21"/>
          <w:szCs w:val="21"/>
          <w:color w:val="auto"/>
        </w:rPr>
        <w:t>. Executive shall be eligible to participate in the Company’s 2017 Omnibus Incentive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 it may be amended from time to time (the “</w:t>
      </w:r>
      <w:r>
        <w:rPr>
          <w:rFonts w:ascii="Arial" w:cs="Arial" w:eastAsia="Arial" w:hAnsi="Arial"/>
          <w:sz w:val="21"/>
          <w:szCs w:val="21"/>
          <w:u w:val="single" w:color="auto"/>
          <w:color w:val="auto"/>
        </w:rPr>
        <w:t>LTIP</w:t>
      </w:r>
      <w:r>
        <w:rPr>
          <w:rFonts w:ascii="Arial" w:cs="Arial" w:eastAsia="Arial" w:hAnsi="Arial"/>
          <w:sz w:val="21"/>
          <w:szCs w:val="21"/>
          <w:color w:val="auto"/>
        </w:rPr>
        <w:t>”), or any other incentive plan sponsored by the Company which provides for equity grants of incentive awards. The terms and conditions of any equity incentive award granted to Executive shall be set forth in the incentive plan document and award agreement governing such award.</w:t>
      </w:r>
    </w:p>
    <w:p>
      <w:pPr>
        <w:spacing w:after="0" w:line="149" w:lineRule="exact"/>
        <w:rPr>
          <w:rFonts w:ascii="Arial" w:cs="Arial" w:eastAsia="Arial" w:hAnsi="Arial"/>
          <w:sz w:val="21"/>
          <w:szCs w:val="21"/>
          <w:color w:val="auto"/>
        </w:rPr>
      </w:pPr>
    </w:p>
    <w:p>
      <w:pPr>
        <w:jc w:val="both"/>
        <w:ind w:firstLine="5"/>
        <w:spacing w:after="0" w:line="236" w:lineRule="auto"/>
        <w:tabs>
          <w:tab w:leader="none" w:pos="63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and Payments upon Termination</w:t>
      </w:r>
      <w:r>
        <w:rPr>
          <w:rFonts w:ascii="Arial" w:cs="Arial" w:eastAsia="Arial" w:hAnsi="Arial"/>
          <w:sz w:val="20"/>
          <w:szCs w:val="20"/>
          <w:color w:val="auto"/>
        </w:rPr>
        <w:t>. The Executive’s right to compensation and benefits for periods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Date shall be determined in accordance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47">
        <w:r>
          <w:rPr>
            <w:rFonts w:ascii="Arial" w:cs="Arial" w:eastAsia="Arial" w:hAnsi="Arial"/>
            <w:sz w:val="20"/>
            <w:szCs w:val="20"/>
            <w:u w:val="single" w:color="auto"/>
            <w:color w:val="0000FF"/>
          </w:rPr>
          <w:t>6.</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Except as otherwise expressly required by law or as specifically provided in an employee benefit plan or under this Agreement, all of Executive’s rights to salary, severance, benefits, bonuses and other compensatory amounts under this Agreement shall cease upon the Termination Date.</w:t>
      </w:r>
    </w:p>
    <w:p>
      <w:pPr>
        <w:spacing w:after="0" w:line="154" w:lineRule="exact"/>
        <w:rPr>
          <w:rFonts w:ascii="Arial" w:cs="Arial" w:eastAsia="Arial" w:hAnsi="Arial"/>
          <w:sz w:val="20"/>
          <w:szCs w:val="20"/>
          <w:color w:val="auto"/>
        </w:rPr>
      </w:pPr>
    </w:p>
    <w:p>
      <w:pPr>
        <w:jc w:val="both"/>
        <w:ind w:firstLine="637"/>
        <w:spacing w:after="0" w:line="228" w:lineRule="auto"/>
        <w:tabs>
          <w:tab w:leader="none" w:pos="1260" w:val="left"/>
        </w:tabs>
        <w:numPr>
          <w:ilvl w:val="1"/>
          <w:numId w:val="80"/>
        </w:numPr>
        <w:rPr>
          <w:rFonts w:ascii="Arial" w:cs="Arial" w:eastAsia="Arial" w:hAnsi="Arial"/>
          <w:sz w:val="21"/>
          <w:szCs w:val="21"/>
          <w:color w:val="auto"/>
        </w:rPr>
      </w:pPr>
      <w:r>
        <w:rPr>
          <w:rFonts w:ascii="Arial" w:cs="Arial" w:eastAsia="Arial" w:hAnsi="Arial"/>
          <w:sz w:val="21"/>
          <w:szCs w:val="21"/>
          <w:b w:val="1"/>
          <w:bCs w:val="1"/>
          <w:i w:val="1"/>
          <w:iCs w:val="1"/>
          <w:color w:val="auto"/>
        </w:rPr>
        <w:t>Minimum Payments</w:t>
      </w:r>
      <w:r>
        <w:rPr>
          <w:rFonts w:ascii="Arial" w:cs="Arial" w:eastAsia="Arial" w:hAnsi="Arial"/>
          <w:sz w:val="21"/>
          <w:szCs w:val="21"/>
          <w:color w:val="auto"/>
        </w:rPr>
        <w:t>. As of the Termination Date, Executive shall be entitled to the following minimum payments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47">
        <w:r>
          <w:rPr>
            <w:rFonts w:ascii="Arial" w:cs="Arial" w:eastAsia="Arial" w:hAnsi="Arial"/>
            <w:sz w:val="21"/>
            <w:szCs w:val="21"/>
            <w:color w:val="0000FF"/>
          </w:rPr>
          <w:t>6(a),</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in addition to any other payments or benefits which Executive is entitled to receive under the terms of any employee benefit plan or program, state law, Company policy, or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47">
        <w:r>
          <w:rPr>
            <w:rFonts w:ascii="Arial" w:cs="Arial" w:eastAsia="Arial" w:hAnsi="Arial"/>
            <w:sz w:val="21"/>
            <w:szCs w:val="21"/>
            <w:u w:val="single" w:color="auto"/>
            <w:color w:val="0000FF"/>
          </w:rPr>
          <w:t>6(b):</w:t>
        </w:r>
      </w:hyperlink>
    </w:p>
    <w:p>
      <w:pPr>
        <w:spacing w:after="0" w:line="153"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2"/>
          <w:numId w:val="80"/>
        </w:numPr>
        <w:rPr>
          <w:rFonts w:ascii="Arial" w:cs="Arial" w:eastAsia="Arial" w:hAnsi="Arial"/>
          <w:sz w:val="21"/>
          <w:szCs w:val="21"/>
          <w:color w:val="auto"/>
        </w:rPr>
      </w:pPr>
      <w:r>
        <w:rPr>
          <w:rFonts w:ascii="Arial" w:cs="Arial" w:eastAsia="Arial" w:hAnsi="Arial"/>
          <w:sz w:val="21"/>
          <w:szCs w:val="21"/>
          <w:color w:val="auto"/>
        </w:rPr>
        <w:t>accrued but unpaid Base Salary through the Termination Date; provided that, if Executive’s termination is due to Disability, such amount shall be net of the amount of any benefits received or payable under any disability insurance policy maintained by the Company for Executive, if applicable, which policy provides for income replacement benefits due to the Executive’s inability to work as the result of his qualifying Disability; and</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2"/>
          <w:numId w:val="80"/>
        </w:numPr>
        <w:rPr>
          <w:rFonts w:ascii="Arial" w:cs="Arial" w:eastAsia="Arial" w:hAnsi="Arial"/>
          <w:sz w:val="19"/>
          <w:szCs w:val="19"/>
          <w:color w:val="auto"/>
        </w:rPr>
      </w:pPr>
      <w:r>
        <w:rPr>
          <w:rFonts w:ascii="Arial" w:cs="Arial" w:eastAsia="Arial" w:hAnsi="Arial"/>
          <w:sz w:val="19"/>
          <w:szCs w:val="19"/>
          <w:color w:val="auto"/>
        </w:rPr>
        <w:t>reimbursement of reasonable business expenses that were incurred but unpaid as of the Termination Date.</w:t>
      </w:r>
    </w:p>
    <w:p>
      <w:pPr>
        <w:spacing w:after="0" w:line="20" w:lineRule="exact"/>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column">
              <wp:posOffset>977265</wp:posOffset>
            </wp:positionH>
            <wp:positionV relativeFrom="paragraph">
              <wp:posOffset>-1068705</wp:posOffset>
            </wp:positionV>
            <wp:extent cx="2901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183" w:lineRule="exact"/>
        <w:rPr>
          <w:rFonts w:ascii="Arial" w:cs="Arial" w:eastAsia="Arial" w:hAnsi="Arial"/>
          <w:sz w:val="21"/>
          <w:szCs w:val="21"/>
          <w:color w:val="auto"/>
        </w:rPr>
      </w:pPr>
    </w:p>
    <w:p>
      <w:pPr>
        <w:ind w:firstLine="632"/>
        <w:spacing w:after="0" w:line="237" w:lineRule="auto"/>
        <w:rPr>
          <w:sz w:val="20"/>
          <w:szCs w:val="20"/>
          <w:color w:val="auto"/>
        </w:rPr>
      </w:pPr>
      <w:r>
        <w:rPr>
          <w:rFonts w:ascii="Arial" w:cs="Arial" w:eastAsia="Arial" w:hAnsi="Arial"/>
          <w:sz w:val="21"/>
          <w:szCs w:val="21"/>
          <w:color w:val="auto"/>
        </w:rPr>
        <w:t xml:space="preserve">Amounts payable under this </w:t>
      </w:r>
      <w:r>
        <w:rPr>
          <w:rFonts w:ascii="Arial" w:cs="Arial" w:eastAsia="Arial" w:hAnsi="Arial"/>
          <w:sz w:val="21"/>
          <w:szCs w:val="21"/>
          <w:u w:val="single" w:color="auto"/>
          <w:color w:val="auto"/>
        </w:rPr>
        <w:t>Section 6(a)</w:t>
      </w:r>
      <w:r>
        <w:rPr>
          <w:rFonts w:ascii="Arial" w:cs="Arial" w:eastAsia="Arial" w:hAnsi="Arial"/>
          <w:sz w:val="21"/>
          <w:szCs w:val="21"/>
          <w:color w:val="auto"/>
        </w:rPr>
        <w:t xml:space="preserve"> shall be paid in accordance with the Company’s normal procedures for making payments following termination of Employment by a similarly situated employee.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39" w:lineRule="exact"/>
        <w:rPr>
          <w:rFonts w:ascii="Arial" w:cs="Arial" w:eastAsia="Arial" w:hAnsi="Arial"/>
          <w:sz w:val="21"/>
          <w:szCs w:val="21"/>
          <w:color w:val="auto"/>
        </w:rPr>
      </w:pPr>
    </w:p>
    <w:p>
      <w:pPr>
        <w:ind w:left="1260" w:hanging="623"/>
        <w:spacing w:after="0"/>
        <w:tabs>
          <w:tab w:leader="none" w:pos="1260" w:val="left"/>
        </w:tabs>
        <w:numPr>
          <w:ilvl w:val="0"/>
          <w:numId w:val="81"/>
        </w:numPr>
        <w:rPr>
          <w:rFonts w:ascii="Arial" w:cs="Arial" w:eastAsia="Arial" w:hAnsi="Arial"/>
          <w:sz w:val="21"/>
          <w:szCs w:val="21"/>
          <w:color w:val="auto"/>
        </w:rPr>
      </w:pPr>
      <w:r>
        <w:rPr>
          <w:rFonts w:ascii="Arial" w:cs="Arial" w:eastAsia="Arial" w:hAnsi="Arial"/>
          <w:sz w:val="21"/>
          <w:szCs w:val="21"/>
          <w:b w:val="1"/>
          <w:bCs w:val="1"/>
          <w:i w:val="1"/>
          <w:iCs w:val="1"/>
          <w:color w:val="auto"/>
        </w:rPr>
        <w:t>Severance Payments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640" w:firstLine="628"/>
        <w:spacing w:after="0" w:line="216" w:lineRule="auto"/>
        <w:tabs>
          <w:tab w:leader="none" w:pos="1899"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If Executive dies during the Initial Term or any then-existing Renewal Term and while in Employment, the Company shall pay Executive’s Designated Beneficiary (A) the Executive’s Base Salary, in installments, through the end of the Initial Term or any then-existing Renewal Term which was in effect at the time of Executive’s death; and (B) a pro rata amount of the Target Annual Bonus described in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for the year in which the death occurred, based on the number of days Executive was employed in such year in comparison to 365, and based on actual performance of any applicable performance metrics through the end of the performance period. Such amounts shall be paid to Executive’s Designated Beneficiary by no later than the date necessary to qualify each such payment as a “short-term deferral” within the meaning of Treas. Reg. § l.409A l(b)(4).</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3</w:t>
            </w:r>
          </w:p>
        </w:tc>
      </w:tr>
    </w:tbl>
    <w:p>
      <w:pPr>
        <w:sectPr>
          <w:pgSz w:w="11900" w:h="16838" w:orient="portrait"/>
          <w:cols w:equalWidth="0" w:num="1">
            <w:col w:w="11240"/>
          </w:cols>
          <w:pgMar w:left="320" w:top="108"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firstLine="628"/>
        <w:spacing w:after="0" w:line="224" w:lineRule="auto"/>
        <w:tabs>
          <w:tab w:leader="none" w:pos="189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If, during the Initial Term or any then-existing Renewal Term, Executive’s Employment is terminated by the Company due to Executive’s Disability, the Company shall,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47">
        <w:r>
          <w:rPr>
            <w:rFonts w:ascii="Arial" w:cs="Arial" w:eastAsia="Arial" w:hAnsi="Arial"/>
            <w:sz w:val="20"/>
            <w:szCs w:val="20"/>
            <w:color w:val="0000FF"/>
          </w:rPr>
          <w:t>6(e)</w:t>
        </w:r>
      </w:hyperlink>
      <w:r>
        <w:rPr>
          <w:rFonts w:ascii="Arial" w:cs="Arial" w:eastAsia="Arial" w:hAnsi="Arial"/>
          <w:sz w:val="20"/>
          <w:szCs w:val="20"/>
          <w:color w:val="auto"/>
        </w:rPr>
        <w:t xml:space="preserve">, pay Executive (A) the Executive’s Base Salary, in installments, through the end of the Initial Term or any then-existing Renewal Term which was in effect at the time of Executive’s disability; and (B) pay Executive a pro rata amount of the Target Annual Bonus described in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for the year in which the Termination Date occurred, based on the number of days Executive was employed in such year in comparison to 365, and based on actual performance of any applicable performance metrics through the end of the performance period. Such pro rata amount of the Target Annual Bonus shall be paid on the later of (1) the Company’s first regular payroll date that occurs after the Release (as defined in </w:t>
      </w:r>
      <w:r>
        <w:rPr>
          <w:rFonts w:ascii="Arial" w:cs="Arial" w:eastAsia="Arial" w:hAnsi="Arial"/>
          <w:sz w:val="20"/>
          <w:szCs w:val="20"/>
          <w:u w:val="single" w:color="auto"/>
          <w:color w:val="auto"/>
        </w:rPr>
        <w:t>Section 6(e)</w:t>
      </w:r>
      <w:r>
        <w:rPr>
          <w:rFonts w:ascii="Arial" w:cs="Arial" w:eastAsia="Arial" w:hAnsi="Arial"/>
          <w:sz w:val="20"/>
          <w:szCs w:val="20"/>
          <w:color w:val="auto"/>
        </w:rPr>
        <w:t>, below) is no longer revocable (the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 Date</w:t>
      </w:r>
      <w:r>
        <w:rPr>
          <w:rFonts w:ascii="Arial" w:cs="Arial" w:eastAsia="Arial" w:hAnsi="Arial"/>
          <w:sz w:val="20"/>
          <w:szCs w:val="20"/>
          <w:color w:val="auto"/>
        </w:rPr>
        <w:t xml:space="preserve">”), or (2) the payment date that an Annual Bonus for the year of termination otherwise would have been payable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had Executive’s Employment not been terminated (provided, that, in no event shall such payment occur later than the date necessary to qualify such payment as a “short-term deferral” within the meaning of Treas. Reg. § l.409A l(b)(4)).</w:t>
      </w:r>
    </w:p>
    <w:p>
      <w:pPr>
        <w:spacing w:after="0" w:line="161" w:lineRule="exact"/>
        <w:rPr>
          <w:rFonts w:ascii="Arial" w:cs="Arial" w:eastAsia="Arial" w:hAnsi="Arial"/>
          <w:sz w:val="20"/>
          <w:szCs w:val="20"/>
          <w:color w:val="auto"/>
        </w:rPr>
      </w:pPr>
    </w:p>
    <w:p>
      <w:pPr>
        <w:jc w:val="both"/>
        <w:ind w:left="640" w:firstLine="628"/>
        <w:spacing w:after="0" w:line="235" w:lineRule="auto"/>
        <w:tabs>
          <w:tab w:leader="none" w:pos="189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Involuntary Termination Without Cause (Other than Due to Death or Disability) Not Within Corporate Change Period</w:t>
      </w:r>
      <w:r>
        <w:rPr>
          <w:rFonts w:ascii="Arial" w:cs="Arial" w:eastAsia="Arial" w:hAnsi="Arial"/>
          <w:sz w:val="19"/>
          <w:szCs w:val="19"/>
          <w:color w:val="auto"/>
        </w:rPr>
        <w:t xml:space="preserve">. If Executive’s Employment is terminated by the Company without Cause (other than on account of Executive’s death or Disability), and such Termination Date does not occur within a Corporate Change Period, the Company shall, subject to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provide to Executive (A) continued payment of Executive’s Base Salary as in effect on the Termination Date, in arrears, for a period of 24 months following the Termination Date, where the first such payment shall be made on the First Payment Date and shall include all payments, if any, without interest, that would have otherwise been made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hyperlink w:anchor="page147">
        <w:r>
          <w:rPr>
            <w:rFonts w:ascii="Arial" w:cs="Arial" w:eastAsia="Arial" w:hAnsi="Arial"/>
            <w:sz w:val="19"/>
            <w:szCs w:val="19"/>
            <w:u w:val="single" w:color="auto"/>
            <w:color w:val="0000FF"/>
          </w:rPr>
          <w:t>6(b)(3)</w:t>
        </w:r>
      </w:hyperlink>
      <w:r>
        <w:rPr>
          <w:rFonts w:ascii="Arial" w:cs="Arial" w:eastAsia="Arial" w:hAnsi="Arial"/>
          <w:sz w:val="19"/>
          <w:szCs w:val="19"/>
          <w:u w:val="single" w:color="auto"/>
          <w:color w:val="auto"/>
        </w:rPr>
        <w:t>(A)</w:t>
      </w:r>
      <w:r>
        <w:rPr>
          <w:rFonts w:ascii="Arial" w:cs="Arial" w:eastAsia="Arial" w:hAnsi="Arial"/>
          <w:sz w:val="19"/>
          <w:szCs w:val="19"/>
          <w:color w:val="auto"/>
        </w:rPr>
        <w:t xml:space="preserve"> between the Termination Date and the First Payment Date; and (B) a pro rata amount of the Target Annual Bonus described in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for the year in which the Termination Date occurred, based on the number of days Executive was employed in such year in comparison to 365, and based on actual performance of any applicable performance metrics through the end of the performance period, where such pro rata amount of the Target Annual Bonus shall be paid on the later of (i) the First Payment Date or (ii) the payment date that an Annual Bonus for the year of termination otherwise would have been payable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had Executive’s Employment not been terminated (provided, that, in no event shall such payment occur later than the date necessary to qualify such payment as a “short-term deferral” within the meaning of Treas. Reg. § l.409A l(b)(4)).</w:t>
      </w:r>
    </w:p>
    <w:p>
      <w:pPr>
        <w:spacing w:after="0" w:line="162" w:lineRule="exact"/>
        <w:rPr>
          <w:rFonts w:ascii="Arial" w:cs="Arial" w:eastAsia="Arial" w:hAnsi="Arial"/>
          <w:sz w:val="19"/>
          <w:szCs w:val="19"/>
          <w:color w:val="auto"/>
        </w:rPr>
      </w:pPr>
    </w:p>
    <w:p>
      <w:pPr>
        <w:jc w:val="both"/>
        <w:ind w:left="640" w:firstLine="628"/>
        <w:spacing w:after="0" w:line="228" w:lineRule="auto"/>
        <w:tabs>
          <w:tab w:leader="none" w:pos="189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Involuntary Termination Without Cause (Other than Due to Death or Disability) Within Corporate Change Period or Termination by Executive for Good Reason Within Corporate Change Period</w:t>
      </w:r>
      <w:r>
        <w:rPr>
          <w:rFonts w:ascii="Arial" w:cs="Arial" w:eastAsia="Arial" w:hAnsi="Arial"/>
          <w:sz w:val="20"/>
          <w:szCs w:val="20"/>
          <w:color w:val="auto"/>
        </w:rPr>
        <w:t xml:space="preserve">. If Executive’s Employment is terminated by the Company without Cause (other than on account of Executive’s death or Disability) during a Corporate Change Period, or if Executive terminates his Employment due to Good Reason during a Corporate Change Period, the Company shall, subject to </w:t>
      </w:r>
      <w:r>
        <w:rPr>
          <w:rFonts w:ascii="Arial" w:cs="Arial" w:eastAsia="Arial" w:hAnsi="Arial"/>
          <w:sz w:val="20"/>
          <w:szCs w:val="20"/>
          <w:u w:val="single" w:color="auto"/>
          <w:color w:val="auto"/>
        </w:rPr>
        <w:t>Section 6(e)</w:t>
      </w:r>
      <w:r>
        <w:rPr>
          <w:rFonts w:ascii="Arial" w:cs="Arial" w:eastAsia="Arial" w:hAnsi="Arial"/>
          <w:sz w:val="20"/>
          <w:szCs w:val="20"/>
          <w:color w:val="auto"/>
        </w:rPr>
        <w:t>, provide to Executive (A) a lump sum equal to two times the sum of (i) Executive’s Base Salary as in effect on the Termination Date (or as of the date of the Corporate Change, if higher), plus (ii) Executive’s Target Annual Bonus, with such total amount to be paid on the First Payment Date.</w:t>
      </w:r>
    </w:p>
    <w:p>
      <w:pPr>
        <w:spacing w:after="0" w:line="154" w:lineRule="exact"/>
        <w:rPr>
          <w:rFonts w:ascii="Arial" w:cs="Arial" w:eastAsia="Arial" w:hAnsi="Arial"/>
          <w:sz w:val="20"/>
          <w:szCs w:val="20"/>
          <w:color w:val="auto"/>
        </w:rPr>
      </w:pPr>
    </w:p>
    <w:p>
      <w:pPr>
        <w:jc w:val="both"/>
        <w:ind w:left="640" w:firstLine="628"/>
        <w:spacing w:after="0" w:line="229" w:lineRule="auto"/>
        <w:tabs>
          <w:tab w:leader="none" w:pos="189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Other Termination of Employment</w:t>
      </w:r>
      <w:r>
        <w:rPr>
          <w:rFonts w:ascii="Arial" w:cs="Arial" w:eastAsia="Arial" w:hAnsi="Arial"/>
          <w:sz w:val="20"/>
          <w:szCs w:val="20"/>
          <w:color w:val="auto"/>
        </w:rPr>
        <w:t xml:space="preserve">. For purposes of clarity, in the event that (A) Executive voluntarily resigns or otherwise voluntarily terminates Employment, except due to Good Reason within a Corporate Change Period, or (B) Executive’s Employment is terminated due to Cause then, in any such event under clause (A) or (B), the Company shall have no obligation to provide the severance benefits described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47">
        <w:r>
          <w:rPr>
            <w:rFonts w:ascii="Arial" w:cs="Arial" w:eastAsia="Arial" w:hAnsi="Arial"/>
            <w:sz w:val="20"/>
            <w:szCs w:val="20"/>
            <w:color w:val="0000FF"/>
          </w:rPr>
          <w:t>6(b) or the coverage described in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Section 6(c),</w:t>
        </w:r>
      </w:hyperlink>
      <w:r>
        <w:rPr>
          <w:rFonts w:ascii="Arial" w:cs="Arial" w:eastAsia="Arial" w:hAnsi="Arial"/>
          <w:sz w:val="20"/>
          <w:szCs w:val="20"/>
          <w:color w:val="auto"/>
        </w:rPr>
        <w:t xml:space="preserve"> except to offer COBRA coverage (as required by COBRA law) but not at the rate described in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However, Executive shall still be entitled to the minimum benefits provided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hyperlink w:anchor="page147">
        <w:r>
          <w:rPr>
            <w:rFonts w:ascii="Arial" w:cs="Arial" w:eastAsia="Arial" w:hAnsi="Arial"/>
            <w:sz w:val="20"/>
            <w:szCs w:val="20"/>
            <w:color w:val="0000FF"/>
          </w:rPr>
          <w:t>6(a).</w:t>
        </w:r>
      </w:hyperlink>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-5375910</wp:posOffset>
            </wp:positionV>
            <wp:extent cx="2482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-295275</wp:posOffset>
            </wp:positionV>
            <wp:extent cx="19805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198056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-27940</wp:posOffset>
            </wp:positionV>
            <wp:extent cx="2819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4</w:t>
            </w:r>
          </w:p>
        </w:tc>
      </w:tr>
    </w:tbl>
    <w:p>
      <w:pPr>
        <w:sectPr>
          <w:pgSz w:w="11900" w:h="16838" w:orient="portrait"/>
          <w:cols w:equalWidth="0" w:num="1">
            <w:col w:w="11240"/>
          </w:cols>
          <w:pgMar w:left="320" w:top="108"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firstLine="628"/>
        <w:spacing w:after="0" w:line="228" w:lineRule="auto"/>
        <w:tabs>
          <w:tab w:leader="none" w:pos="1899"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No Duplication of Severance Benefits</w:t>
      </w:r>
      <w:r>
        <w:rPr>
          <w:rFonts w:ascii="Arial" w:cs="Arial" w:eastAsia="Arial" w:hAnsi="Arial"/>
          <w:sz w:val="21"/>
          <w:szCs w:val="21"/>
          <w:color w:val="auto"/>
        </w:rPr>
        <w:t xml:space="preserve">. The severance payments provided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47">
        <w:r>
          <w:rPr>
            <w:rFonts w:ascii="Arial" w:cs="Arial" w:eastAsia="Arial" w:hAnsi="Arial"/>
            <w:sz w:val="21"/>
            <w:szCs w:val="21"/>
            <w:color w:val="0000FF"/>
          </w:rPr>
          <w:t>6(b)</w:t>
        </w:r>
        <w:r>
          <w:rPr>
            <w:rFonts w:ascii="Arial" w:cs="Arial" w:eastAsia="Arial" w:hAnsi="Arial"/>
            <w:sz w:val="21"/>
            <w:szCs w:val="21"/>
            <w:color w:val="auto"/>
          </w:rPr>
          <w:t xml:space="preserve"> </w:t>
        </w:r>
      </w:hyperlink>
      <w:r>
        <w:rPr>
          <w:rFonts w:ascii="Arial" w:cs="Arial" w:eastAsia="Arial" w:hAnsi="Arial"/>
          <w:sz w:val="21"/>
          <w:szCs w:val="21"/>
          <w:color w:val="auto"/>
        </w:rPr>
        <w:t>shall supersede and replace any severance payments under any severance pay plan or similar agreement that the Company or any Affiliate maintains for key management employees or employees generally.</w:t>
      </w:r>
    </w:p>
    <w:p>
      <w:pPr>
        <w:spacing w:after="0" w:line="153" w:lineRule="exact"/>
        <w:rPr>
          <w:rFonts w:ascii="Arial" w:cs="Arial" w:eastAsia="Arial" w:hAnsi="Arial"/>
          <w:sz w:val="21"/>
          <w:szCs w:val="21"/>
          <w:color w:val="auto"/>
        </w:rPr>
      </w:pPr>
    </w:p>
    <w:p>
      <w:pPr>
        <w:ind w:left="1260" w:hanging="623"/>
        <w:spacing w:after="0"/>
        <w:tabs>
          <w:tab w:leader="none" w:pos="1260" w:val="left"/>
        </w:tabs>
        <w:numPr>
          <w:ilvl w:val="0"/>
          <w:numId w:val="84"/>
        </w:numPr>
        <w:rPr>
          <w:rFonts w:ascii="Arial" w:cs="Arial" w:eastAsia="Arial" w:hAnsi="Arial"/>
          <w:sz w:val="21"/>
          <w:szCs w:val="21"/>
          <w:color w:val="auto"/>
        </w:rPr>
      </w:pPr>
      <w:r>
        <w:rPr>
          <w:rFonts w:ascii="Arial" w:cs="Arial" w:eastAsia="Arial" w:hAnsi="Arial"/>
          <w:sz w:val="21"/>
          <w:szCs w:val="21"/>
          <w:b w:val="1"/>
          <w:bCs w:val="1"/>
          <w:i w:val="1"/>
          <w:iCs w:val="1"/>
          <w:color w:val="auto"/>
        </w:rPr>
        <w:t>Subsidized COBRA Coverage for Certain Terminations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shall apply only with respect to an Executive who becomes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-807720</wp:posOffset>
            </wp:positionV>
            <wp:extent cx="3644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21"/>
          <w:szCs w:val="21"/>
          <w:color w:val="auto"/>
        </w:rPr>
        <w:t xml:space="preserve">benefits under </w:t>
      </w:r>
      <w:r>
        <w:rPr>
          <w:rFonts w:ascii="Arial" w:cs="Arial" w:eastAsia="Arial" w:hAnsi="Arial"/>
          <w:sz w:val="21"/>
          <w:szCs w:val="21"/>
          <w:u w:val="single" w:color="auto"/>
          <w:color w:val="auto"/>
        </w:rPr>
        <w:t>Section 6(b)(1), (2), (3) or (4)</w:t>
      </w:r>
      <w:r>
        <w:rPr>
          <w:rFonts w:ascii="Arial" w:cs="Arial" w:eastAsia="Arial" w:hAnsi="Arial"/>
          <w:sz w:val="21"/>
          <w:szCs w:val="21"/>
          <w:color w:val="auto"/>
        </w:rPr>
        <w:t xml:space="preserve"> on account of his qualifying termination from Employment:</w:t>
      </w:r>
    </w:p>
    <w:p>
      <w:pPr>
        <w:spacing w:after="0" w:line="162" w:lineRule="exact"/>
        <w:rPr>
          <w:sz w:val="20"/>
          <w:szCs w:val="20"/>
          <w:color w:val="auto"/>
        </w:rPr>
      </w:pPr>
    </w:p>
    <w:p>
      <w:pPr>
        <w:jc w:val="both"/>
        <w:ind w:left="640" w:firstLine="628"/>
        <w:spacing w:after="0" w:line="237" w:lineRule="auto"/>
        <w:tabs>
          <w:tab w:leader="none" w:pos="1899"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event that Executive timely elects continuation coverage under any of the Company’s “group health plans” within the meaning of Treasury Regulations Section 54.4980B-2 Q/A-1 (collectively, the “</w:t>
      </w:r>
      <w:r>
        <w:rPr>
          <w:rFonts w:ascii="Arial" w:cs="Arial" w:eastAsia="Arial" w:hAnsi="Arial"/>
          <w:sz w:val="19"/>
          <w:szCs w:val="19"/>
          <w:u w:val="single" w:color="auto"/>
          <w:color w:val="auto"/>
        </w:rPr>
        <w:t>Health Plan</w:t>
      </w:r>
      <w:r>
        <w:rPr>
          <w:rFonts w:ascii="Arial" w:cs="Arial" w:eastAsia="Arial" w:hAnsi="Arial"/>
          <w:sz w:val="19"/>
          <w:szCs w:val="19"/>
          <w:color w:val="auto"/>
        </w:rPr>
        <w:t xml:space="preserve">”) on behalf of himself and any of his eligible covered dependents (including his spouse) pursuant to COBRA, following the Termination Date, the Company shall, subject to </w:t>
      </w:r>
      <w:r>
        <w:rPr>
          <w:rFonts w:ascii="Arial" w:cs="Arial" w:eastAsia="Arial" w:hAnsi="Arial"/>
          <w:sz w:val="19"/>
          <w:szCs w:val="19"/>
          <w:u w:val="single" w:color="auto"/>
          <w:color w:val="auto"/>
        </w:rPr>
        <w:t>Section 6(e)</w:t>
      </w:r>
      <w:r>
        <w:rPr>
          <w:rFonts w:ascii="Arial" w:cs="Arial" w:eastAsia="Arial" w:hAnsi="Arial"/>
          <w:sz w:val="19"/>
          <w:szCs w:val="19"/>
          <w:color w:val="auto"/>
        </w:rPr>
        <w:t>, pay on Executive’s behalf or reimburse Executive for an amount equal to the monthly premium for such COBRA coverage for each month during which such COBRA coverage is in effect during the period commencing on the Termination Date and ending upon the earliest of (x) the date that is eighteen (18) months following the Termination Date, (y) the date that Executive and Executive’s covered dependents become no longer eligible for COBRA coverage, or (z) the date Executive becomes eligible to receive group healthcare coverage from a subsequent employer (and Executive agrees to promptly notify the Company of such eligibility). In all other respects, Executive and his dependents shall be treated the same as any other qualified beneficiaries under the Health Plan and COBRA.</w:t>
      </w:r>
    </w:p>
    <w:p>
      <w:pPr>
        <w:spacing w:after="0" w:line="158" w:lineRule="exact"/>
        <w:rPr>
          <w:rFonts w:ascii="Arial" w:cs="Arial" w:eastAsia="Arial" w:hAnsi="Arial"/>
          <w:sz w:val="19"/>
          <w:szCs w:val="19"/>
          <w:color w:val="auto"/>
        </w:rPr>
      </w:pPr>
    </w:p>
    <w:p>
      <w:pPr>
        <w:jc w:val="both"/>
        <w:ind w:left="640" w:firstLine="628"/>
        <w:spacing w:after="0" w:line="220" w:lineRule="auto"/>
        <w:tabs>
          <w:tab w:leader="none" w:pos="1899"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6(c)(1)</w:t>
      </w:r>
      <w:r>
        <w:rPr>
          <w:rFonts w:ascii="Arial" w:cs="Arial" w:eastAsia="Arial" w:hAnsi="Arial"/>
          <w:sz w:val="21"/>
          <w:szCs w:val="21"/>
          <w:color w:val="auto"/>
        </w:rPr>
        <w:t xml:space="preserve"> to the contrary, the Company may alter the manner in which health benefits are provided to Executive under such Section following termination of Executive’s Employment to the extent the Company reasonably determines is necessary for purposes of satisfying Code Section 105(h)(2) or avoiding the imposition of an excise tax on the Company or any of its Affiliates, provided that such alterations do not materially decrease coverage or increase the after-tax cost to Executive of such benefits.</w:t>
      </w:r>
    </w:p>
    <w:p>
      <w:pPr>
        <w:spacing w:after="0" w:line="156" w:lineRule="exact"/>
        <w:rPr>
          <w:rFonts w:ascii="Arial" w:cs="Arial" w:eastAsia="Arial" w:hAnsi="Arial"/>
          <w:sz w:val="21"/>
          <w:szCs w:val="21"/>
          <w:color w:val="auto"/>
        </w:rPr>
      </w:pPr>
    </w:p>
    <w:p>
      <w:pPr>
        <w:jc w:val="both"/>
        <w:ind w:firstLine="637"/>
        <w:spacing w:after="0" w:line="228" w:lineRule="auto"/>
        <w:tabs>
          <w:tab w:leader="none" w:pos="1259" w:val="left"/>
        </w:tabs>
        <w:numPr>
          <w:ilvl w:val="0"/>
          <w:numId w:val="86"/>
        </w:numPr>
        <w:rPr>
          <w:rFonts w:ascii="Arial" w:cs="Arial" w:eastAsia="Arial" w:hAnsi="Arial"/>
          <w:sz w:val="21"/>
          <w:szCs w:val="21"/>
          <w:color w:val="auto"/>
        </w:rPr>
      </w:pPr>
      <w:r>
        <w:rPr>
          <w:rFonts w:ascii="Arial" w:cs="Arial" w:eastAsia="Arial" w:hAnsi="Arial"/>
          <w:sz w:val="21"/>
          <w:szCs w:val="21"/>
          <w:b w:val="1"/>
          <w:bCs w:val="1"/>
          <w:i w:val="1"/>
          <w:iCs w:val="1"/>
          <w:color w:val="auto"/>
        </w:rPr>
        <w:t>Accelerated Vesting of Equity Awards</w:t>
      </w:r>
      <w:r>
        <w:rPr>
          <w:rFonts w:ascii="Arial" w:cs="Arial" w:eastAsia="Arial" w:hAnsi="Arial"/>
          <w:sz w:val="21"/>
          <w:szCs w:val="21"/>
          <w:color w:val="auto"/>
        </w:rPr>
        <w:t>. To the extent Executive received any equity incentive award that is not fully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vested as of the Termination Date, the following shall apply with respect to each such award, unless the applicable award agreement provides for more generous treatment of such award:</w:t>
      </w:r>
    </w:p>
    <w:p>
      <w:pPr>
        <w:spacing w:after="0" w:line="153" w:lineRule="exact"/>
        <w:rPr>
          <w:rFonts w:ascii="Arial" w:cs="Arial" w:eastAsia="Arial" w:hAnsi="Arial"/>
          <w:sz w:val="21"/>
          <w:szCs w:val="21"/>
          <w:color w:val="auto"/>
        </w:rPr>
      </w:pPr>
    </w:p>
    <w:p>
      <w:pPr>
        <w:jc w:val="both"/>
        <w:ind w:left="640" w:firstLine="628"/>
        <w:spacing w:after="0" w:line="227" w:lineRule="auto"/>
        <w:tabs>
          <w:tab w:leader="none" w:pos="1899" w:val="left"/>
        </w:tabs>
        <w:numPr>
          <w:ilvl w:val="1"/>
          <w:numId w:val="86"/>
        </w:numPr>
        <w:rPr>
          <w:rFonts w:ascii="Arial" w:cs="Arial" w:eastAsia="Arial" w:hAnsi="Arial"/>
          <w:sz w:val="20"/>
          <w:szCs w:val="20"/>
          <w:color w:val="auto"/>
        </w:rPr>
      </w:pPr>
      <w:r>
        <w:rPr>
          <w:rFonts w:ascii="Arial" w:cs="Arial" w:eastAsia="Arial" w:hAnsi="Arial"/>
          <w:sz w:val="20"/>
          <w:szCs w:val="20"/>
          <w:color w:val="auto"/>
        </w:rPr>
        <w:t xml:space="preserve">subject to compliance with the Release requirements in </w:t>
      </w:r>
      <w:r>
        <w:rPr>
          <w:rFonts w:ascii="Arial" w:cs="Arial" w:eastAsia="Arial" w:hAnsi="Arial"/>
          <w:sz w:val="20"/>
          <w:szCs w:val="20"/>
          <w:u w:val="single" w:color="auto"/>
          <w:color w:val="auto"/>
        </w:rPr>
        <w:t>Section 6(e)</w:t>
      </w:r>
      <w:r>
        <w:rPr>
          <w:rFonts w:ascii="Arial" w:cs="Arial" w:eastAsia="Arial" w:hAnsi="Arial"/>
          <w:sz w:val="20"/>
          <w:szCs w:val="20"/>
          <w:color w:val="auto"/>
        </w:rPr>
        <w:t xml:space="preserve">, if Executive becomes entitled to receive benefits under </w:t>
      </w:r>
      <w:r>
        <w:rPr>
          <w:rFonts w:ascii="Arial" w:cs="Arial" w:eastAsia="Arial" w:hAnsi="Arial"/>
          <w:sz w:val="20"/>
          <w:szCs w:val="20"/>
          <w:u w:val="single" w:color="auto"/>
          <w:color w:val="auto"/>
        </w:rPr>
        <w:t>Section 6(b)(1), (2) or (4)</w:t>
      </w:r>
      <w:r>
        <w:rPr>
          <w:rFonts w:ascii="Arial" w:cs="Arial" w:eastAsia="Arial" w:hAnsi="Arial"/>
          <w:sz w:val="20"/>
          <w:szCs w:val="20"/>
          <w:color w:val="auto"/>
        </w:rPr>
        <w:t xml:space="preserve"> on account of his qualifying termination from Employment, (i) Executive shall become immediately 100% vested in any outstanding awards of restricted stock, stock options and any other equity incentive awards granted under the LTIP (or any other equity incentive plan of the Company) that vest solely based on the passage of time, and (ii) with respect to any awards that vest based on the attainment of performance-based vesting conditions, Executive shall be considered to have remained in Employment through the end of the applicable performance period (with any such award being paid out within 60 days following the end of the applicable performance period, provided that applicable performance targets have been met); and</w:t>
      </w:r>
    </w:p>
    <w:p>
      <w:pPr>
        <w:spacing w:after="0" w:line="154" w:lineRule="exact"/>
        <w:rPr>
          <w:rFonts w:ascii="Arial" w:cs="Arial" w:eastAsia="Arial" w:hAnsi="Arial"/>
          <w:sz w:val="20"/>
          <w:szCs w:val="20"/>
          <w:color w:val="auto"/>
        </w:rPr>
      </w:pPr>
    </w:p>
    <w:p>
      <w:pPr>
        <w:ind w:left="640" w:firstLine="628"/>
        <w:spacing w:after="0" w:line="237" w:lineRule="auto"/>
        <w:tabs>
          <w:tab w:leader="none" w:pos="1899"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except as specifically provided in </w:t>
      </w:r>
      <w:r>
        <w:rPr>
          <w:rFonts w:ascii="Arial" w:cs="Arial" w:eastAsia="Arial" w:hAnsi="Arial"/>
          <w:sz w:val="21"/>
          <w:szCs w:val="21"/>
          <w:u w:val="single" w:color="auto"/>
          <w:color w:val="auto"/>
        </w:rPr>
        <w:t>Section 6(d)(1)</w:t>
      </w:r>
      <w:r>
        <w:rPr>
          <w:rFonts w:ascii="Arial" w:cs="Arial" w:eastAsia="Arial" w:hAnsi="Arial"/>
          <w:sz w:val="21"/>
          <w:szCs w:val="21"/>
          <w:color w:val="auto"/>
        </w:rPr>
        <w:t>, all unvested equity incentive awards shall be treated in accordance with the terms of the outstanding award agreement or plan document, as applicable.</w:t>
      </w:r>
    </w:p>
    <w:p>
      <w:pPr>
        <w:spacing w:after="0" w:line="154" w:lineRule="exact"/>
        <w:rPr>
          <w:rFonts w:ascii="Arial" w:cs="Arial" w:eastAsia="Arial" w:hAnsi="Arial"/>
          <w:sz w:val="21"/>
          <w:szCs w:val="21"/>
          <w:color w:val="auto"/>
        </w:rPr>
      </w:pPr>
    </w:p>
    <w:p>
      <w:pPr>
        <w:jc w:val="both"/>
        <w:ind w:firstLine="637"/>
        <w:spacing w:after="0" w:line="228" w:lineRule="auto"/>
        <w:tabs>
          <w:tab w:leader="none" w:pos="1260" w:val="left"/>
        </w:tabs>
        <w:numPr>
          <w:ilvl w:val="0"/>
          <w:numId w:val="86"/>
        </w:numPr>
        <w:rPr>
          <w:rFonts w:ascii="Arial" w:cs="Arial" w:eastAsia="Arial" w:hAnsi="Arial"/>
          <w:sz w:val="21"/>
          <w:szCs w:val="21"/>
          <w:color w:val="auto"/>
        </w:rPr>
      </w:pPr>
      <w:r>
        <w:rPr>
          <w:rFonts w:ascii="Arial" w:cs="Arial" w:eastAsia="Arial" w:hAnsi="Arial"/>
          <w:sz w:val="21"/>
          <w:szCs w:val="21"/>
          <w:b w:val="1"/>
          <w:bCs w:val="1"/>
          <w:i w:val="1"/>
          <w:iCs w:val="1"/>
          <w:color w:val="auto"/>
        </w:rPr>
        <w:t>Release Agreement</w:t>
      </w:r>
      <w:r>
        <w:rPr>
          <w:rFonts w:ascii="Arial" w:cs="Arial" w:eastAsia="Arial" w:hAnsi="Arial"/>
          <w:sz w:val="21"/>
          <w:szCs w:val="21"/>
          <w:color w:val="auto"/>
        </w:rPr>
        <w:t>. Notwithstanding any provision of the Agreement to the contrary, in order to receive the vesting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acceleration provided under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or the severance payments and benefits provided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47">
        <w:r>
          <w:rPr>
            <w:rFonts w:ascii="Arial" w:cs="Arial" w:eastAsia="Arial" w:hAnsi="Arial"/>
            <w:sz w:val="21"/>
            <w:szCs w:val="21"/>
            <w:u w:val="single" w:color="auto"/>
            <w:color w:val="0000FF"/>
          </w:rPr>
          <w:t>6(b)</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 xml:space="preserve">or </w:t>
      </w:r>
      <w:r>
        <w:rPr>
          <w:rFonts w:ascii="Arial" w:cs="Arial" w:eastAsia="Arial" w:hAnsi="Arial"/>
          <w:sz w:val="21"/>
          <w:szCs w:val="21"/>
          <w:u w:val="single" w:color="auto"/>
          <w:color w:val="auto"/>
        </w:rPr>
        <w:t>(c)</w:t>
      </w:r>
      <w:r>
        <w:rPr>
          <w:rFonts w:ascii="Arial" w:cs="Arial" w:eastAsia="Arial" w:hAnsi="Arial"/>
          <w:sz w:val="21"/>
          <w:szCs w:val="21"/>
          <w:color w:val="auto"/>
        </w:rPr>
        <w:t>, the Executive must first execute an appropriate</w:t>
      </w:r>
    </w:p>
    <w:p>
      <w:pPr>
        <w:spacing w:after="0" w:line="200" w:lineRule="exact"/>
        <w:rPr>
          <w:sz w:val="20"/>
          <w:szCs w:val="20"/>
          <w:color w:val="auto"/>
        </w:rPr>
      </w:pPr>
    </w:p>
    <w:p>
      <w:pPr>
        <w:spacing w:after="0" w:line="396"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5</w:t>
            </w:r>
          </w:p>
        </w:tc>
      </w:tr>
    </w:tbl>
    <w:p>
      <w:pPr>
        <w:sectPr>
          <w:pgSz w:w="11900" w:h="16838" w:orient="portrait"/>
          <w:cols w:equalWidth="0" w:num="1">
            <w:col w:w="11240"/>
          </w:cols>
          <w:pgMar w:left="320" w:top="10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release agreement (on a form provided by the Company) (a “</w:t>
      </w:r>
      <w:r>
        <w:rPr>
          <w:rFonts w:ascii="Arial" w:cs="Arial" w:eastAsia="Arial" w:hAnsi="Arial"/>
          <w:sz w:val="19"/>
          <w:szCs w:val="19"/>
          <w:u w:val="single" w:color="auto"/>
          <w:color w:val="auto"/>
        </w:rPr>
        <w:t>Release</w:t>
      </w:r>
      <w:r>
        <w:rPr>
          <w:rFonts w:ascii="Arial" w:cs="Arial" w:eastAsia="Arial" w:hAnsi="Arial"/>
          <w:sz w:val="19"/>
          <w:szCs w:val="19"/>
          <w:color w:val="auto"/>
        </w:rPr>
        <w:t>”) whereby the Executive agrees to release and waive, in return for such vesting acceleration or severance benefits, any claims that Executive may have against the Company or any of its Affiliates including, without limitation, for unlawful discrimination (</w:t>
      </w:r>
      <w:r>
        <w:rPr>
          <w:rFonts w:ascii="Arial" w:cs="Arial" w:eastAsia="Arial" w:hAnsi="Arial"/>
          <w:sz w:val="19"/>
          <w:szCs w:val="19"/>
          <w:i w:val="1"/>
          <w:iCs w:val="1"/>
          <w:color w:val="auto"/>
        </w:rPr>
        <w:t>e.g.</w:t>
      </w:r>
      <w:r>
        <w:rPr>
          <w:rFonts w:ascii="Arial" w:cs="Arial" w:eastAsia="Arial" w:hAnsi="Arial"/>
          <w:sz w:val="19"/>
          <w:szCs w:val="19"/>
          <w:color w:val="auto"/>
        </w:rPr>
        <w:t>, Title VII of the Civil Rights Act); provided, however, such release agreement shall not release any claim or cause of action by or on behalf of the Executive for (a) any payment or benefit that may be due or payable under this Agreement or any vested benefits under any employee benefit plan or program or (b) non-payment of salary or benefits to which Executive is entitled from the Company as of the Termination Date. The Release must be provided to Executive within five (5) days following the Termination Date, and signed by Executive and returned to the Company, and any applicable revocation period must have expired, no later than thirty (30) days following the Termination Date.</w:t>
      </w:r>
    </w:p>
    <w:p>
      <w:pPr>
        <w:spacing w:after="0" w:line="154" w:lineRule="exact"/>
        <w:rPr>
          <w:sz w:val="20"/>
          <w:szCs w:val="20"/>
          <w:color w:val="auto"/>
        </w:rPr>
      </w:pPr>
    </w:p>
    <w:p>
      <w:pPr>
        <w:jc w:val="both"/>
        <w:ind w:firstLine="637"/>
        <w:spacing w:after="0" w:line="234" w:lineRule="auto"/>
        <w:tabs>
          <w:tab w:leader="none" w:pos="1263" w:val="left"/>
        </w:tabs>
        <w:numPr>
          <w:ilvl w:val="0"/>
          <w:numId w:val="87"/>
        </w:numPr>
        <w:rPr>
          <w:rFonts w:ascii="Arial" w:cs="Arial" w:eastAsia="Arial" w:hAnsi="Arial"/>
          <w:sz w:val="19"/>
          <w:szCs w:val="19"/>
          <w:color w:val="auto"/>
        </w:rPr>
      </w:pPr>
      <w:r>
        <w:rPr>
          <w:rFonts w:ascii="Arial" w:cs="Arial" w:eastAsia="Arial" w:hAnsi="Arial"/>
          <w:sz w:val="19"/>
          <w:szCs w:val="19"/>
          <w:b w:val="1"/>
          <w:bCs w:val="1"/>
          <w:i w:val="1"/>
          <w:iCs w:val="1"/>
          <w:color w:val="auto"/>
        </w:rPr>
        <w:t>Reduction of Payments</w:t>
      </w:r>
      <w:r>
        <w:rPr>
          <w:rFonts w:ascii="Arial" w:cs="Arial" w:eastAsia="Arial" w:hAnsi="Arial"/>
          <w:sz w:val="19"/>
          <w:szCs w:val="19"/>
          <w:color w:val="auto"/>
        </w:rPr>
        <w:t>. Notwithstanding anything to the contrary in this Agreement, if Executive is a “disqualified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individual” (as defined in Code Section 280G(c)), and the payments and benefits provided for in this Agreement, together with any other payments and benefits which Executive has the right to receive from the Company or any of its Affiliates, would constitute a “parachute payment” (as defined in Code Section 280G(b)(2)), then the payments and benefits provided for in this Agreement shall be reduced (but not below zero) so that the present value of such total amounts and benefits received by Executive from the Company and its Affiliates will be one dollar ($1.00) less than three times Executive’s “base amount” (as defined in Code Section 280G(b)(3)) and so that no portion of such amounts and benefits received by Executive shall be subject to the excise tax imposed by Code Section 4999.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the extent of any such reduction in the amount of the payments and benefits provided hereunder shall be made by the Company in good faith. </w:t>
      </w:r>
      <w:r>
        <w:rPr>
          <w:rFonts w:ascii="Arial" w:cs="Arial" w:eastAsia="Arial" w:hAnsi="Arial"/>
          <w:sz w:val="17"/>
          <w:szCs w:val="17"/>
          <w:color w:val="auto"/>
        </w:rPr>
        <w:t>If</w:t>
      </w:r>
      <w:r>
        <w:rPr>
          <w:rFonts w:ascii="Arial" w:cs="Arial" w:eastAsia="Arial" w:hAnsi="Arial"/>
          <w:sz w:val="19"/>
          <w:szCs w:val="19"/>
          <w:color w:val="auto"/>
        </w:rPr>
        <w:t xml:space="preserve"> a reduced payment or benefit is made or provided and through error or otherwise that payment or benefit, when aggregated with other payments and benefits from the Company (or its affiliates) used in determining if a “parachute payment” exists, exceeds one dollar </w:t>
      </w:r>
      <w:r>
        <w:rPr>
          <w:rFonts w:ascii="Arial" w:cs="Arial" w:eastAsia="Arial" w:hAnsi="Arial"/>
          <w:sz w:val="18"/>
          <w:szCs w:val="18"/>
          <w:color w:val="auto"/>
        </w:rPr>
        <w:t>($</w:t>
      </w:r>
      <w:r>
        <w:rPr>
          <w:rFonts w:ascii="Arial" w:cs="Arial" w:eastAsia="Arial" w:hAnsi="Arial"/>
          <w:sz w:val="19"/>
          <w:szCs w:val="19"/>
          <w:color w:val="auto"/>
        </w:rPr>
        <w:t xml:space="preserve">1.00) less than three times Executive’s base amount, then Executive shall immediately repay such excess to the Company upon notification that an overpayment has been made. Nothing in this </w:t>
      </w:r>
      <w:r>
        <w:rPr>
          <w:rFonts w:ascii="Arial" w:cs="Arial" w:eastAsia="Arial" w:hAnsi="Arial"/>
          <w:sz w:val="19"/>
          <w:szCs w:val="19"/>
          <w:u w:val="single" w:color="auto"/>
          <w:color w:val="auto"/>
        </w:rPr>
        <w:t>Section 6(f)</w:t>
      </w:r>
      <w:r>
        <w:rPr>
          <w:rFonts w:ascii="Arial" w:cs="Arial" w:eastAsia="Arial" w:hAnsi="Arial"/>
          <w:sz w:val="19"/>
          <w:szCs w:val="19"/>
          <w:color w:val="auto"/>
        </w:rPr>
        <w:t xml:space="preserve"> shall require the Company to be responsible for, or have any liability or obligation with respect to, Executive’s excise tax liabilities under Code Section 4999.</w:t>
      </w:r>
    </w:p>
    <w:p>
      <w:pPr>
        <w:spacing w:after="0" w:line="168" w:lineRule="exact"/>
        <w:rPr>
          <w:rFonts w:ascii="Arial" w:cs="Arial" w:eastAsia="Arial" w:hAnsi="Arial"/>
          <w:sz w:val="19"/>
          <w:szCs w:val="19"/>
          <w:color w:val="auto"/>
        </w:rPr>
      </w:pPr>
    </w:p>
    <w:p>
      <w:pPr>
        <w:ind w:left="1260" w:hanging="623"/>
        <w:spacing w:after="0"/>
        <w:tabs>
          <w:tab w:leader="none" w:pos="1260" w:val="left"/>
        </w:tabs>
        <w:numPr>
          <w:ilvl w:val="0"/>
          <w:numId w:val="87"/>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640" w:firstLine="628"/>
        <w:spacing w:after="0" w:line="215" w:lineRule="auto"/>
        <w:tabs>
          <w:tab w:leader="none" w:pos="1899" w:val="left"/>
        </w:tabs>
        <w:numPr>
          <w:ilvl w:val="1"/>
          <w:numId w:val="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incorporated or unincorporated trade or business or other entity or person, other than the Company, that along with the Company is considered a single employer under Code Section 414(b) or Code Section 414(c); provided, however, (a) in applying Code Section 1563(a)(l), (2), and (3) for purposes of determining a controlled group of corporations under Code Section 414(b), the phrase “at least 50 percent” shall be used instead of the phrase “at least 80 percent” in each place the phrase “at least 80 percent” appears in Code Section 1563(a)(l), (2), and (3), and (b) in applying Treasury Regulation Section l.414(c)-2 for the purposes of determining trades or businesses (whether or not incorporated) that are under common control for the purposes of Code Section 414(c), the phrase “at least 50 percent” shall be used instead of the phrase “at least 80 percent” in each place the phrase “at least 80 percent” appears in Treasury Regulation Section l.414(c)-2.</w:t>
      </w:r>
    </w:p>
    <w:p>
      <w:pPr>
        <w:spacing w:after="0" w:line="158" w:lineRule="exact"/>
        <w:rPr>
          <w:rFonts w:ascii="Arial" w:cs="Arial" w:eastAsia="Arial" w:hAnsi="Arial"/>
          <w:sz w:val="21"/>
          <w:szCs w:val="21"/>
          <w:color w:val="auto"/>
        </w:rPr>
      </w:pPr>
    </w:p>
    <w:p>
      <w:pPr>
        <w:ind w:left="1900" w:hanging="632"/>
        <w:spacing w:after="0"/>
        <w:tabs>
          <w:tab w:leader="none" w:pos="1900" w:val="left"/>
        </w:tabs>
        <w:numPr>
          <w:ilvl w:val="1"/>
          <w:numId w:val="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then-current Board of Directors of the Company.</w:t>
      </w:r>
    </w:p>
    <w:p>
      <w:pPr>
        <w:spacing w:after="0" w:line="179" w:lineRule="exact"/>
        <w:rPr>
          <w:rFonts w:ascii="Arial" w:cs="Arial" w:eastAsia="Arial" w:hAnsi="Arial"/>
          <w:sz w:val="21"/>
          <w:szCs w:val="21"/>
          <w:color w:val="auto"/>
        </w:rPr>
      </w:pPr>
    </w:p>
    <w:p>
      <w:pPr>
        <w:jc w:val="both"/>
        <w:ind w:left="640" w:firstLine="628"/>
        <w:spacing w:after="0" w:line="237" w:lineRule="auto"/>
        <w:tabs>
          <w:tab w:leader="none" w:pos="1899" w:val="left"/>
        </w:tabs>
        <w:numPr>
          <w:ilvl w:val="1"/>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 (A) Executive’s conviction of, or plea of no contest to, a misdemeanor involving moral turpitude or a felony; (B) Executive’s repeated failure or refusal to perform all of his duties, obligations and agreements herein contained or imposed by law, including his fiduciary duties, to the reasonable satisfaction of the Board;</w:t>
      </w:r>
    </w:p>
    <w:p>
      <w:pPr>
        <w:spacing w:after="0" w:line="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(C) Executive’s commission of acts amounting to gross negligence or willful misconduct 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6</w:t>
            </w:r>
          </w:p>
        </w:tc>
      </w:tr>
    </w:tbl>
    <w:p>
      <w:pPr>
        <w:sectPr>
          <w:pgSz w:w="11900" w:h="16838" w:orient="portrait"/>
          <w:cols w:equalWidth="0" w:num="1">
            <w:col w:w="11240"/>
          </w:cols>
          <w:pgMar w:left="320" w:top="108"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spacing w:after="0" w:line="244" w:lineRule="auto"/>
        <w:rPr>
          <w:sz w:val="20"/>
          <w:szCs w:val="20"/>
          <w:color w:val="auto"/>
        </w:rPr>
      </w:pPr>
      <w:r>
        <w:rPr>
          <w:rFonts w:ascii="Arial" w:cs="Arial" w:eastAsia="Arial" w:hAnsi="Arial"/>
          <w:sz w:val="19"/>
          <w:szCs w:val="19"/>
          <w:color w:val="auto"/>
        </w:rPr>
        <w:t>the material detriment of the Company; or (D) Executive’s material breach of any provision of this Agreement or uniformly applied provision of the Company’s employee handbook or other personnel policies, including without limitation, its Code of Business Conduct and Ethics. Such determination of “Cause” shall be made by the Board and, in the event of circumstances described in clause (B) or (D) above, the Board shall give written notice to Executive specifying such circumstances and providing a period of 30 days in which Executive shall be allowed to cure such circumstances, if capable of cure.</w:t>
      </w:r>
    </w:p>
    <w:p>
      <w:pPr>
        <w:spacing w:after="0" w:line="153" w:lineRule="exact"/>
        <w:rPr>
          <w:sz w:val="20"/>
          <w:szCs w:val="20"/>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means the Consolidated Omnibus Budget Reconciliation Act of 1985, as amended.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means the Compensation Committee of the Board.</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Change</w:t>
      </w:r>
      <w:r>
        <w:rPr>
          <w:rFonts w:ascii="Arial" w:cs="Arial" w:eastAsia="Arial" w:hAnsi="Arial"/>
          <w:sz w:val="20"/>
          <w:szCs w:val="20"/>
          <w:color w:val="auto"/>
        </w:rPr>
        <w:t>” means a “Corporate Transaction” or “Change in Control” (as defined in the LTIP).</w:t>
      </w:r>
    </w:p>
    <w:p>
      <w:pPr>
        <w:spacing w:after="0" w:line="191" w:lineRule="exact"/>
        <w:rPr>
          <w:rFonts w:ascii="Arial" w:cs="Arial" w:eastAsia="Arial" w:hAnsi="Arial"/>
          <w:sz w:val="20"/>
          <w:szCs w:val="20"/>
          <w:color w:val="auto"/>
        </w:rPr>
      </w:pPr>
    </w:p>
    <w:p>
      <w:pPr>
        <w:ind w:left="1900" w:hanging="632"/>
        <w:spacing w:after="0"/>
        <w:tabs>
          <w:tab w:leader="none" w:pos="1900"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Change Period</w:t>
      </w:r>
      <w:r>
        <w:rPr>
          <w:rFonts w:ascii="Arial" w:cs="Arial" w:eastAsia="Arial" w:hAnsi="Arial"/>
          <w:sz w:val="20"/>
          <w:szCs w:val="20"/>
          <w:color w:val="auto"/>
        </w:rPr>
        <w:t>” means the 24-month period following the occurrence of a Corporate Change.</w:t>
      </w:r>
    </w:p>
    <w:p>
      <w:pPr>
        <w:spacing w:after="0" w:line="191" w:lineRule="exact"/>
        <w:rPr>
          <w:rFonts w:ascii="Arial" w:cs="Arial" w:eastAsia="Arial" w:hAnsi="Arial"/>
          <w:sz w:val="20"/>
          <w:szCs w:val="20"/>
          <w:color w:val="auto"/>
        </w:rPr>
      </w:pPr>
    </w:p>
    <w:p>
      <w:pPr>
        <w:jc w:val="both"/>
        <w:ind w:left="640" w:firstLine="628"/>
        <w:spacing w:after="0" w:line="223" w:lineRule="auto"/>
        <w:tabs>
          <w:tab w:leader="none" w:pos="1899"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Beneficiary</w:t>
      </w:r>
      <w:r>
        <w:rPr>
          <w:rFonts w:ascii="Arial" w:cs="Arial" w:eastAsia="Arial" w:hAnsi="Arial"/>
          <w:sz w:val="21"/>
          <w:szCs w:val="21"/>
          <w:color w:val="auto"/>
        </w:rPr>
        <w:t>” means the Executive’s surviving spouse, if any. If there is no such surviving spouse at the time of Executive’s death, then the Designated Beneficiary hereunder shall be Executive’s estate after the legal representative of such estate provides satisfactory evidence thereof to the Company (or its delegate) within the one-year period following Executive’s date of death.</w:t>
      </w:r>
    </w:p>
    <w:p>
      <w:pPr>
        <w:spacing w:after="0" w:line="155"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Board member.</w:t>
      </w:r>
    </w:p>
    <w:p>
      <w:pPr>
        <w:spacing w:after="0" w:line="179" w:lineRule="exact"/>
        <w:rPr>
          <w:rFonts w:ascii="Arial" w:cs="Arial" w:eastAsia="Arial" w:hAnsi="Arial"/>
          <w:sz w:val="21"/>
          <w:szCs w:val="21"/>
          <w:color w:val="auto"/>
        </w:rPr>
      </w:pPr>
    </w:p>
    <w:p>
      <w:pPr>
        <w:jc w:val="both"/>
        <w:ind w:left="640" w:firstLine="628"/>
        <w:spacing w:after="0" w:line="217" w:lineRule="auto"/>
        <w:tabs>
          <w:tab w:leader="none" w:pos="1891"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Disabled</w:t>
      </w:r>
      <w:r>
        <w:rPr>
          <w:rFonts w:ascii="Arial" w:cs="Arial" w:eastAsia="Arial" w:hAnsi="Arial"/>
          <w:sz w:val="21"/>
          <w:szCs w:val="21"/>
          <w:color w:val="auto"/>
        </w:rPr>
        <w:t>” or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that Executive has become incapacitated by accident, illness or other circumstance which has rendered him mentally or physically incapable of performing the duties and services required of him hereunder on a full-time basis for a period of at least 365 consecutive days. Evidence of such Disability shall be certified by a physician acceptable to both the Company and Executive. In the event that the Parties are not able to agree on the choice of a physician, each shall select one physician who, in turn, shall select a third physician to render such certification. All reasonable costs directly relating to the determination of whether Executive has incurred a Disability for purposes of this Agreement shall be paid by the Company.</w:t>
      </w:r>
    </w:p>
    <w:p>
      <w:pPr>
        <w:spacing w:after="0" w:line="155" w:lineRule="exact"/>
        <w:rPr>
          <w:rFonts w:ascii="Arial" w:cs="Arial" w:eastAsia="Arial" w:hAnsi="Arial"/>
          <w:sz w:val="21"/>
          <w:szCs w:val="21"/>
          <w:color w:val="auto"/>
        </w:rPr>
      </w:pPr>
    </w:p>
    <w:p>
      <w:pPr>
        <w:jc w:val="both"/>
        <w:ind w:left="640" w:firstLine="628"/>
        <w:spacing w:after="0" w:line="228" w:lineRule="auto"/>
        <w:tabs>
          <w:tab w:leader="none" w:pos="1899"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w:t>
      </w:r>
      <w:r>
        <w:rPr>
          <w:rFonts w:ascii="Arial" w:cs="Arial" w:eastAsia="Arial" w:hAnsi="Arial"/>
          <w:sz w:val="21"/>
          <w:szCs w:val="21"/>
          <w:color w:val="auto"/>
        </w:rPr>
        <w:t>” means any dispute, disagreement, claim, or controversy arising from, in connection with, or relating to (A) the Employment, or termination of Employment, of Executive, or (B) the Agreement, or the validity, interpretation, performance, breach or termination of the Agreement.</w:t>
      </w:r>
    </w:p>
    <w:p>
      <w:pPr>
        <w:spacing w:after="0" w:line="153"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Employment</w:t>
      </w:r>
      <w:r>
        <w:rPr>
          <w:rFonts w:ascii="Arial" w:cs="Arial" w:eastAsia="Arial" w:hAnsi="Arial"/>
          <w:sz w:val="21"/>
          <w:szCs w:val="21"/>
          <w:color w:val="auto"/>
        </w:rPr>
        <w:t>” means employment by the Company or any Affiliate.</w:t>
      </w:r>
    </w:p>
    <w:p>
      <w:pPr>
        <w:spacing w:after="0" w:line="179" w:lineRule="exact"/>
        <w:rPr>
          <w:rFonts w:ascii="Arial" w:cs="Arial" w:eastAsia="Arial" w:hAnsi="Arial"/>
          <w:sz w:val="21"/>
          <w:szCs w:val="21"/>
          <w:color w:val="auto"/>
        </w:rPr>
      </w:pPr>
    </w:p>
    <w:p>
      <w:pPr>
        <w:ind w:left="1900" w:hanging="632"/>
        <w:spacing w:after="0"/>
        <w:tabs>
          <w:tab w:leader="none" w:pos="190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179" w:lineRule="exact"/>
        <w:rPr>
          <w:rFonts w:ascii="Arial" w:cs="Arial" w:eastAsia="Arial" w:hAnsi="Arial"/>
          <w:sz w:val="21"/>
          <w:szCs w:val="21"/>
          <w:color w:val="auto"/>
        </w:rPr>
      </w:pPr>
    </w:p>
    <w:p>
      <w:pPr>
        <w:jc w:val="both"/>
        <w:ind w:left="640" w:firstLine="628"/>
        <w:spacing w:after="0" w:line="241" w:lineRule="auto"/>
        <w:tabs>
          <w:tab w:leader="none" w:pos="1899" w:val="left"/>
        </w:tabs>
        <w:numPr>
          <w:ilvl w:val="1"/>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occurrence of any of the following actions if taken without Executive’s prior written consent: (A) any material breach by the Company to comply with its obligations under the terms of the Agreement;</w:t>
      </w:r>
    </w:p>
    <w:p>
      <w:pPr>
        <w:jc w:val="both"/>
        <w:ind w:left="640" w:hanging="3"/>
        <w:spacing w:after="0" w:line="242" w:lineRule="auto"/>
        <w:tabs>
          <w:tab w:leader="none" w:pos="978"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material diminution in the Executive’s responsibilities, authority or duties, (C) a 10% or greater reduction of the sum of Executive’s Base Salary and Target Annual Bonus; or (D) any change greater than 50 miles in the permanent location at which Executive performs services for the Company. The Executive shall give written notice to the Board specifying such actions within 90 days of the initial existence of such action and providing a period of 30 days in which the Company shall</w:t>
      </w:r>
    </w:p>
    <w:p>
      <w:pPr>
        <w:spacing w:after="0" w:line="200" w:lineRule="exact"/>
        <w:rPr>
          <w:sz w:val="20"/>
          <w:szCs w:val="20"/>
          <w:color w:val="auto"/>
        </w:rPr>
      </w:pPr>
    </w:p>
    <w:p>
      <w:pPr>
        <w:spacing w:after="0" w:line="396"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7</w:t>
            </w:r>
          </w:p>
        </w:tc>
      </w:tr>
    </w:tbl>
    <w:p>
      <w:pPr>
        <w:sectPr>
          <w:pgSz w:w="11900" w:h="16838" w:orient="portrait"/>
          <w:cols w:equalWidth="0" w:num="1">
            <w:col w:w="11240"/>
          </w:cols>
          <w:pgMar w:left="320" w:top="108"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spacing w:after="0" w:line="228" w:lineRule="auto"/>
        <w:rPr>
          <w:sz w:val="20"/>
          <w:szCs w:val="20"/>
          <w:color w:val="auto"/>
        </w:rPr>
      </w:pPr>
      <w:r>
        <w:rPr>
          <w:rFonts w:ascii="Arial" w:cs="Arial" w:eastAsia="Arial" w:hAnsi="Arial"/>
          <w:sz w:val="21"/>
          <w:szCs w:val="21"/>
          <w:color w:val="auto"/>
        </w:rPr>
        <w:t>be allowed to cure such circumstances. Provided that the condition purporting to give rise to the Good Reason event is not cured within the 30-day cure period, Executive must exercise his right to terminate this Agreement for Good Reason within 120 days after the initial existence of the Good Reason event.</w:t>
      </w:r>
    </w:p>
    <w:p>
      <w:pPr>
        <w:spacing w:after="0" w:line="154" w:lineRule="exact"/>
        <w:rPr>
          <w:sz w:val="20"/>
          <w:szCs w:val="20"/>
          <w:color w:val="auto"/>
        </w:rPr>
      </w:pPr>
    </w:p>
    <w:p>
      <w:pPr>
        <w:ind w:left="1940" w:hanging="672"/>
        <w:spacing w:after="0"/>
        <w:tabs>
          <w:tab w:leader="none" w:pos="1940" w:val="left"/>
        </w:tabs>
        <w:numPr>
          <w:ilvl w:val="2"/>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date on which Executive’s Employment terminates for whatever reason.</w:t>
      </w:r>
    </w:p>
    <w:p>
      <w:pPr>
        <w:spacing w:after="0" w:line="185" w:lineRule="exact"/>
        <w:rPr>
          <w:rFonts w:ascii="Arial" w:cs="Arial" w:eastAsia="Arial" w:hAnsi="Arial"/>
          <w:sz w:val="20"/>
          <w:szCs w:val="20"/>
          <w:color w:val="auto"/>
        </w:rPr>
      </w:pPr>
    </w:p>
    <w:p>
      <w:pPr>
        <w:jc w:val="both"/>
        <w:ind w:firstLine="5"/>
        <w:spacing w:after="0" w:line="224" w:lineRule="auto"/>
        <w:tabs>
          <w:tab w:leader="none" w:pos="632"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Termination</w:t>
      </w:r>
      <w:r>
        <w:rPr>
          <w:rFonts w:ascii="Arial" w:cs="Arial" w:eastAsia="Arial" w:hAnsi="Arial"/>
          <w:sz w:val="20"/>
          <w:szCs w:val="20"/>
          <w:color w:val="auto"/>
        </w:rPr>
        <w:t>. Any termination of Executive’s Employment by the Company or the Executive other than for death</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communicated by Notice of Termination to the other Party hereto. For purposes of this Agreement, the term “</w:t>
      </w:r>
      <w:r>
        <w:rPr>
          <w:rFonts w:ascii="Arial" w:cs="Arial" w:eastAsia="Arial" w:hAnsi="Arial"/>
          <w:sz w:val="20"/>
          <w:szCs w:val="20"/>
          <w:u w:val="single" w:color="auto"/>
          <w:color w:val="auto"/>
        </w:rPr>
        <w:t>Notice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Termination</w:t>
      </w:r>
      <w:r>
        <w:rPr>
          <w:rFonts w:ascii="Arial" w:cs="Arial" w:eastAsia="Arial" w:hAnsi="Arial"/>
          <w:sz w:val="20"/>
          <w:szCs w:val="20"/>
          <w:color w:val="auto"/>
        </w:rPr>
        <w:t>” means (a) a written notice which indicates the specific termination provision of this Agreement relied upon, (b) sets forth in reasonable detail the facts and circumstances claimed to provide a basis for termination of the Executive’s Employment under the provision so indicated, and (c) specifies a Termination Date which, if submitted by Executive, shall be at least thirty (30) days following the date of such Notice of Termination unless such termination is for Good Reason within a Corporate Change Period (in which case the requirements for a termination due to Good Reason shall apply); provided, however, that in the event that Executive delivers a Notice of Termination to the Company, the Company may, in its sole discretion, change the Termination Date to any date that occurs following the date of receipt of such Notice of Termination and is prior to the date specified in such Notice of Termination. A Notice of Termination submitted by the Company may provide for a Termination Date on the date Executive receives the Notice of Termination, or any date thereafter elected by the Company in its sole discretion. The failure by the Company or Executive to set forth in the Notice of Termination any fact or circumstance which contributes to a showing of Cause or Good Reason shall not waive or otherwise prejudice any right of such Party hereunder or preclude such Party from asserting such fact or circumstance in enforcing such Party’s rights hereunder.</w:t>
      </w:r>
    </w:p>
    <w:p>
      <w:pPr>
        <w:spacing w:after="0" w:line="153" w:lineRule="exact"/>
        <w:rPr>
          <w:rFonts w:ascii="Arial" w:cs="Arial" w:eastAsia="Arial" w:hAnsi="Arial"/>
          <w:sz w:val="20"/>
          <w:szCs w:val="20"/>
          <w:b w:val="1"/>
          <w:bCs w:val="1"/>
          <w:color w:val="auto"/>
        </w:rPr>
      </w:pPr>
    </w:p>
    <w:p>
      <w:pPr>
        <w:jc w:val="both"/>
        <w:ind w:firstLine="5"/>
        <w:spacing w:after="0" w:line="230" w:lineRule="auto"/>
        <w:tabs>
          <w:tab w:leader="none" w:pos="632"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color w:val="auto"/>
        </w:rPr>
        <w:t>. Except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6(f)</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excess parachute payments, Executive shall not be required to</w:t>
      </w:r>
      <w:r>
        <w:rPr>
          <w:rFonts w:ascii="Arial" w:cs="Arial" w:eastAsia="Arial" w:hAnsi="Arial"/>
          <w:sz w:val="21"/>
          <w:szCs w:val="21"/>
          <w:b w:val="1"/>
          <w:bCs w:val="1"/>
          <w:color w:val="auto"/>
        </w:rPr>
        <w:t xml:space="preserve"> </w:t>
      </w:r>
      <w:r>
        <w:rPr>
          <w:rFonts w:ascii="Arial" w:cs="Arial" w:eastAsia="Arial" w:hAnsi="Arial"/>
          <w:sz w:val="21"/>
          <w:szCs w:val="21"/>
          <w:color w:val="auto"/>
        </w:rPr>
        <w:t>mitigate the amount of any payment or other benefits provided under this Agreement by seeking other employment or in any other manner.</w:t>
      </w:r>
    </w:p>
    <w:p>
      <w:pPr>
        <w:spacing w:after="0" w:line="147" w:lineRule="exact"/>
        <w:rPr>
          <w:rFonts w:ascii="Arial" w:cs="Arial" w:eastAsia="Arial" w:hAnsi="Arial"/>
          <w:sz w:val="21"/>
          <w:szCs w:val="21"/>
          <w:b w:val="1"/>
          <w:bCs w:val="1"/>
          <w:color w:val="auto"/>
        </w:rPr>
      </w:pPr>
    </w:p>
    <w:p>
      <w:pPr>
        <w:jc w:val="both"/>
        <w:ind w:firstLine="5"/>
        <w:spacing w:after="0" w:line="230" w:lineRule="auto"/>
        <w:tabs>
          <w:tab w:leader="none" w:pos="632"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color w:val="auto"/>
        </w:rPr>
        <w:t>. As an inducement to the Company to enter into this Agreement, Executive represents to,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covenants with or in favor of, the Company that Executive will comply with all of the restrictive covenants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47">
        <w:r>
          <w:rPr>
            <w:rFonts w:ascii="Arial" w:cs="Arial" w:eastAsia="Arial" w:hAnsi="Arial"/>
            <w:sz w:val="21"/>
            <w:szCs w:val="21"/>
            <w:color w:val="0000FF"/>
          </w:rPr>
          <w:t>10</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through </w:t>
      </w:r>
      <w:r>
        <w:rPr>
          <w:rFonts w:ascii="Arial" w:cs="Arial" w:eastAsia="Arial" w:hAnsi="Arial"/>
          <w:sz w:val="21"/>
          <w:szCs w:val="21"/>
          <w:u w:val="single" w:color="auto"/>
          <w:color w:val="auto"/>
        </w:rPr>
        <w:t>16</w:t>
      </w:r>
      <w:r>
        <w:rPr>
          <w:rFonts w:ascii="Arial" w:cs="Arial" w:eastAsia="Arial" w:hAnsi="Arial"/>
          <w:sz w:val="21"/>
          <w:szCs w:val="21"/>
          <w:color w:val="auto"/>
        </w:rPr>
        <w:t>, as a condition to the Company’s obligation to provide any benefits to Executive under this Agreement.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Trade Secrets</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28" w:lineRule="auto"/>
        <w:tabs>
          <w:tab w:leader="none" w:pos="1260" w:val="left"/>
        </w:tabs>
        <w:numPr>
          <w:ilvl w:val="1"/>
          <w:numId w:val="91"/>
        </w:numPr>
        <w:rPr>
          <w:rFonts w:ascii="Arial" w:cs="Arial" w:eastAsia="Arial" w:hAnsi="Arial"/>
          <w:sz w:val="21"/>
          <w:szCs w:val="21"/>
          <w:color w:val="auto"/>
        </w:rPr>
      </w:pPr>
      <w:r>
        <w:rPr>
          <w:rFonts w:ascii="Arial" w:cs="Arial" w:eastAsia="Arial" w:hAnsi="Arial"/>
          <w:sz w:val="21"/>
          <w:szCs w:val="21"/>
          <w:b w:val="1"/>
          <w:bCs w:val="1"/>
          <w:i w:val="1"/>
          <w:iCs w:val="1"/>
          <w:color w:val="auto"/>
        </w:rPr>
        <w:t>Access to Trade Secrets</w:t>
      </w:r>
      <w:r>
        <w:rPr>
          <w:rFonts w:ascii="Arial" w:cs="Arial" w:eastAsia="Arial" w:hAnsi="Arial"/>
          <w:sz w:val="21"/>
          <w:szCs w:val="21"/>
          <w:color w:val="auto"/>
        </w:rPr>
        <w:t>. As of the Effective Date and on an ongoing basis, the Company agrees to give Executive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access to Trade Secrets which the Executive did not have access to, or knowledge of, before Executive’s commencement of Employment.</w:t>
      </w:r>
    </w:p>
    <w:p>
      <w:pPr>
        <w:spacing w:after="0" w:line="153" w:lineRule="exact"/>
        <w:rPr>
          <w:rFonts w:ascii="Arial" w:cs="Arial" w:eastAsia="Arial" w:hAnsi="Arial"/>
          <w:sz w:val="21"/>
          <w:szCs w:val="21"/>
          <w:color w:val="auto"/>
        </w:rPr>
      </w:pPr>
    </w:p>
    <w:p>
      <w:pPr>
        <w:jc w:val="both"/>
        <w:ind w:firstLine="637"/>
        <w:spacing w:after="0" w:line="216" w:lineRule="auto"/>
        <w:tabs>
          <w:tab w:leader="none" w:pos="1259" w:val="left"/>
        </w:tabs>
        <w:numPr>
          <w:ilvl w:val="1"/>
          <w:numId w:val="91"/>
        </w:numPr>
        <w:rPr>
          <w:rFonts w:ascii="Arial" w:cs="Arial" w:eastAsia="Arial" w:hAnsi="Arial"/>
          <w:sz w:val="21"/>
          <w:szCs w:val="21"/>
          <w:color w:val="auto"/>
        </w:rPr>
      </w:pPr>
      <w:r>
        <w:rPr>
          <w:rFonts w:ascii="Arial" w:cs="Arial" w:eastAsia="Arial" w:hAnsi="Arial"/>
          <w:sz w:val="21"/>
          <w:szCs w:val="21"/>
          <w:b w:val="1"/>
          <w:bCs w:val="1"/>
          <w:i w:val="1"/>
          <w:iCs w:val="1"/>
          <w:color w:val="auto"/>
        </w:rPr>
        <w:t>Agreement Not to Use or Disclose Trade Secrets</w:t>
      </w:r>
      <w:r>
        <w:rPr>
          <w:rFonts w:ascii="Arial" w:cs="Arial" w:eastAsia="Arial" w:hAnsi="Arial"/>
          <w:sz w:val="21"/>
          <w:szCs w:val="21"/>
          <w:color w:val="auto"/>
        </w:rPr>
        <w:t>. In exchange for the Company’s promises to provide Executive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access to Trade Secrets, and the other consideration and benefits provided to Executive under this Agreement, Executive agrees that, during the Employment Period and any time thereafter, not to disclose to anyone, including, without limitation, any person, firm, corporation or other entity, or publish or use for any purpose, any Trade Secrets, except (1) as required in the ordinary course of the business of the Company or an Affiliate or (2) as authorized by the Company or Affiliate, as applicable. Executive acknowledges that Trade Secrets (A) have been and will be developed or acquired by the Company (or an Affiliate) through the expenditure of substantial time, effort and money and (B) provide the Company (or an Affiliate) with an advantage over competitors who do not know or use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6502400</wp:posOffset>
            </wp:positionH>
            <wp:positionV relativeFrom="paragraph">
              <wp:posOffset>-2167890</wp:posOffset>
            </wp:positionV>
            <wp:extent cx="2171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136"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Executive shall hold in a fiduciary capacity for the benefit of the Company (or its Affiliate, as applicable) any Trade Secret relating to the Company or any of its Affiliates, and their respective businesses, which (a) has been obtained by Executive during his Employment and (b) is not public knowledge other than via an unauthorized disclosure made by Executive in violation of this</w:t>
      </w:r>
    </w:p>
    <w:p>
      <w:pPr>
        <w:spacing w:after="0" w:line="200" w:lineRule="exact"/>
        <w:rPr>
          <w:sz w:val="20"/>
          <w:szCs w:val="20"/>
          <w:color w:val="auto"/>
        </w:rPr>
      </w:pPr>
    </w:p>
    <w:p>
      <w:pPr>
        <w:spacing w:after="0" w:line="380"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8</w:t>
            </w:r>
          </w:p>
        </w:tc>
      </w:tr>
    </w:tbl>
    <w:p>
      <w:pPr>
        <w:sectPr>
          <w:pgSz w:w="11900" w:h="16838" w:orient="portrait"/>
          <w:cols w:equalWidth="0" w:num="1">
            <w:col w:w="11240"/>
          </w:cols>
          <w:pgMar w:left="320" w:top="10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Agreement. Executive acknowledges and agrees that all Trade Secrets are, and will continue to be, the exclusive property of the Company or Affiliate, as applicable.</w:t>
      </w:r>
    </w:p>
    <w:p>
      <w:pPr>
        <w:spacing w:after="0" w:line="155"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Executive shall not at any time disclose to any person or entity, or publish, or use for any unauthorized purpose, any Trade Secret, except as the Company directs or under compulsion of law. Executive agrees to give notice to the Company of any attempt to compel disclosure of any Trade Secret within five (5) business days after Executive is informed that such disclosure is being, or will be, compelled. Any such notice shall contain a copy of the subpoena, order or other process used to compel disclosure.</w:t>
      </w:r>
    </w:p>
    <w:p>
      <w:pPr>
        <w:spacing w:after="0" w:line="200" w:lineRule="exact"/>
        <w:rPr>
          <w:sz w:val="20"/>
          <w:szCs w:val="20"/>
          <w:color w:val="auto"/>
        </w:rPr>
      </w:pPr>
    </w:p>
    <w:p>
      <w:pPr>
        <w:spacing w:after="0" w:line="393" w:lineRule="exact"/>
        <w:rPr>
          <w:sz w:val="20"/>
          <w:szCs w:val="20"/>
          <w:color w:val="auto"/>
        </w:rPr>
      </w:pPr>
    </w:p>
    <w:p>
      <w:pPr>
        <w:jc w:val="both"/>
        <w:ind w:firstLine="6"/>
        <w:spacing w:after="0" w:line="215" w:lineRule="auto"/>
        <w:rPr>
          <w:rFonts w:ascii="Arial" w:cs="Arial" w:eastAsia="Arial" w:hAnsi="Arial"/>
          <w:sz w:val="21"/>
          <w:szCs w:val="21"/>
          <w:color w:val="auto"/>
        </w:rPr>
      </w:pPr>
      <w:r>
        <w:rPr>
          <w:rFonts w:ascii="Arial" w:cs="Arial" w:eastAsia="Arial" w:hAnsi="Arial"/>
          <w:sz w:val="21"/>
          <w:szCs w:val="21"/>
          <w:color w:val="auto"/>
        </w:rPr>
        <w:t xml:space="preserve">The agreements and covenants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hyperlink w:anchor="page147">
        <w:r>
          <w:rPr>
            <w:rFonts w:ascii="Arial" w:cs="Arial" w:eastAsia="Arial" w:hAnsi="Arial"/>
            <w:sz w:val="21"/>
            <w:szCs w:val="21"/>
            <w:u w:val="single" w:color="auto"/>
            <w:color w:val="0000FF"/>
          </w:rPr>
          <w:t>10(b)</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apply to all Trade Secrets, whether now known or later to become known to Executive. In addition, these provisions shall be in addition to, and not limit or restrict in any way, any other confidentiality agreement or covenant between the Executive and the Company or any of its Affiliates.</w:t>
      </w:r>
    </w:p>
    <w:p>
      <w:pPr>
        <w:spacing w:after="0" w:line="1" w:lineRule="exact"/>
        <w:rPr>
          <w:sz w:val="20"/>
          <w:szCs w:val="20"/>
          <w:color w:val="auto"/>
        </w:rPr>
      </w:pPr>
    </w:p>
    <w:p>
      <w:pPr>
        <w:jc w:val="both"/>
        <w:ind w:firstLine="637"/>
        <w:spacing w:after="0" w:line="214" w:lineRule="auto"/>
        <w:tabs>
          <w:tab w:leader="none" w:pos="1260" w:val="left"/>
        </w:tabs>
        <w:numPr>
          <w:ilvl w:val="0"/>
          <w:numId w:val="92"/>
        </w:numPr>
        <w:rPr>
          <w:rFonts w:ascii="Arial" w:cs="Arial" w:eastAsia="Arial" w:hAnsi="Arial"/>
          <w:sz w:val="21"/>
          <w:szCs w:val="21"/>
          <w:color w:val="auto"/>
        </w:rPr>
      </w:pPr>
      <w:r>
        <w:rPr>
          <w:rFonts w:ascii="Arial" w:cs="Arial" w:eastAsia="Arial" w:hAnsi="Arial"/>
          <w:sz w:val="21"/>
          <w:szCs w:val="21"/>
          <w:b w:val="1"/>
          <w:bCs w:val="1"/>
          <w:i w:val="1"/>
          <w:iCs w:val="1"/>
          <w:color w:val="auto"/>
        </w:rPr>
        <w:t>Agreement to Refrain from Defamatory Statements</w:t>
      </w:r>
      <w:r>
        <w:rPr>
          <w:rFonts w:ascii="Arial" w:cs="Arial" w:eastAsia="Arial" w:hAnsi="Arial"/>
          <w:sz w:val="21"/>
          <w:szCs w:val="21"/>
          <w:color w:val="auto"/>
        </w:rPr>
        <w:t>. Executive shall refrain, both during the Employment Period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thereafter, from publishing any oral or written statements about any directors, partners, officers, employees, agents, investors or representatives of the Company or any Affiliate that are (1) slanderous, libelous, or defamatory; (2) disclose private or confidential information about the business affairs, directors, partners, officers, employees, agents, investors or representatives of the Company or any Affiliate; (3) constitute an intrusion into the seclusion or private lives of any such person; (4) give rise to unreasonable publicity about the private life of any such person; (5) place any such person in a false light before the public; or (6) constitute a misappropriation of the name or likeness of any such person.</w:t>
      </w:r>
    </w:p>
    <w:p>
      <w:pPr>
        <w:spacing w:after="0" w:line="159" w:lineRule="exact"/>
        <w:rPr>
          <w:rFonts w:ascii="Arial" w:cs="Arial" w:eastAsia="Arial" w:hAnsi="Arial"/>
          <w:sz w:val="21"/>
          <w:szCs w:val="21"/>
          <w:color w:val="auto"/>
        </w:rPr>
      </w:pPr>
    </w:p>
    <w:p>
      <w:pPr>
        <w:ind w:left="1260" w:hanging="623"/>
        <w:spacing w:after="0"/>
        <w:tabs>
          <w:tab w:leader="none" w:pos="1260" w:val="left"/>
        </w:tabs>
        <w:numPr>
          <w:ilvl w:val="0"/>
          <w:numId w:val="92"/>
        </w:numPr>
        <w:rPr>
          <w:rFonts w:ascii="Arial" w:cs="Arial" w:eastAsia="Arial" w:hAnsi="Arial"/>
          <w:sz w:val="21"/>
          <w:szCs w:val="21"/>
          <w:color w:val="auto"/>
        </w:rPr>
      </w:pP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The following terms, when used in this Agreement, are defined below:</w:t>
      </w:r>
    </w:p>
    <w:p>
      <w:pPr>
        <w:spacing w:after="0" w:line="179" w:lineRule="exact"/>
        <w:rPr>
          <w:rFonts w:ascii="Arial" w:cs="Arial" w:eastAsia="Arial" w:hAnsi="Arial"/>
          <w:sz w:val="21"/>
          <w:szCs w:val="21"/>
          <w:color w:val="auto"/>
        </w:rPr>
      </w:pPr>
    </w:p>
    <w:p>
      <w:pPr>
        <w:jc w:val="both"/>
        <w:ind w:left="640" w:firstLine="628"/>
        <w:spacing w:after="0" w:line="220" w:lineRule="auto"/>
        <w:tabs>
          <w:tab w:leader="none" w:pos="1899" w:val="left"/>
        </w:tabs>
        <w:numPr>
          <w:ilvl w:val="1"/>
          <w:numId w:val="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Territory</w:t>
      </w:r>
      <w:r>
        <w:rPr>
          <w:rFonts w:ascii="Arial" w:cs="Arial" w:eastAsia="Arial" w:hAnsi="Arial"/>
          <w:sz w:val="21"/>
          <w:szCs w:val="21"/>
          <w:color w:val="auto"/>
        </w:rPr>
        <w:t>” means any county, or equivalent political or governmental subdivision, of any state, district, or territory of the continental United States in which the Company or any of its Affiliates conducts its business; and any area adjacent to such counties, or equivalent political or governmental subdivision, to the extent such adjacent areas are within a 50-mile radius of any funeral home, cemetery or other death care business owned or operated by the Company or any of its Affiliates as of the Termination Date.</w:t>
      </w:r>
    </w:p>
    <w:p>
      <w:pPr>
        <w:spacing w:after="0" w:line="156" w:lineRule="exact"/>
        <w:rPr>
          <w:rFonts w:ascii="Arial" w:cs="Arial" w:eastAsia="Arial" w:hAnsi="Arial"/>
          <w:sz w:val="21"/>
          <w:szCs w:val="21"/>
          <w:color w:val="auto"/>
        </w:rPr>
      </w:pPr>
    </w:p>
    <w:p>
      <w:pPr>
        <w:jc w:val="both"/>
        <w:ind w:left="640" w:firstLine="628"/>
        <w:spacing w:after="0" w:line="223" w:lineRule="auto"/>
        <w:tabs>
          <w:tab w:leader="none" w:pos="1899" w:val="left"/>
        </w:tabs>
        <w:numPr>
          <w:ilvl w:val="1"/>
          <w:numId w:val="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means any and all information and materials (in any form or medium) that are proprietary to the Company or an Affiliate, or are treated as confidential by the Company or an Affiliate as part of, or relating to, any portion of its or their businesses (whether or not owned or developed by the Company or an Affiliate) and that are not generally known by other persons or entities in the same type of business.</w:t>
      </w:r>
    </w:p>
    <w:p>
      <w:pPr>
        <w:spacing w:after="0" w:line="155" w:lineRule="exact"/>
        <w:rPr>
          <w:sz w:val="20"/>
          <w:szCs w:val="20"/>
          <w:color w:val="auto"/>
        </w:rPr>
      </w:pPr>
    </w:p>
    <w:p>
      <w:pPr>
        <w:jc w:val="both"/>
        <w:ind w:left="640" w:firstLine="632"/>
        <w:spacing w:after="0" w:line="224" w:lineRule="auto"/>
        <w:rPr>
          <w:sz w:val="20"/>
          <w:szCs w:val="20"/>
          <w:color w:val="auto"/>
        </w:rPr>
      </w:pPr>
      <w:r>
        <w:rPr>
          <w:rFonts w:ascii="Arial" w:cs="Arial" w:eastAsia="Arial" w:hAnsi="Arial"/>
          <w:sz w:val="20"/>
          <w:szCs w:val="20"/>
          <w:color w:val="auto"/>
        </w:rPr>
        <w:t>For purposes of the Agreement, Trade Secrets include, without limitation, the following: all of the Company’s or Affiliate’s research, technical and business information, whether patentable or not, which is of a confidential, trade secret or proprietary character, and which is either developed by the Executive alone, or with others or by others; all non-public information that the Company or an Affiliate has marked as confidential or has otherwise described to Executive (either in writing or orally) as confidential; all non-public information concerning the Company’s or Affiliate’s products, services, prospective products or services, research, prospects, leases, designs, prices, costs, marketing plans, marketing techniques, studies, customers, investors, suppliers and contracts; all business records and plans; all personnel files; all financial information of or concerning the Company or an Affiliate; all information relating to the Company’s operating system software, application software, software and system methodology, hardware platforms, technical information, inventions, computer programs and listings, source codes, object codes, copyrights and other intellectual property; all technical specifications; any proprietary information belonging to the Company or an Affiliate; all computer hardware or software manuals of the Company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61"/>
              <w:spacing w:after="0"/>
              <w:rPr>
                <w:sz w:val="20"/>
                <w:szCs w:val="20"/>
                <w:color w:val="auto"/>
              </w:rPr>
            </w:pPr>
            <w:r>
              <w:rPr>
                <w:rFonts w:ascii="Arial" w:cs="Arial" w:eastAsia="Arial" w:hAnsi="Arial"/>
                <w:sz w:val="16"/>
                <w:szCs w:val="16"/>
                <w:color w:val="FFFFFF"/>
              </w:rPr>
              <w:t>9</w:t>
            </w:r>
          </w:p>
        </w:tc>
      </w:tr>
    </w:tbl>
    <w:p>
      <w:pPr>
        <w:sectPr>
          <w:pgSz w:w="11900" w:h="16838" w:orient="portrait"/>
          <w:cols w:equalWidth="0" w:num="1">
            <w:col w:w="11240"/>
          </w:cols>
          <w:pgMar w:left="320" w:top="108"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an Affiliate; all Company or Affiliate training or instruction manuals; all Company or Affiliate electronic data; and all computer system passwords and user codes.</w:t>
      </w:r>
    </w:p>
    <w:p>
      <w:pPr>
        <w:spacing w:after="0" w:line="149" w:lineRule="exact"/>
        <w:rPr>
          <w:sz w:val="20"/>
          <w:szCs w:val="20"/>
          <w:color w:val="auto"/>
        </w:rPr>
      </w:pPr>
    </w:p>
    <w:p>
      <w:pPr>
        <w:jc w:val="both"/>
        <w:ind w:firstLine="5"/>
        <w:spacing w:after="0" w:line="219" w:lineRule="auto"/>
        <w:tabs>
          <w:tab w:leader="none" w:pos="62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Duty to Return Company Documents and Property</w:t>
      </w:r>
      <w:r>
        <w:rPr>
          <w:rFonts w:ascii="Arial" w:cs="Arial" w:eastAsia="Arial" w:hAnsi="Arial"/>
          <w:sz w:val="21"/>
          <w:szCs w:val="21"/>
          <w:color w:val="auto"/>
        </w:rPr>
        <w:t>. Upon the Termination Date, Executive shall immediately return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to the Company any and all papers, books, records, documents, memoranda and manuals, e-mail, electronic or magnetic recordings or data, including all copies thereof, belonging to the Company or relating to its business, in Executive’s possession, whether prepared by Executive or others. If at any time after the Termination Date, Executive determines that Executive has any Trade Secrets in Executive’s possession or control, Executive shall immediately return them to the Company, including all copies thereof.</w:t>
      </w:r>
    </w:p>
    <w:p>
      <w:pPr>
        <w:spacing w:after="0" w:line="151" w:lineRule="exact"/>
        <w:rPr>
          <w:rFonts w:ascii="Arial" w:cs="Arial" w:eastAsia="Arial" w:hAnsi="Arial"/>
          <w:sz w:val="21"/>
          <w:szCs w:val="21"/>
          <w:b w:val="1"/>
          <w:bCs w:val="1"/>
          <w:color w:val="auto"/>
        </w:rPr>
      </w:pPr>
    </w:p>
    <w:p>
      <w:pPr>
        <w:jc w:val="both"/>
        <w:ind w:firstLine="5"/>
        <w:spacing w:after="0" w:line="232" w:lineRule="auto"/>
        <w:tabs>
          <w:tab w:leader="none" w:pos="632"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Best Efforts and Disclosure</w:t>
      </w:r>
      <w:r>
        <w:rPr>
          <w:rFonts w:ascii="Arial" w:cs="Arial" w:eastAsia="Arial" w:hAnsi="Arial"/>
          <w:sz w:val="20"/>
          <w:szCs w:val="20"/>
          <w:color w:val="auto"/>
        </w:rPr>
        <w:t>. Executive agrees that, while employed with the Company under this Agreement,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shall be devoted on a full time basis to the Company’s business, and Executive shall use best efforts to promote its success. Further, Executive shall promptly disclose to the Company all ideas, inventions, computer programs, and discoveries, whether or not patentable or copyrightable, which Executive may conceive or make, alone or with others, during Executive’s period of Employment, whether or not during working hours, and which directly or indirectly:</w:t>
      </w:r>
    </w:p>
    <w:p>
      <w:pPr>
        <w:spacing w:after="0" w:line="157" w:lineRule="exact"/>
        <w:rPr>
          <w:rFonts w:ascii="Arial" w:cs="Arial" w:eastAsia="Arial" w:hAnsi="Arial"/>
          <w:sz w:val="20"/>
          <w:szCs w:val="20"/>
          <w:b w:val="1"/>
          <w:bCs w:val="1"/>
          <w:color w:val="auto"/>
        </w:rPr>
      </w:pPr>
    </w:p>
    <w:p>
      <w:pPr>
        <w:ind w:left="1260" w:hanging="623"/>
        <w:spacing w:after="0" w:line="237" w:lineRule="auto"/>
        <w:tabs>
          <w:tab w:leader="none" w:pos="1257" w:val="left"/>
        </w:tabs>
        <w:numPr>
          <w:ilvl w:val="1"/>
          <w:numId w:val="93"/>
        </w:numPr>
        <w:rPr>
          <w:rFonts w:ascii="Arial" w:cs="Arial" w:eastAsia="Arial" w:hAnsi="Arial"/>
          <w:sz w:val="21"/>
          <w:szCs w:val="21"/>
          <w:color w:val="auto"/>
        </w:rPr>
      </w:pPr>
      <w:r>
        <w:rPr>
          <w:rFonts w:ascii="Arial" w:cs="Arial" w:eastAsia="Arial" w:hAnsi="Arial"/>
          <w:sz w:val="21"/>
          <w:szCs w:val="21"/>
          <w:color w:val="auto"/>
        </w:rPr>
        <w:t>relate to a matter within the scope, field, duties or responsibility of Executive’s Employment or within the scope or field of the Company’s or an Affiliate’s business; or</w:t>
      </w:r>
    </w:p>
    <w:p>
      <w:pPr>
        <w:spacing w:after="0" w:line="154" w:lineRule="exact"/>
        <w:rPr>
          <w:rFonts w:ascii="Arial" w:cs="Arial" w:eastAsia="Arial" w:hAnsi="Arial"/>
          <w:sz w:val="21"/>
          <w:szCs w:val="21"/>
          <w:color w:val="auto"/>
        </w:rPr>
      </w:pPr>
    </w:p>
    <w:p>
      <w:pPr>
        <w:ind w:left="1260" w:hanging="623"/>
        <w:spacing w:after="0"/>
        <w:tabs>
          <w:tab w:leader="none" w:pos="1260" w:val="left"/>
        </w:tabs>
        <w:numPr>
          <w:ilvl w:val="1"/>
          <w:numId w:val="93"/>
        </w:numPr>
        <w:rPr>
          <w:rFonts w:ascii="Arial" w:cs="Arial" w:eastAsia="Arial" w:hAnsi="Arial"/>
          <w:sz w:val="21"/>
          <w:szCs w:val="21"/>
          <w:color w:val="auto"/>
        </w:rPr>
      </w:pPr>
      <w:r>
        <w:rPr>
          <w:rFonts w:ascii="Arial" w:cs="Arial" w:eastAsia="Arial" w:hAnsi="Arial"/>
          <w:sz w:val="21"/>
          <w:szCs w:val="21"/>
          <w:color w:val="auto"/>
        </w:rPr>
        <w:t>are based on any knowledge of the actual or anticipated business or interests of the Company; or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93"/>
        </w:numPr>
        <w:rPr>
          <w:rFonts w:ascii="Arial" w:cs="Arial" w:eastAsia="Arial" w:hAnsi="Arial"/>
          <w:sz w:val="21"/>
          <w:szCs w:val="21"/>
          <w:color w:val="auto"/>
        </w:rPr>
      </w:pPr>
      <w:r>
        <w:rPr>
          <w:rFonts w:ascii="Arial" w:cs="Arial" w:eastAsia="Arial" w:hAnsi="Arial"/>
          <w:sz w:val="21"/>
          <w:szCs w:val="21"/>
          <w:color w:val="auto"/>
        </w:rPr>
        <w:t>are aided by the use of time, materials, facilities or information of the Company or an Affiliate.</w:t>
      </w:r>
    </w:p>
    <w:p>
      <w:pPr>
        <w:spacing w:after="0" w:line="180" w:lineRule="exact"/>
        <w:rPr>
          <w:sz w:val="20"/>
          <w:szCs w:val="20"/>
          <w:color w:val="auto"/>
        </w:rPr>
      </w:pPr>
    </w:p>
    <w:p>
      <w:pPr>
        <w:ind w:firstLine="632"/>
        <w:spacing w:after="0" w:line="237" w:lineRule="auto"/>
        <w:rPr>
          <w:sz w:val="20"/>
          <w:szCs w:val="20"/>
          <w:color w:val="auto"/>
        </w:rPr>
      </w:pPr>
      <w:r>
        <w:rPr>
          <w:rFonts w:ascii="Arial" w:cs="Arial" w:eastAsia="Arial" w:hAnsi="Arial"/>
          <w:sz w:val="21"/>
          <w:szCs w:val="21"/>
          <w:color w:val="auto"/>
        </w:rPr>
        <w:t>Executive assigns to the Company, without further compensation, any and all rights, titles and interest in all such ideas, inventions, computer programs and discoveries in all countries of the world.</w:t>
      </w:r>
    </w:p>
    <w:p>
      <w:pPr>
        <w:spacing w:after="0" w:line="149" w:lineRule="exact"/>
        <w:rPr>
          <w:sz w:val="20"/>
          <w:szCs w:val="20"/>
          <w:color w:val="auto"/>
        </w:rPr>
      </w:pPr>
    </w:p>
    <w:p>
      <w:pPr>
        <w:jc w:val="both"/>
        <w:ind w:firstLine="5"/>
        <w:spacing w:after="0" w:line="236" w:lineRule="auto"/>
        <w:tabs>
          <w:tab w:leader="none" w:pos="632"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Inventions and Other Works</w:t>
      </w:r>
      <w:r>
        <w:rPr>
          <w:rFonts w:ascii="Arial" w:cs="Arial" w:eastAsia="Arial" w:hAnsi="Arial"/>
          <w:sz w:val="19"/>
          <w:szCs w:val="19"/>
          <w:color w:val="auto"/>
        </w:rPr>
        <w:t>. Any and all writings, computer software, inventions, improvements, processes,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and/or techniques which Executive may make, conceive, discover, or develop, either solely or jointly with any other person or persons, at any time during Executive’s period of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agrees to take any and all actions necessary or appropriate so that the Company can prepare and present applications for copyright or letters patent therefor, and secure such copyright or letters patent wherever possible, as well as reissue renewals, and extensions thereof, and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w:t>
      </w:r>
    </w:p>
    <w:p>
      <w:pPr>
        <w:spacing w:after="0" w:line="154" w:lineRule="exact"/>
        <w:rPr>
          <w:rFonts w:ascii="Arial" w:cs="Arial" w:eastAsia="Arial" w:hAnsi="Arial"/>
          <w:sz w:val="19"/>
          <w:szCs w:val="19"/>
          <w:b w:val="1"/>
          <w:bCs w:val="1"/>
          <w:color w:val="auto"/>
        </w:rPr>
      </w:pPr>
    </w:p>
    <w:p>
      <w:pPr>
        <w:jc w:val="both"/>
        <w:ind w:firstLine="5"/>
        <w:spacing w:after="0" w:line="221" w:lineRule="auto"/>
        <w:tabs>
          <w:tab w:leader="none" w:pos="632" w:val="left"/>
        </w:tabs>
        <w:numPr>
          <w:ilvl w:val="0"/>
          <w:numId w:val="94"/>
        </w:numPr>
        <w:rPr>
          <w:rFonts w:ascii="Arial" w:cs="Arial" w:eastAsia="Arial" w:hAnsi="Arial"/>
          <w:sz w:val="21"/>
          <w:szCs w:val="21"/>
          <w:color w:val="auto"/>
        </w:rPr>
      </w:pPr>
      <w:r>
        <w:rPr>
          <w:rFonts w:ascii="Arial" w:cs="Arial" w:eastAsia="Arial" w:hAnsi="Arial"/>
          <w:sz w:val="21"/>
          <w:szCs w:val="21"/>
          <w:b w:val="1"/>
          <w:bCs w:val="1"/>
          <w:u w:val="single" w:color="auto"/>
          <w:color w:val="auto"/>
        </w:rPr>
        <w:t>Non-Solicitation Restriction</w:t>
      </w:r>
      <w:r>
        <w:rPr>
          <w:rFonts w:ascii="Arial" w:cs="Arial" w:eastAsia="Arial" w:hAnsi="Arial"/>
          <w:sz w:val="21"/>
          <w:szCs w:val="21"/>
          <w:color w:val="auto"/>
        </w:rPr>
        <w:t>. Executive hereby agrees that in order to protect Trade Secrets, it is necessary to enter into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following restrictive covenant, which is ancillary to the enforceable promises between the Company and Executive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47">
        <w:r>
          <w:rPr>
            <w:rFonts w:ascii="Arial" w:cs="Arial" w:eastAsia="Arial" w:hAnsi="Arial"/>
            <w:sz w:val="21"/>
            <w:szCs w:val="21"/>
            <w:color w:val="0000FF"/>
          </w:rPr>
          <w:t>9</w:t>
        </w:r>
      </w:hyperlink>
      <w:r>
        <w:rPr>
          <w:rFonts w:ascii="Arial" w:cs="Arial" w:eastAsia="Arial" w:hAnsi="Arial"/>
          <w:sz w:val="21"/>
          <w:szCs w:val="21"/>
          <w:color w:val="auto"/>
        </w:rPr>
        <w:t xml:space="preserve"> through </w:t>
      </w:r>
      <w:hyperlink w:anchor="page147">
        <w:r>
          <w:rPr>
            <w:rFonts w:ascii="Arial" w:cs="Arial" w:eastAsia="Arial" w:hAnsi="Arial"/>
            <w:sz w:val="21"/>
            <w:szCs w:val="21"/>
            <w:color w:val="0000FF"/>
          </w:rPr>
          <w:t>13</w:t>
        </w:r>
        <w:r>
          <w:rPr>
            <w:rFonts w:ascii="Arial" w:cs="Arial" w:eastAsia="Arial" w:hAnsi="Arial"/>
            <w:sz w:val="21"/>
            <w:szCs w:val="21"/>
            <w:color w:val="auto"/>
          </w:rPr>
          <w:t xml:space="preserve"> </w:t>
        </w:r>
      </w:hyperlink>
      <w:r>
        <w:rPr>
          <w:rFonts w:ascii="Arial" w:cs="Arial" w:eastAsia="Arial" w:hAnsi="Arial"/>
          <w:sz w:val="21"/>
          <w:szCs w:val="21"/>
          <w:color w:val="auto"/>
        </w:rPr>
        <w:t>and other provisions of this Agreement. During the Executive’s Employment and for a period of two (2) years following the Termination Date (regardless of the reason for termination), Executive hereby covenants and agrees that he will not, directly or indirectly, without obtaining the express written consent of the Board,</w:t>
      </w:r>
    </w:p>
    <w:p>
      <w:pPr>
        <w:spacing w:after="0" w:line="20" w:lineRule="exact"/>
        <w:rPr>
          <w:rFonts w:ascii="Arial" w:cs="Arial" w:eastAsia="Arial" w:hAnsi="Arial"/>
          <w:sz w:val="21"/>
          <w:szCs w:val="21"/>
          <w:b w:val="1"/>
          <w:bCs w:val="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column">
              <wp:posOffset>7021195</wp:posOffset>
            </wp:positionH>
            <wp:positionV relativeFrom="paragraph">
              <wp:posOffset>-429260</wp:posOffset>
            </wp:positionV>
            <wp:extent cx="1168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-295275</wp:posOffset>
            </wp:positionV>
            <wp:extent cx="2006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200" w:lineRule="exact"/>
        <w:rPr>
          <w:rFonts w:ascii="Arial" w:cs="Arial" w:eastAsia="Arial" w:hAnsi="Arial"/>
          <w:sz w:val="21"/>
          <w:szCs w:val="21"/>
          <w:b w:val="1"/>
          <w:bCs w:val="1"/>
          <w:color w:val="auto"/>
        </w:rPr>
      </w:pPr>
    </w:p>
    <w:p>
      <w:pPr>
        <w:spacing w:after="0" w:line="380" w:lineRule="exact"/>
        <w:rPr>
          <w:rFonts w:ascii="Arial" w:cs="Arial" w:eastAsia="Arial" w:hAnsi="Arial"/>
          <w:sz w:val="21"/>
          <w:szCs w:val="21"/>
          <w:b w:val="1"/>
          <w:bCs w:val="1"/>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10</w:t>
            </w:r>
          </w:p>
        </w:tc>
      </w:tr>
    </w:tbl>
    <w:p>
      <w:pPr>
        <w:sectPr>
          <w:pgSz w:w="11900" w:h="16838" w:orient="portrait"/>
          <w:cols w:equalWidth="0" w:num="1">
            <w:col w:w="11240"/>
          </w:cols>
          <w:pgMar w:left="320" w:top="108"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either individually or as a principal, partner, agent, consultant, contractor, employee, or as a director or officer of any entity, or in any other manner or capacity whatsoever, except on behalf of the Company, solicit business, attempt to solicit business, or conduct business, in products or services competitive with any products or services offered or performed by the Company or its Affiliates as of the Termination Date within the Restricted Territory.</w:t>
      </w:r>
    </w:p>
    <w:p>
      <w:pPr>
        <w:spacing w:after="0" w:line="149" w:lineRule="exact"/>
        <w:rPr>
          <w:sz w:val="20"/>
          <w:szCs w:val="20"/>
          <w:color w:val="auto"/>
        </w:rPr>
      </w:pPr>
    </w:p>
    <w:p>
      <w:pPr>
        <w:jc w:val="both"/>
        <w:ind w:firstLine="5"/>
        <w:spacing w:after="0" w:line="237" w:lineRule="auto"/>
        <w:tabs>
          <w:tab w:leader="none" w:pos="632" w:val="left"/>
        </w:tabs>
        <w:numPr>
          <w:ilvl w:val="0"/>
          <w:numId w:val="95"/>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Restriction</w:t>
      </w:r>
      <w:r>
        <w:rPr>
          <w:rFonts w:ascii="Arial" w:cs="Arial" w:eastAsia="Arial" w:hAnsi="Arial"/>
          <w:sz w:val="19"/>
          <w:szCs w:val="19"/>
          <w:color w:val="auto"/>
        </w:rPr>
        <w:t>. Executive hereby agrees that in order to protect Trade Secrets, it is necessary to enter into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restrictive covenant, which is ancillary to the enforceable promises between the Company and Executive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hyperlink w:anchor="page147">
        <w:r>
          <w:rPr>
            <w:rFonts w:ascii="Arial" w:cs="Arial" w:eastAsia="Arial" w:hAnsi="Arial"/>
            <w:sz w:val="19"/>
            <w:szCs w:val="19"/>
            <w:color w:val="0000FF"/>
          </w:rPr>
          <w:t>9</w:t>
        </w:r>
      </w:hyperlink>
      <w:r>
        <w:rPr>
          <w:rFonts w:ascii="Arial" w:cs="Arial" w:eastAsia="Arial" w:hAnsi="Arial"/>
          <w:sz w:val="19"/>
          <w:szCs w:val="19"/>
          <w:color w:val="auto"/>
        </w:rPr>
        <w:t xml:space="preserve"> through </w:t>
      </w:r>
      <w:hyperlink w:anchor="page147">
        <w:r>
          <w:rPr>
            <w:rFonts w:ascii="Arial" w:cs="Arial" w:eastAsia="Arial" w:hAnsi="Arial"/>
            <w:sz w:val="19"/>
            <w:szCs w:val="19"/>
            <w:color w:val="0000FF"/>
          </w:rPr>
          <w:t>14</w:t>
        </w:r>
        <w:r>
          <w:rPr>
            <w:rFonts w:ascii="Arial" w:cs="Arial" w:eastAsia="Arial" w:hAnsi="Arial"/>
            <w:sz w:val="19"/>
            <w:szCs w:val="19"/>
            <w:color w:val="auto"/>
          </w:rPr>
          <w:t xml:space="preserve"> </w:t>
        </w:r>
      </w:hyperlink>
      <w:r>
        <w:rPr>
          <w:rFonts w:ascii="Arial" w:cs="Arial" w:eastAsia="Arial" w:hAnsi="Arial"/>
          <w:sz w:val="19"/>
          <w:szCs w:val="19"/>
          <w:color w:val="auto"/>
        </w:rPr>
        <w:t xml:space="preserve">and other provisions of this Agreement. Executive hereby covenants and agrees that during Executive’s period of Employment, and for a period of two (2) years following the Termination Date (regardless of the reason for termination), Executive will not, without obtaining the express written consent of the Company, engage in any capacity, directly or indirectly (whether as proprietor, stockholder, director, partner, employee, agent, independent contractor, consultant, trustee, or in any other capacity), with respect to any entity which is or may be in the funeral, mortuary, crematory, cemetery or burial insurance business or in any business related thereto (a) as part of any of the companies or entities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or (b) within the Restricted Territory (in each case, a “</w:t>
      </w:r>
      <w:r>
        <w:rPr>
          <w:rFonts w:ascii="Arial" w:cs="Arial" w:eastAsia="Arial" w:hAnsi="Arial"/>
          <w:sz w:val="19"/>
          <w:szCs w:val="19"/>
          <w:u w:val="single" w:color="auto"/>
          <w:color w:val="auto"/>
        </w:rPr>
        <w:t>Competing Enterprise</w:t>
      </w:r>
      <w:r>
        <w:rPr>
          <w:rFonts w:ascii="Arial" w:cs="Arial" w:eastAsia="Arial" w:hAnsi="Arial"/>
          <w:sz w:val="19"/>
          <w:szCs w:val="19"/>
          <w:color w:val="auto"/>
        </w:rPr>
        <w:t>”); provided, however, Executive shall not be deemed to be participating or engaging in a Competing Enterprise solely by virtue of the ownership of not more than one percent (1%) of any class of stock or other securities which are publicly traded on a national securities exchange or in a recognized over-the-counter market.</w:t>
      </w:r>
    </w:p>
    <w:p>
      <w:pPr>
        <w:spacing w:after="0" w:line="153" w:lineRule="exact"/>
        <w:rPr>
          <w:rFonts w:ascii="Arial" w:cs="Arial" w:eastAsia="Arial" w:hAnsi="Arial"/>
          <w:sz w:val="19"/>
          <w:szCs w:val="19"/>
          <w:color w:val="auto"/>
        </w:rPr>
      </w:pPr>
    </w:p>
    <w:p>
      <w:pPr>
        <w:jc w:val="both"/>
        <w:ind w:firstLine="5"/>
        <w:spacing w:after="0" w:line="227" w:lineRule="auto"/>
        <w:tabs>
          <w:tab w:leader="none" w:pos="632"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Recruitment Restriction</w:t>
      </w:r>
      <w:r>
        <w:rPr>
          <w:rFonts w:ascii="Arial" w:cs="Arial" w:eastAsia="Arial" w:hAnsi="Arial"/>
          <w:sz w:val="20"/>
          <w:szCs w:val="20"/>
          <w:color w:val="auto"/>
        </w:rPr>
        <w:t>. Executive agrees that during Executive’s period of employment with the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for a period of two (2) years following the Termination Date (regardless of the reason for termination), without obtaining the express written consent of the Company, Executive shall not, either directly or indirectly, or by acting in concert with another person or entity, (a) hire any employee or independent contractor performing services for the Company or any Affiliate, or any such individual who performed services for the Company or any Affiliate at any time during the one-year period ending on the Termination Date, or (b) solicit or influence or seek to solicit or influence, any employee or independent contractor performing services for the Company or any Affiliate, or any such individual who performed services for the Company or any Affiliate at any time during the one-year period ending on the Termination Date, to terminate, reduce or otherwise adversely affect such individual’s employment or other relationship with the Company or any Affiliate.</w:t>
      </w:r>
    </w:p>
    <w:p>
      <w:pPr>
        <w:spacing w:after="0" w:line="147" w:lineRule="exact"/>
        <w:rPr>
          <w:rFonts w:ascii="Arial" w:cs="Arial" w:eastAsia="Arial" w:hAnsi="Arial"/>
          <w:sz w:val="20"/>
          <w:szCs w:val="20"/>
          <w:b w:val="1"/>
          <w:bCs w:val="1"/>
          <w:color w:val="auto"/>
        </w:rPr>
      </w:pPr>
    </w:p>
    <w:p>
      <w:pPr>
        <w:jc w:val="both"/>
        <w:ind w:firstLine="5"/>
        <w:spacing w:after="0" w:line="224" w:lineRule="auto"/>
        <w:tabs>
          <w:tab w:leader="none" w:pos="632"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Tolling</w:t>
      </w:r>
      <w:r>
        <w:rPr>
          <w:rFonts w:ascii="Arial" w:cs="Arial" w:eastAsia="Arial" w:hAnsi="Arial"/>
          <w:sz w:val="21"/>
          <w:szCs w:val="21"/>
          <w:color w:val="auto"/>
        </w:rPr>
        <w:t>. If Executive violates any of the restrictions contained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w:t>
      </w:r>
      <w:r>
        <w:rPr>
          <w:rFonts w:ascii="Arial" w:cs="Arial" w:eastAsia="Arial" w:hAnsi="Arial"/>
          <w:sz w:val="21"/>
          <w:szCs w:val="21"/>
          <w:b w:val="1"/>
          <w:bCs w:val="1"/>
          <w:color w:val="auto"/>
        </w:rPr>
        <w:t xml:space="preserve"> </w:t>
      </w:r>
      <w:hyperlink w:anchor="page147">
        <w:r>
          <w:rPr>
            <w:rFonts w:ascii="Arial" w:cs="Arial" w:eastAsia="Arial" w:hAnsi="Arial"/>
            <w:sz w:val="21"/>
            <w:szCs w:val="21"/>
            <w:color w:val="0000FF"/>
          </w:rPr>
          <w:t>9</w:t>
        </w:r>
        <w:r>
          <w:rPr>
            <w:rFonts w:ascii="Arial" w:cs="Arial" w:eastAsia="Arial" w:hAnsi="Arial"/>
            <w:sz w:val="21"/>
            <w:szCs w:val="21"/>
            <w:b w:val="1"/>
            <w:bCs w:val="1"/>
            <w:color w:val="auto"/>
          </w:rPr>
          <w:t xml:space="preserve"> </w:t>
        </w:r>
      </w:hyperlink>
      <w:r>
        <w:rPr>
          <w:rFonts w:ascii="Arial" w:cs="Arial" w:eastAsia="Arial" w:hAnsi="Arial"/>
          <w:sz w:val="21"/>
          <w:szCs w:val="21"/>
          <w:color w:val="auto"/>
        </w:rPr>
        <w:t>through</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16</w:t>
      </w:r>
      <w:r>
        <w:rPr>
          <w:rFonts w:ascii="Arial" w:cs="Arial" w:eastAsia="Arial" w:hAnsi="Arial"/>
          <w:sz w:val="21"/>
          <w:szCs w:val="21"/>
          <w:color w:val="auto"/>
        </w:rPr>
        <w:t>, then notwithstanding any provision</w:t>
      </w:r>
      <w:r>
        <w:rPr>
          <w:rFonts w:ascii="Arial" w:cs="Arial" w:eastAsia="Arial" w:hAnsi="Arial"/>
          <w:sz w:val="21"/>
          <w:szCs w:val="21"/>
          <w:b w:val="1"/>
          <w:bCs w:val="1"/>
          <w:color w:val="auto"/>
        </w:rPr>
        <w:t xml:space="preserve"> </w:t>
      </w:r>
      <w:r>
        <w:rPr>
          <w:rFonts w:ascii="Arial" w:cs="Arial" w:eastAsia="Arial" w:hAnsi="Arial"/>
          <w:sz w:val="21"/>
          <w:szCs w:val="21"/>
          <w:color w:val="auto"/>
        </w:rPr>
        <w:t>hereof to the contrary, the restrictive period will be suspended and will not run in favor of Executive from the time of the commencement of any such violation, unless and until such time when the Executive cures the violation to the reasonable satisfaction of the Company.</w:t>
      </w:r>
    </w:p>
    <w:p>
      <w:pPr>
        <w:spacing w:after="0" w:line="151" w:lineRule="exact"/>
        <w:rPr>
          <w:rFonts w:ascii="Arial" w:cs="Arial" w:eastAsia="Arial" w:hAnsi="Arial"/>
          <w:sz w:val="21"/>
          <w:szCs w:val="21"/>
          <w:b w:val="1"/>
          <w:bCs w:val="1"/>
          <w:color w:val="auto"/>
        </w:rPr>
      </w:pPr>
    </w:p>
    <w:p>
      <w:pPr>
        <w:jc w:val="both"/>
        <w:ind w:firstLine="5"/>
        <w:spacing w:after="0" w:line="224" w:lineRule="auto"/>
        <w:tabs>
          <w:tab w:leader="none" w:pos="632"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Reformation</w:t>
      </w:r>
      <w:r>
        <w:rPr>
          <w:rFonts w:ascii="Arial" w:cs="Arial" w:eastAsia="Arial" w:hAnsi="Arial"/>
          <w:sz w:val="21"/>
          <w:szCs w:val="21"/>
          <w:color w:val="auto"/>
        </w:rPr>
        <w:t>. If a court or arbitrator rules that any time period or the geographic area specified in any restrictive covenant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hyperlink w:anchor="page147">
        <w:r>
          <w:rPr>
            <w:rFonts w:ascii="Arial" w:cs="Arial" w:eastAsia="Arial" w:hAnsi="Arial"/>
            <w:sz w:val="21"/>
            <w:szCs w:val="21"/>
            <w:color w:val="0000FF"/>
          </w:rPr>
          <w:t>9</w:t>
        </w:r>
        <w:r>
          <w:rPr>
            <w:rFonts w:ascii="Arial" w:cs="Arial" w:eastAsia="Arial" w:hAnsi="Arial"/>
            <w:sz w:val="21"/>
            <w:szCs w:val="21"/>
            <w:color w:val="auto"/>
          </w:rPr>
          <w:t xml:space="preserve"> </w:t>
        </w:r>
      </w:hyperlink>
      <w:r>
        <w:rPr>
          <w:rFonts w:ascii="Arial" w:cs="Arial" w:eastAsia="Arial" w:hAnsi="Arial"/>
          <w:sz w:val="21"/>
          <w:szCs w:val="21"/>
          <w:color w:val="auto"/>
        </w:rPr>
        <w:t xml:space="preserve">through </w:t>
      </w:r>
      <w:r>
        <w:rPr>
          <w:rFonts w:ascii="Arial" w:cs="Arial" w:eastAsia="Arial" w:hAnsi="Arial"/>
          <w:sz w:val="21"/>
          <w:szCs w:val="21"/>
          <w:u w:val="single" w:color="auto"/>
          <w:color w:val="auto"/>
        </w:rPr>
        <w:t>16</w:t>
      </w:r>
      <w:r>
        <w:rPr>
          <w:rFonts w:ascii="Arial" w:cs="Arial" w:eastAsia="Arial" w:hAnsi="Arial"/>
          <w:sz w:val="21"/>
          <w:szCs w:val="21"/>
          <w:color w:val="auto"/>
        </w:rPr>
        <w:t xml:space="preserve"> is unenforceable, then the time period will be reduced by the number of months, or the geographic area will be reduced by the elimination of such unenforceable portion, or both, so that the restrictions may be enforced in the geographic area and for the time to the full extent permitted by law.</w:t>
      </w:r>
    </w:p>
    <w:p>
      <w:pPr>
        <w:spacing w:after="0" w:line="151" w:lineRule="exact"/>
        <w:rPr>
          <w:rFonts w:ascii="Arial" w:cs="Arial" w:eastAsia="Arial" w:hAnsi="Arial"/>
          <w:sz w:val="21"/>
          <w:szCs w:val="21"/>
          <w:color w:val="auto"/>
        </w:rPr>
      </w:pPr>
    </w:p>
    <w:p>
      <w:pPr>
        <w:jc w:val="both"/>
        <w:ind w:firstLine="5"/>
        <w:spacing w:after="0" w:line="241" w:lineRule="auto"/>
        <w:tabs>
          <w:tab w:leader="none" w:pos="632"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Previous Restrictive Agreements</w:t>
      </w:r>
      <w:r>
        <w:rPr>
          <w:rFonts w:ascii="Arial" w:cs="Arial" w:eastAsia="Arial" w:hAnsi="Arial"/>
          <w:sz w:val="19"/>
          <w:szCs w:val="19"/>
          <w:color w:val="auto"/>
        </w:rPr>
        <w:t>. Executive represents that, except as disclosed in writing to the Company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Executive is not bound by the terms of any agreement with any previous employer or other third party to (a) refrain from using or disclosing any confidential or proprietary information in the course of Executive’s Employment or (b) refrain from competing, directly or indirectly, with the business of such previous employer or any other person or entity. Executive further represents that Executive’s performance under this Agreement and work duties for the Company do not, and will not, breach any agreement to keep in confidence any proprietary information, knowledge or data acquired by Executive in confidence or in trust prior to Executive’s Employment, and Executive will not disclose to the Company or induce the Company to</w:t>
      </w:r>
    </w:p>
    <w:p>
      <w:pPr>
        <w:spacing w:after="0" w:line="20" w:lineRule="exact"/>
        <w:rPr>
          <w:rFonts w:ascii="Arial" w:cs="Arial" w:eastAsia="Arial" w:hAnsi="Arial"/>
          <w:sz w:val="21"/>
          <w:szCs w:val="21"/>
          <w:b w:val="1"/>
          <w:bCs w:val="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column">
              <wp:posOffset>7021195</wp:posOffset>
            </wp:positionH>
            <wp:positionV relativeFrom="paragraph">
              <wp:posOffset>-4976495</wp:posOffset>
            </wp:positionV>
            <wp:extent cx="1168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116840" cy="825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-4842510</wp:posOffset>
            </wp:positionV>
            <wp:extent cx="2508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250825"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-2168525</wp:posOffset>
            </wp:positionV>
            <wp:extent cx="142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14224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-1366520</wp:posOffset>
            </wp:positionV>
            <wp:extent cx="1339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200" w:lineRule="exact"/>
        <w:rPr>
          <w:rFonts w:ascii="Arial" w:cs="Arial" w:eastAsia="Arial" w:hAnsi="Arial"/>
          <w:sz w:val="21"/>
          <w:szCs w:val="21"/>
          <w:b w:val="1"/>
          <w:bCs w:val="1"/>
          <w:color w:val="auto"/>
        </w:rPr>
      </w:pPr>
    </w:p>
    <w:p>
      <w:pPr>
        <w:spacing w:after="0" w:line="377" w:lineRule="exact"/>
        <w:rPr>
          <w:rFonts w:ascii="Arial" w:cs="Arial" w:eastAsia="Arial" w:hAnsi="Arial"/>
          <w:sz w:val="21"/>
          <w:szCs w:val="21"/>
          <w:b w:val="1"/>
          <w:bCs w:val="1"/>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41"/>
              <w:spacing w:after="0"/>
              <w:rPr>
                <w:sz w:val="20"/>
                <w:szCs w:val="20"/>
                <w:color w:val="auto"/>
              </w:rPr>
            </w:pPr>
            <w:r>
              <w:rPr>
                <w:rFonts w:ascii="Arial" w:cs="Arial" w:eastAsia="Arial" w:hAnsi="Arial"/>
                <w:sz w:val="16"/>
                <w:szCs w:val="16"/>
                <w:color w:val="FFFFFF"/>
              </w:rPr>
              <w:t>11</w:t>
            </w:r>
          </w:p>
        </w:tc>
      </w:tr>
    </w:tbl>
    <w:p>
      <w:pPr>
        <w:sectPr>
          <w:pgSz w:w="11900" w:h="16838" w:orient="portrait"/>
          <w:cols w:equalWidth="0" w:num="1">
            <w:col w:w="11240"/>
          </w:cols>
          <w:pgMar w:left="320" w:top="10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color w:val="auto"/>
        </w:rPr>
        <w:t>use any confidential or proprietary information or material belonging to any previous employer or others.</w:t>
      </w:r>
    </w:p>
    <w:p>
      <w:pPr>
        <w:spacing w:after="0" w:line="174" w:lineRule="exact"/>
        <w:rPr>
          <w:sz w:val="20"/>
          <w:szCs w:val="20"/>
          <w:color w:val="auto"/>
        </w:rPr>
      </w:pPr>
    </w:p>
    <w:p>
      <w:pPr>
        <w:jc w:val="both"/>
        <w:ind w:firstLine="5"/>
        <w:spacing w:after="0" w:line="219" w:lineRule="auto"/>
        <w:tabs>
          <w:tab w:leader="none" w:pos="632"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of Interest</w:t>
      </w:r>
      <w:r>
        <w:rPr>
          <w:rFonts w:ascii="Arial" w:cs="Arial" w:eastAsia="Arial" w:hAnsi="Arial"/>
          <w:sz w:val="21"/>
          <w:szCs w:val="21"/>
          <w:color w:val="auto"/>
        </w:rPr>
        <w:t>. In keeping with Executive’s fiduciary duties to the Company, Executive hereby agrees that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become involved in a conflict of interest, or upon discovery thereof, allow such a conflict to continue at any time during Executive’s period of Employment. In this respect, Executive agrees to fully comply with the conflict of interest agreement entered into by Executive as an employee, officer or director of the Company or an Affiliate. In the instance of a violation of the conflict of interest agreement to which Executive is a party, it may be necessary for the Company to terminate Executive’s Employment for Cause.</w:t>
      </w:r>
    </w:p>
    <w:p>
      <w:pPr>
        <w:spacing w:after="0" w:line="151" w:lineRule="exact"/>
        <w:rPr>
          <w:rFonts w:ascii="Arial" w:cs="Arial" w:eastAsia="Arial" w:hAnsi="Arial"/>
          <w:sz w:val="21"/>
          <w:szCs w:val="21"/>
          <w:b w:val="1"/>
          <w:bCs w:val="1"/>
          <w:color w:val="auto"/>
        </w:rPr>
      </w:pPr>
    </w:p>
    <w:p>
      <w:pPr>
        <w:jc w:val="both"/>
        <w:ind w:firstLine="5"/>
        <w:spacing w:after="0" w:line="225" w:lineRule="auto"/>
        <w:tabs>
          <w:tab w:leader="none" w:pos="632" w:val="left"/>
        </w:tabs>
        <w:numPr>
          <w:ilvl w:val="0"/>
          <w:numId w:val="96"/>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Executive acknowledges that the restrictions contained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w:t>
      </w:r>
      <w:r>
        <w:rPr>
          <w:rFonts w:ascii="Arial" w:cs="Arial" w:eastAsia="Arial" w:hAnsi="Arial"/>
          <w:sz w:val="20"/>
          <w:szCs w:val="20"/>
          <w:b w:val="1"/>
          <w:bCs w:val="1"/>
          <w:color w:val="auto"/>
        </w:rPr>
        <w:t xml:space="preserve"> </w:t>
      </w:r>
      <w:hyperlink w:anchor="page147">
        <w:r>
          <w:rPr>
            <w:rFonts w:ascii="Arial" w:cs="Arial" w:eastAsia="Arial" w:hAnsi="Arial"/>
            <w:sz w:val="20"/>
            <w:szCs w:val="20"/>
            <w:color w:val="0000FF"/>
          </w:rPr>
          <w:t>9</w:t>
        </w:r>
        <w:r>
          <w:rPr>
            <w:rFonts w:ascii="Arial" w:cs="Arial" w:eastAsia="Arial" w:hAnsi="Arial"/>
            <w:sz w:val="20"/>
            <w:szCs w:val="20"/>
            <w:b w:val="1"/>
            <w:bCs w:val="1"/>
            <w:color w:val="auto"/>
          </w:rPr>
          <w:t xml:space="preserve"> </w:t>
        </w:r>
      </w:hyperlink>
      <w:r>
        <w:rPr>
          <w:rFonts w:ascii="Arial" w:cs="Arial" w:eastAsia="Arial" w:hAnsi="Arial"/>
          <w:sz w:val="20"/>
          <w:szCs w:val="20"/>
          <w:color w:val="auto"/>
        </w:rPr>
        <w:t>through</w:t>
      </w:r>
      <w:r>
        <w:rPr>
          <w:rFonts w:ascii="Arial" w:cs="Arial" w:eastAsia="Arial" w:hAnsi="Arial"/>
          <w:sz w:val="20"/>
          <w:szCs w:val="20"/>
          <w:b w:val="1"/>
          <w:bCs w:val="1"/>
          <w:color w:val="auto"/>
        </w:rPr>
        <w:t xml:space="preserve"> </w:t>
      </w:r>
      <w:hyperlink w:anchor="page147">
        <w:r>
          <w:rPr>
            <w:rFonts w:ascii="Arial" w:cs="Arial" w:eastAsia="Arial" w:hAnsi="Arial"/>
            <w:sz w:val="20"/>
            <w:szCs w:val="20"/>
            <w:u w:val="single" w:color="auto"/>
            <w:color w:val="0000FF"/>
          </w:rPr>
          <w:t>20</w:t>
        </w:r>
        <w:r>
          <w:rPr>
            <w:rFonts w:ascii="Arial" w:cs="Arial" w:eastAsia="Arial" w:hAnsi="Arial"/>
            <w:sz w:val="20"/>
            <w:szCs w:val="20"/>
            <w:b w:val="1"/>
            <w:bCs w:val="1"/>
            <w:u w:val="single" w:color="auto"/>
            <w:color w:val="auto"/>
          </w:rPr>
          <w:t xml:space="preserve"> </w:t>
        </w:r>
      </w:hyperlink>
      <w:r>
        <w:rPr>
          <w:rFonts w:ascii="Arial" w:cs="Arial" w:eastAsia="Arial" w:hAnsi="Arial"/>
          <w:sz w:val="20"/>
          <w:szCs w:val="20"/>
          <w:color w:val="auto"/>
        </w:rPr>
        <w:t>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in view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nature of the Company’s business, are reasonable and necessary to protect the Company’s legitimate business interests, and that any violation of this Agreement would result in irreparable injury to the Company. In the event of a breach or a threatened breach by Executive of any provision of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hyperlink w:anchor="page147">
        <w:r>
          <w:rPr>
            <w:rFonts w:ascii="Arial" w:cs="Arial" w:eastAsia="Arial" w:hAnsi="Arial"/>
            <w:sz w:val="20"/>
            <w:szCs w:val="20"/>
            <w:color w:val="0000FF"/>
          </w:rPr>
          <w:t>9</w:t>
        </w:r>
        <w:r>
          <w:rPr>
            <w:rFonts w:ascii="Arial" w:cs="Arial" w:eastAsia="Arial" w:hAnsi="Arial"/>
            <w:sz w:val="20"/>
            <w:szCs w:val="20"/>
            <w:color w:val="auto"/>
          </w:rPr>
          <w:t xml:space="preserve"> </w:t>
        </w:r>
      </w:hyperlink>
      <w:r>
        <w:rPr>
          <w:rFonts w:ascii="Arial" w:cs="Arial" w:eastAsia="Arial" w:hAnsi="Arial"/>
          <w:sz w:val="20"/>
          <w:szCs w:val="20"/>
          <w:color w:val="auto"/>
        </w:rPr>
        <w:t xml:space="preserve">through </w:t>
      </w:r>
      <w:hyperlink w:anchor="page147">
        <w:r>
          <w:rPr>
            <w:rFonts w:ascii="Arial" w:cs="Arial" w:eastAsia="Arial" w:hAnsi="Arial"/>
            <w:sz w:val="20"/>
            <w:szCs w:val="20"/>
            <w:color w:val="0000FF"/>
          </w:rPr>
          <w:t>20</w:t>
        </w:r>
        <w:r>
          <w:rPr>
            <w:rFonts w:ascii="Arial" w:cs="Arial" w:eastAsia="Arial" w:hAnsi="Arial"/>
            <w:sz w:val="20"/>
            <w:szCs w:val="20"/>
            <w:color w:val="auto"/>
          </w:rPr>
          <w:t xml:space="preserve"> </w:t>
        </w:r>
      </w:hyperlink>
      <w:r>
        <w:rPr>
          <w:rFonts w:ascii="Arial" w:cs="Arial" w:eastAsia="Arial" w:hAnsi="Arial"/>
          <w:sz w:val="20"/>
          <w:szCs w:val="20"/>
          <w:color w:val="auto"/>
        </w:rPr>
        <w:t>of this Agreement, the Company shall be entitled to a temporary restraining order and injunctive relief restraining Executive from the commission of any breach, and to recover the Company’s attorneys’ fees, costs and expenses related to the breach or threatened breach. Nothing contained in this Agreement shall be construed as prohibiting the Company from pursuing any other remedies available to it for any such breach or threatened breach, including, without limitation, the recovery of money damages, attorneys’ fees, and costs. These covenants and agreements shall each be construed as independent of any other provisions in this Agreement, and the existence of any claim or cause of action by Executive against the Company, whether predicated on this Agreement or otherwise, shall not constitute a defense to the enforcement by the Company of such covenants and agreements.</w:t>
      </w:r>
    </w:p>
    <w:p>
      <w:pPr>
        <w:spacing w:after="0" w:line="154" w:lineRule="exact"/>
        <w:rPr>
          <w:rFonts w:ascii="Arial" w:cs="Arial" w:eastAsia="Arial" w:hAnsi="Arial"/>
          <w:sz w:val="20"/>
          <w:szCs w:val="20"/>
          <w:color w:val="auto"/>
        </w:rPr>
      </w:pPr>
    </w:p>
    <w:p>
      <w:pPr>
        <w:jc w:val="both"/>
        <w:ind w:firstLine="5"/>
        <w:spacing w:after="0" w:line="235" w:lineRule="auto"/>
        <w:tabs>
          <w:tab w:leader="none" w:pos="632"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Interference</w:t>
      </w:r>
      <w:r>
        <w:rPr>
          <w:rFonts w:ascii="Arial" w:cs="Arial" w:eastAsia="Arial" w:hAnsi="Arial"/>
          <w:sz w:val="19"/>
          <w:szCs w:val="19"/>
          <w:color w:val="auto"/>
        </w:rPr>
        <w:t>. Notwithstanding any other provision of this Agreement, (a) Executive may disclose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when required to do so by a court of competent jurisdiction, by any governmental agency having authority over Executive or the business of the Company or by any administrative body or legislative body (including a committee thereof) with jurisdiction to order Executive to divulge, disclose or make accessible such information, in each case, subject to Executive’s obligations to notify the Company under </w:t>
      </w:r>
      <w:r>
        <w:rPr>
          <w:rFonts w:ascii="Arial" w:cs="Arial" w:eastAsia="Arial" w:hAnsi="Arial"/>
          <w:sz w:val="19"/>
          <w:szCs w:val="19"/>
          <w:u w:val="single" w:color="auto"/>
          <w:color w:val="auto"/>
        </w:rPr>
        <w:t>Section 10(b)</w:t>
      </w:r>
      <w:r>
        <w:rPr>
          <w:rFonts w:ascii="Arial" w:cs="Arial" w:eastAsia="Arial" w:hAnsi="Arial"/>
          <w:sz w:val="19"/>
          <w:szCs w:val="19"/>
          <w:color w:val="auto"/>
        </w:rPr>
        <w:t>; and (b) nothing in this Agreement is intended to interfere with Executive’s right to (1) report possible violations of state or federal law or regulation to any governmental or law enforcement agency or entity;</w:t>
      </w:r>
    </w:p>
    <w:p>
      <w:pPr>
        <w:spacing w:after="0" w:line="3" w:lineRule="exact"/>
        <w:rPr>
          <w:rFonts w:ascii="Arial" w:cs="Arial" w:eastAsia="Arial" w:hAnsi="Arial"/>
          <w:sz w:val="19"/>
          <w:szCs w:val="19"/>
          <w:b w:val="1"/>
          <w:bCs w:val="1"/>
          <w:color w:val="auto"/>
        </w:rPr>
      </w:pPr>
    </w:p>
    <w:p>
      <w:pPr>
        <w:jc w:val="both"/>
        <w:spacing w:after="0" w:line="225" w:lineRule="auto"/>
        <w:rPr>
          <w:rFonts w:ascii="Arial" w:cs="Arial" w:eastAsia="Arial" w:hAnsi="Arial"/>
          <w:sz w:val="19"/>
          <w:szCs w:val="19"/>
          <w:b w:val="1"/>
          <w:bCs w:val="1"/>
          <w:color w:val="auto"/>
        </w:rPr>
      </w:pPr>
      <w:r>
        <w:rPr>
          <w:rFonts w:ascii="Arial" w:cs="Arial" w:eastAsia="Arial" w:hAnsi="Arial"/>
          <w:sz w:val="20"/>
          <w:szCs w:val="20"/>
          <w:color w:val="auto"/>
        </w:rPr>
        <w:t xml:space="preserve">(2) make other disclosures that are protected under the whistleblower provisions of state or federal law or regulation (including the right to receive an award for information provided to any such government agencies); (3) file a claim or charge any governmental agency or entity; or (4) testify, assist, or participate in an investigation, hearing, or proceeding conducted by any governmental or law enforcement agency or entity, or any court. For purposes of clarity, in making or initiating any such reports or disclosures or engaging in any of the conduct outlined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Executive may disclose confidential information to the extent necessary to such governmental or law enforcement agency or entity or such court, need not seek prior authorization from the Company, and is not required to notify the Company of any such reports, disclosures or conduct.</w:t>
      </w:r>
    </w:p>
    <w:p>
      <w:pPr>
        <w:spacing w:after="0" w:line="151" w:lineRule="exact"/>
        <w:rPr>
          <w:rFonts w:ascii="Arial" w:cs="Arial" w:eastAsia="Arial" w:hAnsi="Arial"/>
          <w:sz w:val="19"/>
          <w:szCs w:val="19"/>
          <w:b w:val="1"/>
          <w:bCs w:val="1"/>
          <w:color w:val="auto"/>
        </w:rPr>
      </w:pPr>
    </w:p>
    <w:p>
      <w:pPr>
        <w:jc w:val="both"/>
        <w:ind w:firstLine="5"/>
        <w:spacing w:after="0"/>
        <w:tabs>
          <w:tab w:leader="none" w:pos="632"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Defend Trade Secrets Act</w:t>
      </w:r>
      <w:r>
        <w:rPr>
          <w:rFonts w:ascii="Arial" w:cs="Arial" w:eastAsia="Arial" w:hAnsi="Arial"/>
          <w:sz w:val="19"/>
          <w:szCs w:val="19"/>
          <w:color w:val="auto"/>
        </w:rPr>
        <w:t>. Executive is hereby notified in accordance with the Defend Trade Secrets Act of 2016 that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not be held criminally or civilly liable under any federal or state trade secret law for the disclosure of a trade secret that (a) is made (1) in confidence to a federal, state, or local government official, either directly or indirectly, or to an attorney; and</w:t>
      </w:r>
    </w:p>
    <w:p>
      <w:pPr>
        <w:jc w:val="both"/>
        <w:spacing w:after="0" w:line="217" w:lineRule="auto"/>
        <w:rPr>
          <w:rFonts w:ascii="Arial" w:cs="Arial" w:eastAsia="Arial" w:hAnsi="Arial"/>
          <w:sz w:val="19"/>
          <w:szCs w:val="19"/>
          <w:b w:val="1"/>
          <w:bCs w:val="1"/>
          <w:color w:val="auto"/>
        </w:rPr>
      </w:pPr>
      <w:r>
        <w:rPr>
          <w:rFonts w:ascii="Arial" w:cs="Arial" w:eastAsia="Arial" w:hAnsi="Arial"/>
          <w:sz w:val="21"/>
          <w:szCs w:val="21"/>
          <w:color w:val="auto"/>
        </w:rPr>
        <w:t>(2) solely for the purpose of reporting or investigating a suspected violation of law; or (b) is made in a complaint or other document that is filed under seal in a lawsuit or other proceeding. If Executive files a lawsuit for retaliation against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47" w:lineRule="exact"/>
        <w:rPr>
          <w:rFonts w:ascii="Arial" w:cs="Arial" w:eastAsia="Arial" w:hAnsi="Arial"/>
          <w:sz w:val="19"/>
          <w:szCs w:val="19"/>
          <w:b w:val="1"/>
          <w:bCs w:val="1"/>
          <w:color w:val="auto"/>
        </w:rPr>
      </w:pPr>
    </w:p>
    <w:p>
      <w:pPr>
        <w:ind w:firstLine="5"/>
        <w:spacing w:after="0" w:line="241" w:lineRule="auto"/>
        <w:tabs>
          <w:tab w:leader="none" w:pos="632"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Withholdings; Right of Offset</w:t>
      </w:r>
      <w:r>
        <w:rPr>
          <w:rFonts w:ascii="Arial" w:cs="Arial" w:eastAsia="Arial" w:hAnsi="Arial"/>
          <w:sz w:val="21"/>
          <w:szCs w:val="21"/>
          <w:color w:val="auto"/>
        </w:rPr>
        <w:t>. The Company may withhold and deduct from any benefits and payments made or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this Agreement (a) all federal, state, local and other</w:t>
      </w:r>
    </w:p>
    <w:p>
      <w:pPr>
        <w:spacing w:after="0" w:line="20" w:lineRule="exact"/>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column">
              <wp:posOffset>4589145</wp:posOffset>
            </wp:positionH>
            <wp:positionV relativeFrom="paragraph">
              <wp:posOffset>-4843780</wp:posOffset>
            </wp:positionV>
            <wp:extent cx="1339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13398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-4442460</wp:posOffset>
            </wp:positionV>
            <wp:extent cx="1504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15049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-4442460</wp:posOffset>
            </wp:positionV>
            <wp:extent cx="2171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200" w:lineRule="exact"/>
        <w:rPr>
          <w:rFonts w:ascii="Arial" w:cs="Arial" w:eastAsia="Arial" w:hAnsi="Arial"/>
          <w:sz w:val="20"/>
          <w:szCs w:val="20"/>
          <w:b w:val="1"/>
          <w:bCs w:val="1"/>
          <w:color w:val="auto"/>
        </w:rPr>
      </w:pPr>
    </w:p>
    <w:p>
      <w:pPr>
        <w:spacing w:after="0" w:line="375" w:lineRule="exact"/>
        <w:rPr>
          <w:rFonts w:ascii="Arial" w:cs="Arial" w:eastAsia="Arial" w:hAnsi="Arial"/>
          <w:sz w:val="20"/>
          <w:szCs w:val="20"/>
          <w:b w:val="1"/>
          <w:bCs w:val="1"/>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12</w:t>
            </w:r>
          </w:p>
        </w:tc>
      </w:tr>
    </w:tbl>
    <w:p>
      <w:pPr>
        <w:sectPr>
          <w:pgSz w:w="11900" w:h="16838" w:orient="portrait"/>
          <w:cols w:equalWidth="0" w:num="1">
            <w:col w:w="11240"/>
          </w:cols>
          <w:pgMar w:left="320" w:top="10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taxes as may be required pursuant to any law or governmental regulation or ruling, (b) all other normal employee deductions made with respect to Company’s employees generally, and (c) any advances made to Executive and owed to Company.</w:t>
      </w:r>
    </w:p>
    <w:p>
      <w:pPr>
        <w:spacing w:after="0" w:line="131" w:lineRule="exact"/>
        <w:rPr>
          <w:sz w:val="20"/>
          <w:szCs w:val="20"/>
          <w:color w:val="auto"/>
        </w:rPr>
      </w:pPr>
    </w:p>
    <w:p>
      <w:pPr>
        <w:jc w:val="both"/>
        <w:ind w:firstLine="5"/>
        <w:spacing w:after="0" w:line="219" w:lineRule="auto"/>
        <w:tabs>
          <w:tab w:leader="none" w:pos="632"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It is the desire of the Parties hereto that this Agreement be enforced to the maximum extent permitted by law,</w:t>
      </w:r>
      <w:r>
        <w:rPr>
          <w:rFonts w:ascii="Arial" w:cs="Arial" w:eastAsia="Arial" w:hAnsi="Arial"/>
          <w:sz w:val="21"/>
          <w:szCs w:val="21"/>
          <w:b w:val="1"/>
          <w:bCs w:val="1"/>
          <w:color w:val="auto"/>
        </w:rPr>
        <w:t xml:space="preserve"> </w:t>
      </w:r>
      <w:r>
        <w:rPr>
          <w:rFonts w:ascii="Arial" w:cs="Arial" w:eastAsia="Arial" w:hAnsi="Arial"/>
          <w:sz w:val="21"/>
          <w:szCs w:val="21"/>
          <w:color w:val="auto"/>
        </w:rPr>
        <w:t>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it shall be deemed ineffective and deleted herefrom without affecting any other provision of this Agreement. This Agreement should be construed by limiting and reducing it only to the minimum extent necessary to be enforceable under then applicable law.</w:t>
      </w:r>
    </w:p>
    <w:p>
      <w:pPr>
        <w:spacing w:after="0" w:line="151" w:lineRule="exact"/>
        <w:rPr>
          <w:rFonts w:ascii="Arial" w:cs="Arial" w:eastAsia="Arial" w:hAnsi="Arial"/>
          <w:sz w:val="21"/>
          <w:szCs w:val="21"/>
          <w:b w:val="1"/>
          <w:bCs w:val="1"/>
          <w:color w:val="auto"/>
        </w:rPr>
      </w:pPr>
    </w:p>
    <w:p>
      <w:pPr>
        <w:ind w:firstLine="5"/>
        <w:spacing w:after="0" w:line="241" w:lineRule="auto"/>
        <w:tabs>
          <w:tab w:leader="none" w:pos="632"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 and Headings; Construction</w:t>
      </w:r>
      <w:r>
        <w:rPr>
          <w:rFonts w:ascii="Arial" w:cs="Arial" w:eastAsia="Arial" w:hAnsi="Arial"/>
          <w:sz w:val="21"/>
          <w:szCs w:val="21"/>
          <w:color w:val="auto"/>
        </w:rPr>
        <w:t>. In the interpretation of the Agreement, except where the context clearly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requires:</w:t>
      </w:r>
    </w:p>
    <w:p>
      <w:pPr>
        <w:spacing w:after="0" w:line="152" w:lineRule="exact"/>
        <w:rPr>
          <w:rFonts w:ascii="Arial" w:cs="Arial" w:eastAsia="Arial" w:hAnsi="Arial"/>
          <w:sz w:val="21"/>
          <w:szCs w:val="21"/>
          <w:b w:val="1"/>
          <w:bCs w:val="1"/>
          <w:color w:val="auto"/>
        </w:rPr>
      </w:pPr>
    </w:p>
    <w:p>
      <w:pPr>
        <w:ind w:left="1260" w:hanging="623"/>
        <w:spacing w:after="0"/>
        <w:tabs>
          <w:tab w:leader="none" w:pos="12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“including” or “include” does not denote or imply any limitation;</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“or” has the inclusive meaning “and/or”;</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singular includes the plural, and vice versa, and each gender includes each of the others;</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captions or headings are only for reference and are not to be considered in interpreting the Agreement;</w:t>
      </w:r>
    </w:p>
    <w:p>
      <w:pPr>
        <w:spacing w:after="0" w:line="179" w:lineRule="exact"/>
        <w:rPr>
          <w:rFonts w:ascii="Arial" w:cs="Arial" w:eastAsia="Arial" w:hAnsi="Arial"/>
          <w:sz w:val="21"/>
          <w:szCs w:val="21"/>
          <w:color w:val="auto"/>
        </w:rPr>
      </w:pPr>
    </w:p>
    <w:p>
      <w:pPr>
        <w:ind w:left="1260" w:hanging="623"/>
        <w:spacing w:after="0"/>
        <w:tabs>
          <w:tab w:leader="none" w:pos="1260" w:val="left"/>
        </w:tabs>
        <w:numPr>
          <w:ilvl w:val="1"/>
          <w:numId w:val="97"/>
        </w:numPr>
        <w:rPr>
          <w:rFonts w:ascii="Arial" w:cs="Arial" w:eastAsia="Arial" w:hAnsi="Arial"/>
          <w:sz w:val="21"/>
          <w:szCs w:val="21"/>
          <w:color w:val="auto"/>
        </w:rPr>
      </w:pPr>
      <w:r>
        <w:rPr>
          <w:rFonts w:ascii="Arial" w:cs="Arial" w:eastAsia="Arial" w:hAnsi="Arial"/>
          <w:sz w:val="21"/>
          <w:szCs w:val="21"/>
          <w:color w:val="auto"/>
        </w:rPr>
        <w:t>“Section” refers to a Section of the Agreement, unless otherwise stated in the Agreement;</w:t>
      </w:r>
    </w:p>
    <w:p>
      <w:pPr>
        <w:spacing w:after="0" w:line="179" w:lineRule="exact"/>
        <w:rPr>
          <w:rFonts w:ascii="Arial" w:cs="Arial" w:eastAsia="Arial" w:hAnsi="Arial"/>
          <w:sz w:val="21"/>
          <w:szCs w:val="21"/>
          <w:color w:val="auto"/>
        </w:rPr>
      </w:pPr>
    </w:p>
    <w:p>
      <w:pPr>
        <w:ind w:firstLine="637"/>
        <w:spacing w:after="0" w:line="237" w:lineRule="auto"/>
        <w:tabs>
          <w:tab w:leader="none" w:pos="1263"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words “herein”, “hereof”, “hereunder” and other compounds of the word “here” shall refer to the entire Agreement and not to any particular provision; and</w:t>
      </w:r>
    </w:p>
    <w:p>
      <w:pPr>
        <w:spacing w:after="0" w:line="154" w:lineRule="exact"/>
        <w:rPr>
          <w:rFonts w:ascii="Arial" w:cs="Arial" w:eastAsia="Arial" w:hAnsi="Arial"/>
          <w:sz w:val="21"/>
          <w:szCs w:val="21"/>
          <w:color w:val="auto"/>
        </w:rPr>
      </w:pPr>
    </w:p>
    <w:p>
      <w:pPr>
        <w:ind w:firstLine="637"/>
        <w:spacing w:after="0" w:line="237" w:lineRule="auto"/>
        <w:tabs>
          <w:tab w:leader="none" w:pos="1259" w:val="left"/>
        </w:tabs>
        <w:numPr>
          <w:ilvl w:val="1"/>
          <w:numId w:val="97"/>
        </w:numPr>
        <w:rPr>
          <w:rFonts w:ascii="Arial" w:cs="Arial" w:eastAsia="Arial" w:hAnsi="Arial"/>
          <w:sz w:val="21"/>
          <w:szCs w:val="21"/>
          <w:color w:val="auto"/>
        </w:rPr>
      </w:pPr>
      <w:r>
        <w:rPr>
          <w:rFonts w:ascii="Arial" w:cs="Arial" w:eastAsia="Arial" w:hAnsi="Arial"/>
          <w:sz w:val="21"/>
          <w:szCs w:val="21"/>
          <w:color w:val="auto"/>
        </w:rPr>
        <w:t>a reference to any statute, rule, or regulation includes any amendment thereto or any statute, rule, or regulation enacted or promulgated in replacement thereof or as the successor thereto.</w:t>
      </w:r>
    </w:p>
    <w:p>
      <w:pPr>
        <w:spacing w:after="0" w:line="148" w:lineRule="exact"/>
        <w:rPr>
          <w:rFonts w:ascii="Arial" w:cs="Arial" w:eastAsia="Arial" w:hAnsi="Arial"/>
          <w:sz w:val="21"/>
          <w:szCs w:val="21"/>
          <w:color w:val="auto"/>
        </w:rPr>
      </w:pPr>
    </w:p>
    <w:p>
      <w:pPr>
        <w:jc w:val="both"/>
        <w:ind w:firstLine="5"/>
        <w:spacing w:after="0" w:line="219" w:lineRule="auto"/>
        <w:tabs>
          <w:tab w:leader="none" w:pos="632"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All matters or issues relating to the interpretation, construction, validity, and enforcement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by the laws of the State of Texas, without giving effect to any choice-of-law principle that would cause the application of the laws of any jurisdiction other than Texas. Jurisdiction and venue of any action or proceeding relating to this Agreement or any Dispute must be brought, if at all, in a state district court in Harris County, Texas or federal district court in the Southern District of Texas, Houston Division. Each party submits to the jurisdiction of such courts and agrees not to raise any objection to such jurisdiction.</w:t>
      </w:r>
    </w:p>
    <w:p>
      <w:pPr>
        <w:spacing w:after="0" w:line="151" w:lineRule="exact"/>
        <w:rPr>
          <w:rFonts w:ascii="Arial" w:cs="Arial" w:eastAsia="Arial" w:hAnsi="Arial"/>
          <w:sz w:val="21"/>
          <w:szCs w:val="21"/>
          <w:b w:val="1"/>
          <w:bCs w:val="1"/>
          <w:color w:val="auto"/>
        </w:rPr>
      </w:pPr>
    </w:p>
    <w:p>
      <w:pPr>
        <w:jc w:val="both"/>
        <w:ind w:firstLine="5"/>
        <w:spacing w:after="0" w:line="230" w:lineRule="auto"/>
        <w:tabs>
          <w:tab w:leader="none" w:pos="632"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Binding Effect; Third Party Beneficiaries</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hyperlink w:anchor="page147">
        <w:r>
          <w:rPr>
            <w:rFonts w:ascii="Arial" w:cs="Arial" w:eastAsia="Arial" w:hAnsi="Arial"/>
            <w:sz w:val="21"/>
            <w:szCs w:val="21"/>
            <w:color w:val="0000FF"/>
          </w:rPr>
          <w:t>33,</w:t>
        </w:r>
        <w:r>
          <w:rPr>
            <w:rFonts w:ascii="Arial" w:cs="Arial" w:eastAsia="Arial" w:hAnsi="Arial"/>
            <w:sz w:val="21"/>
            <w:szCs w:val="21"/>
            <w:b w:val="1"/>
            <w:bCs w:val="1"/>
            <w:color w:val="auto"/>
          </w:rPr>
          <w:t xml:space="preserve"> </w:t>
        </w:r>
      </w:hyperlink>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binding upon and inure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 of the Parties hereto, and to their respective heirs, executors, beneficiaries, personal representatives, successors and permitted assigns hereunder; otherwise this Agreement shall not be for the benefit of any third parties.</w:t>
      </w:r>
    </w:p>
    <w:p>
      <w:pPr>
        <w:spacing w:after="0" w:line="147" w:lineRule="exact"/>
        <w:rPr>
          <w:rFonts w:ascii="Arial" w:cs="Arial" w:eastAsia="Arial" w:hAnsi="Arial"/>
          <w:sz w:val="21"/>
          <w:szCs w:val="21"/>
          <w:b w:val="1"/>
          <w:bCs w:val="1"/>
          <w:color w:val="auto"/>
        </w:rPr>
      </w:pPr>
    </w:p>
    <w:p>
      <w:pPr>
        <w:jc w:val="both"/>
        <w:ind w:firstLine="5"/>
        <w:spacing w:after="0" w:line="229" w:lineRule="auto"/>
        <w:tabs>
          <w:tab w:leader="none" w:pos="632"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Amendment and Termination</w:t>
      </w:r>
      <w:r>
        <w:rPr>
          <w:rFonts w:ascii="Arial" w:cs="Arial" w:eastAsia="Arial" w:hAnsi="Arial"/>
          <w:sz w:val="20"/>
          <w:szCs w:val="20"/>
          <w:color w:val="auto"/>
        </w:rPr>
        <w:t>. This Agreement replaces and merges all previous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and discussions relating to the same or similar subject matters between Executive and Company (or any of its Affiliates) and constitutes the entire agreement between the Executive and the Company (and any of its Affiliates) with respect to the subject matter of this Agreement. Any existing employment agreement between the Executive and the Company (or any of its Affiliates) is hereby terminated, effective immediately. This Agreement may be amended, waived or terminated only by a written instrument that is identified as an amendment, waiver or termination hereto, and is executed on behalf of both Parties. Executive hereby acknowledges and represents that in executing this Agreement, he did not rely on, has not relied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-1366520</wp:posOffset>
            </wp:positionV>
            <wp:extent cx="2089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13</w:t>
            </w:r>
          </w:p>
        </w:tc>
      </w:tr>
    </w:tbl>
    <w:p>
      <w:pPr>
        <w:sectPr>
          <w:pgSz w:w="11900" w:h="16838" w:orient="portrait"/>
          <w:cols w:equalWidth="0" w:num="1">
            <w:col w:w="11240"/>
          </w:cols>
          <w:pgMar w:left="320" w:top="108"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and specifically disavows any reliance on any communications, promises, statements, inducements, or representation(s), oral or written, by the Company, except as expressly contained in this Agreement. The Parties represent that they relied on their own judgment, and on the advice of legal counsel for such Party, if applicable, in entering into this Agreement.</w:t>
      </w:r>
    </w:p>
    <w:p>
      <w:pPr>
        <w:spacing w:after="0" w:line="148" w:lineRule="exact"/>
        <w:rPr>
          <w:sz w:val="20"/>
          <w:szCs w:val="20"/>
          <w:color w:val="auto"/>
        </w:rPr>
      </w:pPr>
    </w:p>
    <w:p>
      <w:pPr>
        <w:ind w:left="640" w:hanging="635"/>
        <w:spacing w:after="0"/>
        <w:tabs>
          <w:tab w:leader="none" w:pos="640" w:val="left"/>
        </w:tabs>
        <w:numPr>
          <w:ilvl w:val="0"/>
          <w:numId w:val="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637"/>
        <w:spacing w:after="0" w:line="237" w:lineRule="auto"/>
        <w:tabs>
          <w:tab w:leader="none" w:pos="1260" w:val="left"/>
        </w:tabs>
        <w:numPr>
          <w:ilvl w:val="1"/>
          <w:numId w:val="98"/>
        </w:numPr>
        <w:rPr>
          <w:rFonts w:ascii="Arial" w:cs="Arial" w:eastAsia="Arial" w:hAnsi="Arial"/>
          <w:sz w:val="19"/>
          <w:szCs w:val="19"/>
          <w:color w:val="auto"/>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Any provisions of the Agreement that are subject to Section 409A of the Code and the regulations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authoritative guidance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are intended to comply with all applicable requirements of Section 409A, or an exemption from the application of Section 409A, and shall be interpreted and administered accordingly. Notwithstanding any provision of this Agreement to the contrary, a termination of Employment shall not be deemed to have occurred for purposes of any provision of this Agreement providing for the payment of any amount or benefit that constitutes “non-qualified deferred compensation” (within the meaning of Section 409A) upon or following a termination of the Executive’s Employment unless such termination is also a “separation from service” (as defined under Section 409A)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and, for purposes of any such provision, references herein to a “termination,” “termination of employment” or like terms shall mean a Separation from Service, if applicable. Each payment under this Agreement shall be treated as a separate payment for purposes of Section 409A. In no event may the Executive, directly or indirectly, designate the calendar year of any payment to be made under this Agreement.</w:t>
      </w:r>
    </w:p>
    <w:p>
      <w:pPr>
        <w:spacing w:after="0" w:line="158" w:lineRule="exact"/>
        <w:rPr>
          <w:rFonts w:ascii="Arial" w:cs="Arial" w:eastAsia="Arial" w:hAnsi="Arial"/>
          <w:sz w:val="19"/>
          <w:szCs w:val="19"/>
          <w:color w:val="auto"/>
        </w:rPr>
      </w:pPr>
    </w:p>
    <w:p>
      <w:pPr>
        <w:jc w:val="both"/>
        <w:ind w:firstLine="637"/>
        <w:spacing w:after="0" w:line="226" w:lineRule="auto"/>
        <w:tabs>
          <w:tab w:leader="none" w:pos="1259" w:val="left"/>
        </w:tabs>
        <w:numPr>
          <w:ilvl w:val="1"/>
          <w:numId w:val="98"/>
        </w:numPr>
        <w:rPr>
          <w:rFonts w:ascii="Arial" w:cs="Arial" w:eastAsia="Arial" w:hAnsi="Arial"/>
          <w:sz w:val="20"/>
          <w:szCs w:val="20"/>
          <w:color w:val="auto"/>
        </w:rPr>
      </w:pP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Notwithstanding any provision of this Agreement to the contrary, if any payment or other benefit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hereunder would be subject to additional taxes and interest under Section 409A because the timing of such payment is not delayed as required by Section 409A for a “specified employee” (as defined under Section 409A), then if the Executive is on the date of Executive’s Separation from Service a specified employee, any such payment or benefit that Executive would otherwise be entitled to receive during the first six months following the Separation from Service shall be accumulated and paid in a lump sum within ten (10) days after the date that is six months following the date of the Separation from Service, or such earlier date upon which such amount can be paid under Section 409A without being subject to such additional taxes and interest such as, for example, upon the Executive’s death. Any remaining payments due to Executive under this Agreement shall be paid as otherwise provided in this Agreement.</w:t>
      </w:r>
    </w:p>
    <w:p>
      <w:pPr>
        <w:spacing w:after="0" w:line="156" w:lineRule="exact"/>
        <w:rPr>
          <w:rFonts w:ascii="Arial" w:cs="Arial" w:eastAsia="Arial" w:hAnsi="Arial"/>
          <w:sz w:val="20"/>
          <w:szCs w:val="20"/>
          <w:color w:val="auto"/>
        </w:rPr>
      </w:pPr>
    </w:p>
    <w:p>
      <w:pPr>
        <w:jc w:val="both"/>
        <w:ind w:firstLine="637"/>
        <w:spacing w:after="0" w:line="218" w:lineRule="auto"/>
        <w:tabs>
          <w:tab w:leader="none" w:pos="1260"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Reimbursements and In-Kind Benefits</w:t>
      </w:r>
      <w:r>
        <w:rPr>
          <w:rFonts w:ascii="Arial" w:cs="Arial" w:eastAsia="Arial" w:hAnsi="Arial"/>
          <w:sz w:val="21"/>
          <w:szCs w:val="21"/>
          <w:color w:val="auto"/>
        </w:rPr>
        <w:t>. Notwithstanding any provision of this Agreement to the contrary,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reimbursements or in-kind benefits provided under this Agreement that constitute “deferred compensation” within the meaning of Section 409A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other benefits.</w:t>
      </w:r>
    </w:p>
    <w:p>
      <w:pPr>
        <w:spacing w:after="0" w:line="157" w:lineRule="exact"/>
        <w:rPr>
          <w:rFonts w:ascii="Arial" w:cs="Arial" w:eastAsia="Arial" w:hAnsi="Arial"/>
          <w:sz w:val="21"/>
          <w:szCs w:val="21"/>
          <w:color w:val="auto"/>
        </w:rPr>
      </w:pPr>
    </w:p>
    <w:p>
      <w:pPr>
        <w:jc w:val="both"/>
        <w:ind w:firstLine="637"/>
        <w:spacing w:after="0" w:line="228" w:lineRule="auto"/>
        <w:tabs>
          <w:tab w:leader="none" w:pos="1259" w:val="left"/>
        </w:tabs>
        <w:numPr>
          <w:ilvl w:val="1"/>
          <w:numId w:val="98"/>
        </w:numPr>
        <w:rPr>
          <w:rFonts w:ascii="Arial" w:cs="Arial" w:eastAsia="Arial" w:hAnsi="Arial"/>
          <w:sz w:val="21"/>
          <w:szCs w:val="21"/>
          <w:color w:val="auto"/>
        </w:rPr>
      </w:pPr>
      <w:r>
        <w:rPr>
          <w:rFonts w:ascii="Arial" w:cs="Arial" w:eastAsia="Arial" w:hAnsi="Arial"/>
          <w:sz w:val="21"/>
          <w:szCs w:val="21"/>
          <w:b w:val="1"/>
          <w:bCs w:val="1"/>
          <w:i w:val="1"/>
          <w:iCs w:val="1"/>
          <w:color w:val="auto"/>
        </w:rPr>
        <w:t>No Section 409A Representations</w:t>
      </w:r>
      <w:r>
        <w:rPr>
          <w:rFonts w:ascii="Arial" w:cs="Arial" w:eastAsia="Arial" w:hAnsi="Arial"/>
          <w:sz w:val="21"/>
          <w:szCs w:val="21"/>
          <w:color w:val="auto"/>
        </w:rPr>
        <w:t>. Notwithstanding the foregoing, the Company makes no representations,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warranties, or guarantees regarding the tax consequences of this Agreement, or any payments made hereunder, under Section 409A or otherwise, and has advised the Executive to consult with Executive’s own tax advisor.</w:t>
      </w:r>
    </w:p>
    <w:p>
      <w:pPr>
        <w:spacing w:after="0" w:line="147" w:lineRule="exact"/>
        <w:rPr>
          <w:rFonts w:ascii="Arial" w:cs="Arial" w:eastAsia="Arial" w:hAnsi="Arial"/>
          <w:sz w:val="21"/>
          <w:szCs w:val="21"/>
          <w:color w:val="auto"/>
        </w:rPr>
      </w:pPr>
    </w:p>
    <w:p>
      <w:pPr>
        <w:jc w:val="both"/>
        <w:ind w:firstLine="5"/>
        <w:spacing w:after="0" w:line="261" w:lineRule="auto"/>
        <w:tabs>
          <w:tab w:leader="none" w:pos="632"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Survival of Certain Provisions</w:t>
      </w:r>
      <w:r>
        <w:rPr>
          <w:rFonts w:ascii="Arial" w:cs="Arial" w:eastAsia="Arial" w:hAnsi="Arial"/>
          <w:sz w:val="19"/>
          <w:szCs w:val="19"/>
          <w:color w:val="auto"/>
        </w:rPr>
        <w:t>. Provisions of this Agreement which by their terms must survive the termination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shall survive any such termination of this Agreement or termination of Executive’s Employment, as applicable, including, without limitation, Executive’s obligations under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and the Company’s obligations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129" w:lineRule="exact"/>
        <w:rPr>
          <w:rFonts w:ascii="Arial" w:cs="Arial" w:eastAsia="Arial" w:hAnsi="Arial"/>
          <w:sz w:val="19"/>
          <w:szCs w:val="19"/>
          <w:b w:val="1"/>
          <w:bCs w:val="1"/>
          <w:color w:val="auto"/>
        </w:rPr>
      </w:pPr>
    </w:p>
    <w:p>
      <w:pPr>
        <w:jc w:val="both"/>
        <w:ind w:firstLine="5"/>
        <w:spacing w:after="0" w:line="261" w:lineRule="auto"/>
        <w:tabs>
          <w:tab w:leader="none" w:pos="632"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of Breach</w:t>
      </w:r>
      <w:r>
        <w:rPr>
          <w:rFonts w:ascii="Arial" w:cs="Arial" w:eastAsia="Arial" w:hAnsi="Arial"/>
          <w:sz w:val="19"/>
          <w:szCs w:val="19"/>
          <w:color w:val="auto"/>
        </w:rPr>
        <w:t>. No waiver by any party hereto of a breach of any provision of this Agreement by any other party, or of</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any condition or provision of this Agreement to be performed by such other party, will operate or be construed as a waiver of any subsequent breach by such other party or any similar or dissimilar provision or condition at the same or any</w:t>
      </w:r>
    </w:p>
    <w:p>
      <w:pPr>
        <w:spacing w:after="0" w:line="200" w:lineRule="exact"/>
        <w:rPr>
          <w:sz w:val="20"/>
          <w:szCs w:val="20"/>
          <w:color w:val="auto"/>
        </w:rPr>
      </w:pPr>
    </w:p>
    <w:p>
      <w:pPr>
        <w:spacing w:after="0" w:line="378"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14</w:t>
            </w:r>
          </w:p>
        </w:tc>
      </w:tr>
    </w:tbl>
    <w:p>
      <w:pPr>
        <w:sectPr>
          <w:pgSz w:w="11900" w:h="16838" w:orient="portrait"/>
          <w:cols w:equalWidth="0" w:num="1">
            <w:col w:w="11240"/>
          </w:cols>
          <w:pgMar w:left="320" w:top="108"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subsequent time. The failure of any party hereto to take any action by reason of any breach will not deprive such party of the right to take action at any time while such breach continues.</w:t>
      </w:r>
    </w:p>
    <w:p>
      <w:pPr>
        <w:spacing w:after="0" w:line="149" w:lineRule="exact"/>
        <w:rPr>
          <w:sz w:val="20"/>
          <w:szCs w:val="20"/>
          <w:color w:val="auto"/>
        </w:rPr>
      </w:pPr>
    </w:p>
    <w:p>
      <w:pPr>
        <w:jc w:val="both"/>
        <w:ind w:firstLine="5"/>
        <w:spacing w:after="0" w:line="227" w:lineRule="auto"/>
        <w:tabs>
          <w:tab w:leader="none" w:pos="632"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This Agreement shall be binding upon and inure to the benefit of the Company and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and their successors), as well as upon any person or entity acquiring, whether by merger, consolidation, purchase of assets, dissolution or otherwise, all or substantially all of the capital stock, business and/or assets of the Company (or its successor) regardless of whether the Company is the surviving or resulting entity. The Company shall require any successor (whether direct or indirect, by purchase, merger, consolidation, dissolution or otherwise) to all or substantially all of the capital stock, business or assets of the Company to expressly assume and agree to perform this Agreement in the same manner and to the same extent that the Company would be required to perform it if no such succession had occurred; provided, however, no such assumption shall relieve the Company or any of its Affiliates (or any successor thereof) of any of its duties or obligations hereunder unless otherwise agreed, in writing, by Executive.</w:t>
      </w:r>
    </w:p>
    <w:p>
      <w:pPr>
        <w:spacing w:after="0" w:line="154"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This Agreement shall inure to the benefit of and be enforceable by Executive’s personal or legal representative, executors, administrators, successors, and heirs. In the event of the death of Executive while any amount is payable hereunder, all such amounts shall be paid to the Designated Beneficiary.</w:t>
      </w:r>
    </w:p>
    <w:p>
      <w:pPr>
        <w:spacing w:after="0" w:line="148" w:lineRule="exact"/>
        <w:rPr>
          <w:sz w:val="20"/>
          <w:szCs w:val="20"/>
          <w:color w:val="auto"/>
        </w:rPr>
      </w:pPr>
    </w:p>
    <w:p>
      <w:pPr>
        <w:jc w:val="both"/>
        <w:ind w:firstLine="5"/>
        <w:spacing w:after="0" w:line="246" w:lineRule="auto"/>
        <w:tabs>
          <w:tab w:leader="none" w:pos="632"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Each notice or other communication required or permitted under this Agreement shall be in writing and transmitted,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or sent by personal delivery, prepaid courier or messenger service (whether overnight or same-day), or prepaid certified United States mail (with return receipt requested), addressed (in any case) to the other party at the address for that party set forth below that party’s signature on this Agreement, or at such other address as the recipient has designated by Notice to the other party, by electronic mail, delivery and read receipt required, or by facsimile, confirmation of delivery required.</w:t>
      </w:r>
    </w:p>
    <w:p>
      <w:pPr>
        <w:spacing w:after="0" w:line="14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19"/>
          <w:szCs w:val="19"/>
          <w:color w:val="auto"/>
        </w:rPr>
        <w:t>Each notice or communication so transmitted, delivered, or sent (a) in person, by courier or messenger service, or by certified United States mail shall be deemed given, received, and effective on the date delivered to or refused by the intended recipient (with the return receipt, or the equivalent record of the courier or messenger, being deemed conclusive evidence of delivery or refusal), or</w:t>
      </w:r>
    </w:p>
    <w:p>
      <w:pPr>
        <w:spacing w:after="0" w:line="2" w:lineRule="exact"/>
        <w:rPr>
          <w:sz w:val="20"/>
          <w:szCs w:val="20"/>
          <w:color w:val="auto"/>
        </w:rPr>
      </w:pPr>
    </w:p>
    <w:p>
      <w:pPr>
        <w:jc w:val="both"/>
        <w:ind w:firstLine="5"/>
        <w:spacing w:after="0" w:line="217" w:lineRule="auto"/>
        <w:tabs>
          <w:tab w:leader="none" w:pos="31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by telecopy or facsimile shall be deemed given received) and effective on the date of actual receipt (with the confirmation of transmission being deemed conclusive evidence of receipt, except where the intended recipient has promptly notified the other party that the transmission is illegible). Nevertheless, if the date of delivery or transmission is not a business day, or if the delivery or transmission is after 5:00 p.m. (local time) on a business day, the notice or other communication shall be deemed given, received, and effective on the next business day.</w:t>
      </w:r>
    </w:p>
    <w:p>
      <w:pPr>
        <w:spacing w:after="0" w:line="148" w:lineRule="exact"/>
        <w:rPr>
          <w:sz w:val="20"/>
          <w:szCs w:val="20"/>
          <w:color w:val="auto"/>
        </w:rPr>
      </w:pPr>
    </w:p>
    <w:p>
      <w:pPr>
        <w:jc w:val="both"/>
        <w:ind w:firstLine="5"/>
        <w:spacing w:after="0" w:line="241" w:lineRule="auto"/>
        <w:tabs>
          <w:tab w:leader="none" w:pos="632"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Deemed Resignations</w:t>
      </w:r>
      <w:r>
        <w:rPr>
          <w:rFonts w:ascii="Arial" w:cs="Arial" w:eastAsia="Arial" w:hAnsi="Arial"/>
          <w:sz w:val="19"/>
          <w:szCs w:val="19"/>
          <w:color w:val="auto"/>
        </w:rPr>
        <w:t>. Unless otherwise agreed to in writing by the Company and Executive prior to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any termination of Executive’s Employment shall constitute: (a) an automatic resignation of Executive as an officer of the Company and each Affiliate and subsidiary of the Company, as applicable, and (b) an automatic resignation of Executive from the Board (if applicable), from the board of directors of any Affiliate and subsidiary of the Company (if applicable), and from the board of directors or any similar governing body of any corporation, limited liability entity or other entity (i) in which the Company or any Affiliate or subsidiary holds an equity interest and (ii) with respect to which board or similar governing body the Executive serves as the Company’s or such Affiliate’s or subsidiary’s designee or other representative (if applicable).</w:t>
      </w:r>
    </w:p>
    <w:p>
      <w:pPr>
        <w:spacing w:after="0" w:line="148" w:lineRule="exact"/>
        <w:rPr>
          <w:rFonts w:ascii="Arial" w:cs="Arial" w:eastAsia="Arial" w:hAnsi="Arial"/>
          <w:sz w:val="19"/>
          <w:szCs w:val="19"/>
          <w:b w:val="1"/>
          <w:bCs w:val="1"/>
          <w:color w:val="auto"/>
        </w:rPr>
      </w:pPr>
    </w:p>
    <w:p>
      <w:pPr>
        <w:jc w:val="both"/>
        <w:ind w:firstLine="5"/>
        <w:spacing w:after="0" w:line="221" w:lineRule="auto"/>
        <w:tabs>
          <w:tab w:leader="none" w:pos="632"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 Acknowledgment</w:t>
      </w:r>
      <w:r>
        <w:rPr>
          <w:rFonts w:ascii="Arial" w:cs="Arial" w:eastAsia="Arial" w:hAnsi="Arial"/>
          <w:sz w:val="21"/>
          <w:szCs w:val="21"/>
          <w:color w:val="auto"/>
        </w:rPr>
        <w:t>. Executive acknowledges (a) being knowledgeable and sophisticated as to business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the subject matter of this Agreement, (b) having read this Agreement and understanding its terms and conditions, (c) having been given an ample opportunity to discuss this Agreement with his personal legal counsel prior to execution, and (d) that no strict rules of construction shall apply for or against the drafter or any other party. Executive hereby represents that he is free to enter into this Agreement including, without limitation, that he is</w:t>
      </w:r>
    </w:p>
    <w:p>
      <w:pPr>
        <w:spacing w:after="0" w:line="200" w:lineRule="exact"/>
        <w:rPr>
          <w:sz w:val="20"/>
          <w:szCs w:val="20"/>
          <w:color w:val="auto"/>
        </w:rPr>
      </w:pPr>
    </w:p>
    <w:p>
      <w:pPr>
        <w:spacing w:after="0" w:line="400"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15</w:t>
            </w:r>
          </w:p>
        </w:tc>
      </w:tr>
    </w:tbl>
    <w:p>
      <w:pPr>
        <w:sectPr>
          <w:pgSz w:w="11900" w:h="16838" w:orient="portrait"/>
          <w:cols w:equalWidth="0" w:num="1">
            <w:col w:w="11240"/>
          </w:cols>
          <w:pgMar w:left="320" w:top="10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not subject to any covenant not to compete, confidentiality agreement or other restrictive agreement or covenant, with former employer or otherwise, that could conflict with this Agreement or his duties hereunder.</w:t>
      </w:r>
    </w:p>
    <w:p>
      <w:pPr>
        <w:spacing w:after="0" w:line="149" w:lineRule="exact"/>
        <w:rPr>
          <w:sz w:val="20"/>
          <w:szCs w:val="20"/>
          <w:color w:val="auto"/>
        </w:rPr>
      </w:pPr>
    </w:p>
    <w:p>
      <w:pPr>
        <w:jc w:val="both"/>
        <w:ind w:firstLine="5"/>
        <w:spacing w:after="0" w:line="261" w:lineRule="auto"/>
        <w:tabs>
          <w:tab w:leader="none" w:pos="632"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each of which when so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shall be an original, but all such counterparts shall together constitute one and the same instrument. Each counterpart may consist of a copy hereof containing multiple signature pages, each signed by one party hereto, but together signed by both Parties.</w:t>
      </w:r>
    </w:p>
    <w:p>
      <w:pPr>
        <w:spacing w:after="0" w:line="129" w:lineRule="exact"/>
        <w:rPr>
          <w:sz w:val="20"/>
          <w:szCs w:val="20"/>
          <w:color w:val="auto"/>
        </w:rPr>
      </w:pPr>
    </w:p>
    <w:p>
      <w:pPr>
        <w:ind w:firstLine="632"/>
        <w:spacing w:after="0" w:line="241"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Executive has executed this Agreement, the Company has caused this Agreement to be</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in its name and on its behalf by its duly authorized officer, to be effective as of the Effective Date.</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21"/>
          <w:szCs w:val="21"/>
          <w:b w:val="1"/>
          <w:bCs w:val="1"/>
          <w:i w:val="1"/>
          <w:iCs w:val="1"/>
          <w:color w:val="auto"/>
        </w:rPr>
        <w:t>EXECUTIVE:</w:t>
      </w:r>
    </w:p>
    <w:p>
      <w:pPr>
        <w:spacing w:after="0" w:line="193" w:lineRule="exact"/>
        <w:rPr>
          <w:sz w:val="20"/>
          <w:szCs w:val="20"/>
          <w:color w:val="auto"/>
        </w:rPr>
      </w:pPr>
    </w:p>
    <w:p>
      <w:pPr>
        <w:ind w:left="3800"/>
        <w:spacing w:after="0"/>
        <w:rPr>
          <w:sz w:val="20"/>
          <w:szCs w:val="20"/>
          <w:color w:val="auto"/>
        </w:rPr>
      </w:pPr>
      <w:r>
        <w:rPr>
          <w:rFonts w:ascii="Arial" w:cs="Arial" w:eastAsia="Arial" w:hAnsi="Arial"/>
          <w:sz w:val="21"/>
          <w:szCs w:val="21"/>
          <w:u w:val="single" w:color="auto"/>
          <w:color w:val="auto"/>
        </w:rPr>
        <w:t>/s/ Carlos Quezada</w:t>
      </w:r>
    </w:p>
    <w:p>
      <w:pPr>
        <w:ind w:left="3800"/>
        <w:spacing w:after="0"/>
        <w:rPr>
          <w:sz w:val="20"/>
          <w:szCs w:val="20"/>
          <w:color w:val="auto"/>
        </w:rPr>
      </w:pPr>
      <w:r>
        <w:rPr>
          <w:rFonts w:ascii="Arial" w:cs="Arial" w:eastAsia="Arial" w:hAnsi="Arial"/>
          <w:sz w:val="21"/>
          <w:szCs w:val="21"/>
          <w:b w:val="1"/>
          <w:bCs w:val="1"/>
          <w:color w:val="auto"/>
        </w:rPr>
        <w:t>Carlos Quezada</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21"/>
          <w:szCs w:val="21"/>
          <w:i w:val="1"/>
          <w:iCs w:val="1"/>
          <w:color w:val="auto"/>
        </w:rPr>
        <w:t>Address for Notices:</w:t>
      </w:r>
    </w:p>
    <w:p>
      <w:pPr>
        <w:ind w:left="3800"/>
        <w:spacing w:after="0" w:line="209" w:lineRule="auto"/>
        <w:rPr>
          <w:sz w:val="20"/>
          <w:szCs w:val="20"/>
          <w:color w:val="auto"/>
        </w:rPr>
      </w:pPr>
      <w:r>
        <w:rPr>
          <w:rFonts w:ascii="Arial" w:cs="Arial" w:eastAsia="Arial" w:hAnsi="Arial"/>
          <w:sz w:val="21"/>
          <w:szCs w:val="21"/>
          <w:color w:val="auto"/>
        </w:rPr>
        <w:t>2019 Morse Street</w:t>
      </w:r>
    </w:p>
    <w:p>
      <w:pPr>
        <w:ind w:left="3800"/>
        <w:spacing w:after="0"/>
        <w:rPr>
          <w:sz w:val="20"/>
          <w:szCs w:val="20"/>
          <w:color w:val="auto"/>
        </w:rPr>
      </w:pPr>
      <w:r>
        <w:rPr>
          <w:rFonts w:ascii="Arial" w:cs="Arial" w:eastAsia="Arial" w:hAnsi="Arial"/>
          <w:sz w:val="21"/>
          <w:szCs w:val="21"/>
          <w:color w:val="auto"/>
        </w:rPr>
        <w:t>Houston, Texas 77019</w:t>
      </w: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Arial" w:cs="Arial" w:eastAsia="Arial" w:hAnsi="Arial"/>
          <w:sz w:val="21"/>
          <w:szCs w:val="21"/>
          <w:b w:val="1"/>
          <w:bCs w:val="1"/>
          <w:i w:val="1"/>
          <w:iCs w:val="1"/>
          <w:color w:val="auto"/>
        </w:rPr>
        <w:t>COMPANY</w:t>
      </w:r>
      <w:r>
        <w:rPr>
          <w:rFonts w:ascii="Arial" w:cs="Arial" w:eastAsia="Arial" w:hAnsi="Arial"/>
          <w:sz w:val="21"/>
          <w:szCs w:val="21"/>
          <w:b w:val="1"/>
          <w:bCs w:val="1"/>
          <w:color w:val="auto"/>
        </w:rPr>
        <w:t>:</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1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William W. Goetz</w:t>
      </w:r>
    </w:p>
    <w:p>
      <w:pPr>
        <w:spacing w:after="0" w:line="167" w:lineRule="exact"/>
        <w:rPr>
          <w:sz w:val="20"/>
          <w:szCs w:val="20"/>
          <w:color w:val="auto"/>
        </w:rPr>
      </w:pPr>
    </w:p>
    <w:p>
      <w:pPr>
        <w:ind w:left="3800"/>
        <w:spacing w:after="0"/>
        <w:tabs>
          <w:tab w:leader="none" w:pos="460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b w:val="1"/>
          <w:bCs w:val="1"/>
          <w:color w:val="auto"/>
        </w:rPr>
        <w:t>William W. Goetz</w:t>
      </w:r>
    </w:p>
    <w:p>
      <w:pPr>
        <w:ind w:left="3800"/>
        <w:spacing w:after="0"/>
        <w:tabs>
          <w:tab w:leader="none" w:pos="44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b w:val="1"/>
          <w:bCs w:val="1"/>
          <w:color w:val="auto"/>
        </w:rPr>
        <w:t>President &amp; Chief Operating Officer</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21"/>
          <w:szCs w:val="21"/>
          <w:i w:val="1"/>
          <w:iCs w:val="1"/>
          <w:color w:val="auto"/>
        </w:rPr>
        <w:t>Address for Notices:</w:t>
      </w:r>
    </w:p>
    <w:p>
      <w:pPr>
        <w:ind w:left="3800"/>
        <w:spacing w:after="0" w:line="209" w:lineRule="auto"/>
        <w:rPr>
          <w:sz w:val="20"/>
          <w:szCs w:val="20"/>
          <w:color w:val="auto"/>
        </w:rPr>
      </w:pPr>
      <w:r>
        <w:rPr>
          <w:rFonts w:ascii="Arial" w:cs="Arial" w:eastAsia="Arial" w:hAnsi="Arial"/>
          <w:sz w:val="21"/>
          <w:szCs w:val="21"/>
          <w:color w:val="auto"/>
        </w:rPr>
        <w:t>Carriage Services, Inc.</w:t>
      </w:r>
    </w:p>
    <w:p>
      <w:pPr>
        <w:ind w:left="3800"/>
        <w:spacing w:after="0" w:line="209" w:lineRule="auto"/>
        <w:rPr>
          <w:sz w:val="20"/>
          <w:szCs w:val="20"/>
          <w:color w:val="auto"/>
        </w:rPr>
      </w:pPr>
      <w:r>
        <w:rPr>
          <w:rFonts w:ascii="Arial" w:cs="Arial" w:eastAsia="Arial" w:hAnsi="Arial"/>
          <w:sz w:val="21"/>
          <w:szCs w:val="21"/>
          <w:color w:val="auto"/>
        </w:rPr>
        <w:t>3040 Post Oak Blvd, Suite 300</w:t>
      </w:r>
    </w:p>
    <w:p>
      <w:pPr>
        <w:ind w:left="3800"/>
        <w:spacing w:after="0" w:line="209" w:lineRule="auto"/>
        <w:rPr>
          <w:sz w:val="20"/>
          <w:szCs w:val="20"/>
          <w:color w:val="auto"/>
        </w:rPr>
      </w:pPr>
      <w:r>
        <w:rPr>
          <w:rFonts w:ascii="Arial" w:cs="Arial" w:eastAsia="Arial" w:hAnsi="Arial"/>
          <w:sz w:val="21"/>
          <w:szCs w:val="21"/>
          <w:color w:val="auto"/>
        </w:rPr>
        <w:t>Houston, Texas 77056</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Attn: General Counsel</w:t>
      </w:r>
    </w:p>
    <w:p>
      <w:pPr>
        <w:spacing w:after="0" w:line="188" w:lineRule="exact"/>
        <w:rPr>
          <w:sz w:val="20"/>
          <w:szCs w:val="20"/>
          <w:color w:val="auto"/>
        </w:rPr>
      </w:pPr>
    </w:p>
    <w:p>
      <w:pPr>
        <w:ind w:left="4760"/>
        <w:spacing w:after="0"/>
        <w:rPr>
          <w:sz w:val="20"/>
          <w:szCs w:val="20"/>
          <w:color w:val="auto"/>
        </w:rPr>
      </w:pPr>
      <w:r>
        <w:rPr>
          <w:rFonts w:ascii="Arial" w:cs="Arial" w:eastAsia="Arial" w:hAnsi="Arial"/>
          <w:sz w:val="21"/>
          <w:szCs w:val="21"/>
          <w:i w:val="1"/>
          <w:iCs w:val="1"/>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16</w:t>
            </w:r>
          </w:p>
        </w:tc>
      </w:tr>
    </w:tbl>
    <w:p>
      <w:pPr>
        <w:sectPr>
          <w:pgSz w:w="11900" w:h="16838" w:orient="portrait"/>
          <w:cols w:equalWidth="0" w:num="1">
            <w:col w:w="11240"/>
          </w:cols>
          <w:pgMar w:left="320" w:top="108"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21"/>
          <w:szCs w:val="21"/>
          <w:b w:val="1"/>
          <w:bCs w:val="1"/>
          <w:u w:val="single" w:color="auto"/>
          <w:color w:val="auto"/>
        </w:rPr>
        <w:t>Schedule I</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19"/>
          <w:szCs w:val="19"/>
          <w:color w:val="auto"/>
        </w:rPr>
        <w:t>The following entities, together with all Affiliated Parties thereof:</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Service Corporation International</w:t>
      </w:r>
    </w:p>
    <w:p>
      <w:pPr>
        <w:ind w:left="1260"/>
        <w:spacing w:after="0" w:line="209" w:lineRule="auto"/>
        <w:rPr>
          <w:sz w:val="20"/>
          <w:szCs w:val="20"/>
          <w:color w:val="auto"/>
        </w:rPr>
      </w:pPr>
      <w:r>
        <w:rPr>
          <w:rFonts w:ascii="Arial" w:cs="Arial" w:eastAsia="Arial" w:hAnsi="Arial"/>
          <w:sz w:val="21"/>
          <w:szCs w:val="21"/>
          <w:color w:val="auto"/>
        </w:rPr>
        <w:t>StoneMor Partners LP</w:t>
      </w:r>
    </w:p>
    <w:p>
      <w:pPr>
        <w:ind w:left="1260"/>
        <w:spacing w:after="0" w:line="209" w:lineRule="auto"/>
        <w:rPr>
          <w:sz w:val="20"/>
          <w:szCs w:val="20"/>
          <w:color w:val="auto"/>
        </w:rPr>
      </w:pPr>
      <w:r>
        <w:rPr>
          <w:rFonts w:ascii="Arial" w:cs="Arial" w:eastAsia="Arial" w:hAnsi="Arial"/>
          <w:sz w:val="21"/>
          <w:szCs w:val="21"/>
          <w:color w:val="auto"/>
        </w:rPr>
        <w:t>NorthStar Memorial Group, LLC</w:t>
      </w:r>
    </w:p>
    <w:p>
      <w:pPr>
        <w:ind w:left="1260"/>
        <w:spacing w:after="0" w:line="209" w:lineRule="auto"/>
        <w:rPr>
          <w:sz w:val="20"/>
          <w:szCs w:val="20"/>
          <w:color w:val="auto"/>
        </w:rPr>
      </w:pPr>
      <w:r>
        <w:rPr>
          <w:rFonts w:ascii="Arial" w:cs="Arial" w:eastAsia="Arial" w:hAnsi="Arial"/>
          <w:sz w:val="21"/>
          <w:szCs w:val="21"/>
          <w:color w:val="auto"/>
        </w:rPr>
        <w:t>Park Lawn Corporation</w:t>
      </w:r>
    </w:p>
    <w:p>
      <w:pPr>
        <w:ind w:left="1260"/>
        <w:spacing w:after="0" w:line="209" w:lineRule="auto"/>
        <w:rPr>
          <w:sz w:val="20"/>
          <w:szCs w:val="20"/>
          <w:color w:val="auto"/>
        </w:rPr>
      </w:pPr>
      <w:r>
        <w:rPr>
          <w:rFonts w:ascii="Arial" w:cs="Arial" w:eastAsia="Arial" w:hAnsi="Arial"/>
          <w:sz w:val="21"/>
          <w:szCs w:val="21"/>
          <w:color w:val="auto"/>
        </w:rPr>
        <w:t>Legacy Funeral Group, LLC</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Foundation Partners Group, LLC</w:t>
      </w:r>
    </w:p>
    <w:p>
      <w:pPr>
        <w:spacing w:after="0" w:line="398"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Schedule I</w:t>
      </w:r>
      <w:r>
        <w:rPr>
          <w:rFonts w:ascii="Arial" w:cs="Arial" w:eastAsia="Arial" w:hAnsi="Arial"/>
          <w:sz w:val="21"/>
          <w:szCs w:val="21"/>
          <w:color w:val="auto"/>
        </w:rPr>
        <w:t>, an “Affiliated Party” of an entity is an entity that directly or indirectly controls, is under the control of or is under common control with such entity.</w:t>
      </w:r>
    </w:p>
    <w:p>
      <w:pPr>
        <w:spacing w:after="0" w:line="155" w:lineRule="exact"/>
        <w:rPr>
          <w:sz w:val="20"/>
          <w:szCs w:val="20"/>
          <w:color w:val="auto"/>
        </w:rPr>
      </w:pPr>
    </w:p>
    <w:p>
      <w:pPr>
        <w:ind w:left="640" w:hanging="635"/>
        <w:spacing w:after="0" w:line="237" w:lineRule="auto"/>
        <w:tabs>
          <w:tab w:leader="none" w:pos="49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Any new entity which may hereafter be established which acquires any combination of ten or more funeral homes and/or cemeteries from any of the entities described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Schedule I</w:t>
      </w:r>
      <w:r>
        <w:rPr>
          <w:rFonts w:ascii="Arial" w:cs="Arial" w:eastAsia="Arial" w:hAnsi="Arial"/>
          <w:sz w:val="21"/>
          <w:szCs w:val="21"/>
          <w:color w:val="auto"/>
        </w:rPr>
        <w:t>.</w:t>
      </w:r>
    </w:p>
    <w:p>
      <w:pPr>
        <w:spacing w:after="0" w:line="154" w:lineRule="exact"/>
        <w:rPr>
          <w:rFonts w:ascii="Arial" w:cs="Arial" w:eastAsia="Arial" w:hAnsi="Arial"/>
          <w:sz w:val="21"/>
          <w:szCs w:val="21"/>
          <w:color w:val="auto"/>
        </w:rPr>
      </w:pPr>
    </w:p>
    <w:p>
      <w:pPr>
        <w:ind w:left="640" w:hanging="635"/>
        <w:spacing w:after="0" w:line="237" w:lineRule="auto"/>
        <w:tabs>
          <w:tab w:leader="none" w:pos="41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Any funeral home, cemetery or other death care enterprise which is managed by any entity described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Schedule I</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750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color w:val="auto"/>
                <w:w w:val="90"/>
              </w:rPr>
              <w:t>Carlos Quezada’s Employment Agreement</w:t>
            </w:r>
          </w:p>
        </w:tc>
        <w:tc>
          <w:tcPr>
            <w:tcW w:w="580" w:type="dxa"/>
            <w:vAlign w:val="bottom"/>
            <w:shd w:val="clear" w:color="auto" w:fill="2E75B5"/>
          </w:tcPr>
          <w:p>
            <w:pPr>
              <w:jc w:val="right"/>
              <w:ind w:right="121"/>
              <w:spacing w:after="0"/>
              <w:rPr>
                <w:sz w:val="20"/>
                <w:szCs w:val="20"/>
                <w:color w:val="auto"/>
              </w:rPr>
            </w:pPr>
            <w:r>
              <w:rPr>
                <w:rFonts w:ascii="Arial" w:cs="Arial" w:eastAsia="Arial" w:hAnsi="Arial"/>
                <w:sz w:val="16"/>
                <w:szCs w:val="16"/>
                <w:color w:val="FFFFFF"/>
              </w:rPr>
              <w:t>17</w:t>
            </w:r>
          </w:p>
        </w:tc>
      </w:tr>
    </w:tbl>
    <w:p>
      <w:pPr>
        <w:sectPr>
          <w:pgSz w:w="11900" w:h="16838" w:orient="portrait"/>
          <w:cols w:equalWidth="0" w:num="1">
            <w:col w:w="11240"/>
          </w:cols>
          <w:pgMar w:left="320" w:top="10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CARL BENJAMIN BRINK’S</w:t>
      </w: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162" w:lineRule="exact"/>
        <w:rPr>
          <w:sz w:val="20"/>
          <w:szCs w:val="20"/>
          <w:color w:val="auto"/>
        </w:rPr>
      </w:pPr>
    </w:p>
    <w:p>
      <w:pPr>
        <w:jc w:val="both"/>
        <w:ind w:firstLine="303"/>
        <w:spacing w:after="0" w:line="228" w:lineRule="auto"/>
        <w:rPr>
          <w:sz w:val="20"/>
          <w:szCs w:val="20"/>
          <w:color w:val="auto"/>
        </w:rPr>
      </w:pPr>
      <w:r>
        <w:rPr>
          <w:rFonts w:ascii="Arial" w:cs="Arial" w:eastAsia="Arial" w:hAnsi="Arial"/>
          <w:sz w:val="21"/>
          <w:szCs w:val="21"/>
          <w:color w:val="auto"/>
        </w:rPr>
        <w:t>This FIRST AMENDMENT TO CARL BENJAMIN BRINK’S EMPLOYMENT AGREEMENT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is executed and agreed to by and between Carriage Services,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Carl Benjamin Brink (“</w:t>
      </w:r>
      <w:r>
        <w:rPr>
          <w:rFonts w:ascii="Arial" w:cs="Arial" w:eastAsia="Arial" w:hAnsi="Arial"/>
          <w:sz w:val="21"/>
          <w:szCs w:val="21"/>
          <w:u w:val="single" w:color="auto"/>
          <w:color w:val="auto"/>
        </w:rPr>
        <w:t>Executive</w:t>
      </w:r>
      <w:r>
        <w:rPr>
          <w:rFonts w:ascii="Arial" w:cs="Arial" w:eastAsia="Arial" w:hAnsi="Arial"/>
          <w:sz w:val="21"/>
          <w:szCs w:val="21"/>
          <w:color w:val="auto"/>
        </w:rPr>
        <w:t>”), effective as of June 1, 2021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and the Company entered into an Employment Agreement dated November 5, 2019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and</w:t>
      </w:r>
    </w:p>
    <w:p>
      <w:pPr>
        <w:spacing w:after="0" w:line="181"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has been promoted to a new position and Executive and the Company desire Executive’s continued employment with the Company under certain amended terms and conditions as set forth herein; and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now desire to amend the Employment Agreement accordingly.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in consideration of the premises above, as well as consideration to be granted by the Company to the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Executive in the following form, the parties hereto agree as follows:</w:t>
      </w:r>
    </w:p>
    <w:p>
      <w:pPr>
        <w:spacing w:after="0" w:line="188" w:lineRule="exact"/>
        <w:rPr>
          <w:sz w:val="20"/>
          <w:szCs w:val="20"/>
          <w:color w:val="auto"/>
        </w:rPr>
      </w:pPr>
    </w:p>
    <w:p>
      <w:pPr>
        <w:ind w:firstLine="637"/>
        <w:spacing w:after="0" w:line="237" w:lineRule="auto"/>
        <w:tabs>
          <w:tab w:leader="none" w:pos="85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Section 1 of the Employment Agreement is hereby amended by replacing “Senior Vice President” with “Executive Vice President” where such figure appears in Section 1.</w:t>
      </w:r>
    </w:p>
    <w:p>
      <w:pPr>
        <w:spacing w:after="0" w:line="181" w:lineRule="exact"/>
        <w:rPr>
          <w:rFonts w:ascii="Arial" w:cs="Arial" w:eastAsia="Arial" w:hAnsi="Arial"/>
          <w:sz w:val="21"/>
          <w:szCs w:val="21"/>
          <w:color w:val="auto"/>
        </w:rPr>
      </w:pPr>
    </w:p>
    <w:p>
      <w:pPr>
        <w:ind w:firstLine="637"/>
        <w:spacing w:after="0" w:line="237" w:lineRule="auto"/>
        <w:tabs>
          <w:tab w:leader="none" w:pos="90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Section 2(a) of the Employment Agreement is hereby amended by replacing “Three Hundred Thousand Dollars ($300,000.00)” with “Four Hundred Thousand Dollars ($400,000.00)” where such figure appears in Section 2(a).</w:t>
      </w:r>
    </w:p>
    <w:p>
      <w:pPr>
        <w:spacing w:after="0" w:line="181" w:lineRule="exact"/>
        <w:rPr>
          <w:rFonts w:ascii="Arial" w:cs="Arial" w:eastAsia="Arial" w:hAnsi="Arial"/>
          <w:sz w:val="21"/>
          <w:szCs w:val="21"/>
          <w:color w:val="auto"/>
        </w:rPr>
      </w:pPr>
    </w:p>
    <w:p>
      <w:pPr>
        <w:ind w:firstLine="637"/>
        <w:spacing w:after="0" w:line="237" w:lineRule="auto"/>
        <w:tabs>
          <w:tab w:leader="none" w:pos="84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Section 2(b) of the Employment Agreement is hereby amended by replacing “50%” with “75%” where such figure appears in Section 2(b).</w:t>
      </w:r>
    </w:p>
    <w:p>
      <w:pPr>
        <w:spacing w:after="0" w:line="181" w:lineRule="exact"/>
        <w:rPr>
          <w:rFonts w:ascii="Arial" w:cs="Arial" w:eastAsia="Arial" w:hAnsi="Arial"/>
          <w:sz w:val="21"/>
          <w:szCs w:val="21"/>
          <w:color w:val="auto"/>
        </w:rPr>
      </w:pPr>
    </w:p>
    <w:p>
      <w:pPr>
        <w:ind w:left="840" w:hanging="203"/>
        <w:spacing w:after="0"/>
        <w:tabs>
          <w:tab w:leader="none" w:pos="84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Except as otherwise provided herein, all other provisions of the Employment Agreement shall remain in effect.</w:t>
      </w:r>
    </w:p>
    <w:p>
      <w:pPr>
        <w:spacing w:after="0" w:line="205" w:lineRule="exact"/>
        <w:rPr>
          <w:rFonts w:ascii="Arial" w:cs="Arial" w:eastAsia="Arial" w:hAnsi="Arial"/>
          <w:sz w:val="21"/>
          <w:szCs w:val="21"/>
          <w:color w:val="auto"/>
        </w:rPr>
      </w:pPr>
    </w:p>
    <w:p>
      <w:pPr>
        <w:ind w:firstLine="637"/>
        <w:spacing w:after="0" w:line="237" w:lineRule="auto"/>
        <w:tabs>
          <w:tab w:leader="none" w:pos="86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First Amendment and the Employment Agreement (other than as amended above) constitute the entire agreement between the parties on the subject of Executive’s employment with the Company.</w:t>
      </w:r>
    </w:p>
    <w:p>
      <w:pPr>
        <w:spacing w:after="0" w:line="181" w:lineRule="exact"/>
        <w:rPr>
          <w:rFonts w:ascii="Arial" w:cs="Arial" w:eastAsia="Arial" w:hAnsi="Arial"/>
          <w:sz w:val="21"/>
          <w:szCs w:val="21"/>
          <w:color w:val="auto"/>
        </w:rPr>
      </w:pPr>
    </w:p>
    <w:p>
      <w:pPr>
        <w:ind w:firstLine="637"/>
        <w:spacing w:after="0" w:line="237" w:lineRule="auto"/>
        <w:tabs>
          <w:tab w:leader="none" w:pos="869"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First Amendment shall be governed by and construed in accordance with the laws of the State of Texas, without regard to conflicts of laws principles thereof.</w:t>
      </w:r>
    </w:p>
    <w:p>
      <w:pPr>
        <w:spacing w:after="0" w:line="181" w:lineRule="exact"/>
        <w:rPr>
          <w:rFonts w:ascii="Arial" w:cs="Arial" w:eastAsia="Arial" w:hAnsi="Arial"/>
          <w:sz w:val="21"/>
          <w:szCs w:val="21"/>
          <w:color w:val="auto"/>
        </w:rPr>
      </w:pPr>
    </w:p>
    <w:p>
      <w:pPr>
        <w:ind w:firstLine="637"/>
        <w:spacing w:after="0" w:line="237" w:lineRule="auto"/>
        <w:tabs>
          <w:tab w:leader="none" w:pos="85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First Amendment may be signed in counterparts, each of which shall be an original, with the same effect as if the signatures thereto and hereto were upon the same instrument.</w:t>
      </w:r>
    </w:p>
    <w:p>
      <w:pPr>
        <w:sectPr>
          <w:pgSz w:w="11900" w:h="16838" w:orient="portrait"/>
          <w:cols w:equalWidth="0" w:num="1">
            <w:col w:w="11240"/>
          </w:cols>
          <w:pgMar w:left="320" w:top="10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and delivered this First Amendment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auto"/>
        </w:rPr>
        <w:t>COMPANY:</w:t>
      </w:r>
    </w:p>
    <w:p>
      <w:pPr>
        <w:ind w:left="104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21"/>
          <w:szCs w:val="21"/>
          <w:u w:val="single" w:color="auto"/>
          <w:color w:val="auto"/>
        </w:rPr>
        <w:t>/s/ Melvin C. Payne</w:t>
      </w:r>
    </w:p>
    <w:p>
      <w:pPr>
        <w:ind w:left="1040"/>
        <w:spacing w:after="0" w:line="209" w:lineRule="auto"/>
        <w:rPr>
          <w:sz w:val="20"/>
          <w:szCs w:val="20"/>
          <w:color w:val="auto"/>
        </w:rPr>
      </w:pPr>
      <w:r>
        <w:rPr>
          <w:rFonts w:ascii="Arial" w:cs="Arial" w:eastAsia="Arial" w:hAnsi="Arial"/>
          <w:sz w:val="21"/>
          <w:szCs w:val="21"/>
          <w:color w:val="auto"/>
        </w:rPr>
        <w:t>By: Melvin C. Payne</w:t>
      </w:r>
    </w:p>
    <w:p>
      <w:pPr>
        <w:ind w:left="3580"/>
        <w:spacing w:after="0"/>
        <w:rPr>
          <w:sz w:val="20"/>
          <w:szCs w:val="20"/>
          <w:color w:val="auto"/>
        </w:rPr>
      </w:pPr>
      <w:r>
        <w:rPr>
          <w:rFonts w:ascii="Arial" w:cs="Arial" w:eastAsia="Arial" w:hAnsi="Arial"/>
          <w:sz w:val="21"/>
          <w:szCs w:val="21"/>
          <w:color w:val="auto"/>
        </w:rPr>
        <w:t>Chairman of the Board and Chief Executive Officer</w:t>
      </w:r>
    </w:p>
    <w:p>
      <w:pPr>
        <w:spacing w:after="0" w:line="392" w:lineRule="exact"/>
        <w:rPr>
          <w:sz w:val="20"/>
          <w:szCs w:val="20"/>
          <w:color w:val="auto"/>
        </w:rPr>
      </w:pPr>
    </w:p>
    <w:p>
      <w:pPr>
        <w:ind w:left="3580"/>
        <w:spacing w:after="0"/>
        <w:rPr>
          <w:sz w:val="20"/>
          <w:szCs w:val="20"/>
          <w:color w:val="auto"/>
        </w:rPr>
      </w:pPr>
      <w:r>
        <w:rPr>
          <w:rFonts w:ascii="Arial" w:cs="Arial" w:eastAsia="Arial" w:hAnsi="Arial"/>
          <w:sz w:val="21"/>
          <w:szCs w:val="21"/>
          <w:b w:val="1"/>
          <w:bCs w:val="1"/>
          <w:color w:val="auto"/>
        </w:rPr>
        <w:t>EXECUTIVE:</w:t>
      </w:r>
    </w:p>
    <w:p>
      <w:pPr>
        <w:spacing w:after="0" w:line="200" w:lineRule="exact"/>
        <w:rPr>
          <w:sz w:val="20"/>
          <w:szCs w:val="20"/>
          <w:color w:val="auto"/>
        </w:rPr>
      </w:pPr>
    </w:p>
    <w:p>
      <w:pPr>
        <w:spacing w:after="0" w:line="210" w:lineRule="exact"/>
        <w:rPr>
          <w:sz w:val="20"/>
          <w:szCs w:val="20"/>
          <w:color w:val="auto"/>
        </w:rPr>
      </w:pPr>
    </w:p>
    <w:p>
      <w:pPr>
        <w:ind w:left="1040"/>
        <w:spacing w:after="0"/>
        <w:rPr>
          <w:sz w:val="20"/>
          <w:szCs w:val="20"/>
          <w:color w:val="auto"/>
        </w:rPr>
      </w:pPr>
      <w:r>
        <w:rPr>
          <w:rFonts w:ascii="Arial" w:cs="Arial" w:eastAsia="Arial" w:hAnsi="Arial"/>
          <w:sz w:val="21"/>
          <w:szCs w:val="21"/>
          <w:u w:val="single" w:color="auto"/>
          <w:color w:val="auto"/>
        </w:rPr>
        <w:t>/s/ C. Benjamin Brink</w:t>
      </w:r>
    </w:p>
    <w:p>
      <w:pPr>
        <w:ind w:left="3580"/>
        <w:spacing w:after="0"/>
        <w:rPr>
          <w:sz w:val="20"/>
          <w:szCs w:val="20"/>
          <w:color w:val="auto"/>
        </w:rPr>
      </w:pPr>
      <w:r>
        <w:rPr>
          <w:rFonts w:ascii="Arial" w:cs="Arial" w:eastAsia="Arial" w:hAnsi="Arial"/>
          <w:sz w:val="21"/>
          <w:szCs w:val="21"/>
          <w:color w:val="auto"/>
        </w:rPr>
        <w:t>Carl Benjamin Brink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page to</w:t>
      </w:r>
    </w:p>
    <w:p>
      <w:pPr>
        <w:jc w:val="center"/>
        <w:ind w:right="200"/>
        <w:spacing w:after="0"/>
        <w:rPr>
          <w:sz w:val="20"/>
          <w:szCs w:val="20"/>
          <w:color w:val="auto"/>
        </w:rPr>
      </w:pPr>
      <w:r>
        <w:rPr>
          <w:rFonts w:ascii="Arial" w:cs="Arial" w:eastAsia="Arial" w:hAnsi="Arial"/>
          <w:sz w:val="18"/>
          <w:szCs w:val="18"/>
          <w:color w:val="auto"/>
        </w:rPr>
        <w:t>First amendment to Carl Benjamin Brink’s Employment Agreement</w:t>
      </w:r>
    </w:p>
    <w:p>
      <w:pPr>
        <w:sectPr>
          <w:pgSz w:w="11900" w:h="16838" w:orient="portrait"/>
          <w:cols w:equalWidth="0" w:num="1">
            <w:col w:w="11020"/>
          </w:cols>
          <w:pgMar w:left="540" w:top="108"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STEVE METZGER’S</w:t>
      </w: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162" w:lineRule="exact"/>
        <w:rPr>
          <w:sz w:val="20"/>
          <w:szCs w:val="20"/>
          <w:color w:val="auto"/>
        </w:rPr>
      </w:pPr>
    </w:p>
    <w:p>
      <w:pPr>
        <w:jc w:val="both"/>
        <w:ind w:firstLine="263"/>
        <w:spacing w:after="0" w:line="228" w:lineRule="auto"/>
        <w:rPr>
          <w:sz w:val="20"/>
          <w:szCs w:val="20"/>
          <w:color w:val="auto"/>
        </w:rPr>
      </w:pPr>
      <w:r>
        <w:rPr>
          <w:rFonts w:ascii="Arial" w:cs="Arial" w:eastAsia="Arial" w:hAnsi="Arial"/>
          <w:sz w:val="21"/>
          <w:szCs w:val="21"/>
          <w:color w:val="auto"/>
        </w:rPr>
        <w:t>This FIRST AMENDMENT TO STEVE METZGER’S EMPLOYMENT AGREEMENT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is executed and agreed to by and between Carriage Services,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Steve Metzger (“</w:t>
      </w:r>
      <w:r>
        <w:rPr>
          <w:rFonts w:ascii="Arial" w:cs="Arial" w:eastAsia="Arial" w:hAnsi="Arial"/>
          <w:sz w:val="21"/>
          <w:szCs w:val="21"/>
          <w:u w:val="single" w:color="auto"/>
          <w:color w:val="auto"/>
        </w:rPr>
        <w:t>Executive</w:t>
      </w:r>
      <w:r>
        <w:rPr>
          <w:rFonts w:ascii="Arial" w:cs="Arial" w:eastAsia="Arial" w:hAnsi="Arial"/>
          <w:sz w:val="21"/>
          <w:szCs w:val="21"/>
          <w:color w:val="auto"/>
        </w:rPr>
        <w:t>”), effective as of June 1, 2021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and the Company entered into an Employment Agreement dated November 5, 2019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and</w:t>
      </w:r>
    </w:p>
    <w:p>
      <w:pPr>
        <w:spacing w:after="0" w:line="181"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has been promoted to a new position and Executive and the Company desire Executive’s continued employment with the Company under certain amended terms and conditions as set forth herein; and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now desire to amend the Employment Agreement accordingly.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in consideration of the premises above, as well as consideration to be granted by the Company to the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Executive in the following form, the parties hereto agree as follows:</w:t>
      </w:r>
    </w:p>
    <w:p>
      <w:pPr>
        <w:spacing w:after="0" w:line="188" w:lineRule="exact"/>
        <w:rPr>
          <w:sz w:val="20"/>
          <w:szCs w:val="20"/>
          <w:color w:val="auto"/>
        </w:rPr>
      </w:pPr>
    </w:p>
    <w:p>
      <w:pPr>
        <w:jc w:val="both"/>
        <w:ind w:firstLine="637"/>
        <w:spacing w:after="0" w:line="228" w:lineRule="auto"/>
        <w:tabs>
          <w:tab w:leader="none" w:pos="85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Section 1 of the Employment Agreement is hereby amended by replacing “Senior Vice President and General Counsel” with “Executive Vice President, Chief Administrative Officer, General Counsel and Secretary” where such figure appears in Section 1.</w:t>
      </w:r>
    </w:p>
    <w:p>
      <w:pPr>
        <w:spacing w:after="0" w:line="180" w:lineRule="exact"/>
        <w:rPr>
          <w:rFonts w:ascii="Arial" w:cs="Arial" w:eastAsia="Arial" w:hAnsi="Arial"/>
          <w:sz w:val="21"/>
          <w:szCs w:val="21"/>
          <w:color w:val="auto"/>
        </w:rPr>
      </w:pPr>
    </w:p>
    <w:p>
      <w:pPr>
        <w:ind w:firstLine="637"/>
        <w:spacing w:after="0" w:line="237" w:lineRule="auto"/>
        <w:tabs>
          <w:tab w:leader="none" w:pos="88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Section 2(a) of the Employment Agreement is hereby amended by replacing “Two Hundred Fifty Thousand Dollars ($250,000.00)” with “Four Hundred Thousand Dollars ($400,000.00)” where such figure appears in Section 2(a).</w:t>
      </w:r>
    </w:p>
    <w:p>
      <w:pPr>
        <w:spacing w:after="0" w:line="181" w:lineRule="exact"/>
        <w:rPr>
          <w:rFonts w:ascii="Arial" w:cs="Arial" w:eastAsia="Arial" w:hAnsi="Arial"/>
          <w:sz w:val="21"/>
          <w:szCs w:val="21"/>
          <w:color w:val="auto"/>
        </w:rPr>
      </w:pPr>
    </w:p>
    <w:p>
      <w:pPr>
        <w:ind w:firstLine="637"/>
        <w:spacing w:after="0" w:line="237" w:lineRule="auto"/>
        <w:tabs>
          <w:tab w:leader="none" w:pos="84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Section 2(b) of the Employment Agreement is hereby amended by replacing “50%” with “75%” where such figure appears in Section 2(b).</w:t>
      </w:r>
    </w:p>
    <w:p>
      <w:pPr>
        <w:spacing w:after="0" w:line="181" w:lineRule="exact"/>
        <w:rPr>
          <w:rFonts w:ascii="Arial" w:cs="Arial" w:eastAsia="Arial" w:hAnsi="Arial"/>
          <w:sz w:val="21"/>
          <w:szCs w:val="21"/>
          <w:color w:val="auto"/>
        </w:rPr>
      </w:pPr>
    </w:p>
    <w:p>
      <w:pPr>
        <w:ind w:left="840" w:hanging="203"/>
        <w:spacing w:after="0"/>
        <w:tabs>
          <w:tab w:leader="none" w:pos="84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Except as otherwise provided herein, all other provisions of the Employment Agreement shall remain in effect.</w:t>
      </w:r>
    </w:p>
    <w:p>
      <w:pPr>
        <w:spacing w:after="0" w:line="205" w:lineRule="exact"/>
        <w:rPr>
          <w:rFonts w:ascii="Arial" w:cs="Arial" w:eastAsia="Arial" w:hAnsi="Arial"/>
          <w:sz w:val="21"/>
          <w:szCs w:val="21"/>
          <w:color w:val="auto"/>
        </w:rPr>
      </w:pPr>
    </w:p>
    <w:p>
      <w:pPr>
        <w:ind w:firstLine="637"/>
        <w:spacing w:after="0" w:line="237" w:lineRule="auto"/>
        <w:tabs>
          <w:tab w:leader="none" w:pos="86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This First Amendment and the Employment Agreement (other than as amended above) constitute the entire agreement between the parties on the subject of Executive’s employment with the Company.</w:t>
      </w:r>
    </w:p>
    <w:p>
      <w:pPr>
        <w:spacing w:after="0" w:line="181" w:lineRule="exact"/>
        <w:rPr>
          <w:rFonts w:ascii="Arial" w:cs="Arial" w:eastAsia="Arial" w:hAnsi="Arial"/>
          <w:sz w:val="21"/>
          <w:szCs w:val="21"/>
          <w:color w:val="auto"/>
        </w:rPr>
      </w:pPr>
    </w:p>
    <w:p>
      <w:pPr>
        <w:ind w:firstLine="637"/>
        <w:spacing w:after="0" w:line="237" w:lineRule="auto"/>
        <w:tabs>
          <w:tab w:leader="none" w:pos="86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This First Amendment shall be governed by and construed in accordance with the laws of the State of Texas, without regard to conflicts of laws principles thereof.</w:t>
      </w:r>
    </w:p>
    <w:p>
      <w:pPr>
        <w:spacing w:after="0" w:line="181" w:lineRule="exact"/>
        <w:rPr>
          <w:rFonts w:ascii="Arial" w:cs="Arial" w:eastAsia="Arial" w:hAnsi="Arial"/>
          <w:sz w:val="21"/>
          <w:szCs w:val="21"/>
          <w:color w:val="auto"/>
        </w:rPr>
      </w:pPr>
    </w:p>
    <w:p>
      <w:pPr>
        <w:ind w:firstLine="637"/>
        <w:spacing w:after="0" w:line="237" w:lineRule="auto"/>
        <w:tabs>
          <w:tab w:leader="none" w:pos="85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This First Amendment may be signed in counterparts, each of which shall be an original, with the same effect as if the signatures thereto and hereto were upon the same instrument.</w:t>
      </w:r>
    </w:p>
    <w:p>
      <w:pPr>
        <w:sectPr>
          <w:pgSz w:w="11900" w:h="16838" w:orient="portrait"/>
          <w:cols w:equalWidth="0" w:num="1">
            <w:col w:w="11240"/>
          </w:cols>
          <w:pgMar w:left="320" w:top="10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executed and delivered this First Amendment as of the date set forth above.</w:t>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COMPANY:</w:t>
      </w:r>
    </w:p>
    <w:p>
      <w:pPr>
        <w:ind w:left="126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1"/>
          <w:szCs w:val="21"/>
          <w:u w:val="single" w:color="auto"/>
          <w:color w:val="auto"/>
        </w:rPr>
        <w:t>/s/ Melvin C. Payne</w:t>
      </w:r>
    </w:p>
    <w:p>
      <w:pPr>
        <w:ind w:left="1260"/>
        <w:spacing w:after="0" w:line="209" w:lineRule="auto"/>
        <w:rPr>
          <w:sz w:val="20"/>
          <w:szCs w:val="20"/>
          <w:color w:val="auto"/>
        </w:rPr>
      </w:pPr>
      <w:r>
        <w:rPr>
          <w:rFonts w:ascii="Arial" w:cs="Arial" w:eastAsia="Arial" w:hAnsi="Arial"/>
          <w:sz w:val="21"/>
          <w:szCs w:val="21"/>
          <w:color w:val="auto"/>
        </w:rPr>
        <w:t>By: Melvin C. Payne</w:t>
      </w:r>
    </w:p>
    <w:p>
      <w:pPr>
        <w:ind w:left="3800"/>
        <w:spacing w:after="0"/>
        <w:rPr>
          <w:sz w:val="20"/>
          <w:szCs w:val="20"/>
          <w:color w:val="auto"/>
        </w:rPr>
      </w:pPr>
      <w:r>
        <w:rPr>
          <w:rFonts w:ascii="Arial" w:cs="Arial" w:eastAsia="Arial" w:hAnsi="Arial"/>
          <w:sz w:val="21"/>
          <w:szCs w:val="21"/>
          <w:color w:val="auto"/>
        </w:rPr>
        <w:t>Chairman of the Board and Chief Executive Officer</w:t>
      </w:r>
    </w:p>
    <w:p>
      <w:pPr>
        <w:spacing w:after="0" w:line="392"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EXECUTIVE:</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Arial" w:cs="Arial" w:eastAsia="Arial" w:hAnsi="Arial"/>
          <w:sz w:val="21"/>
          <w:szCs w:val="21"/>
          <w:u w:val="single" w:color="auto"/>
          <w:color w:val="auto"/>
        </w:rPr>
        <w:t>/s/ Steven D. Metzger</w:t>
      </w:r>
    </w:p>
    <w:p>
      <w:pPr>
        <w:ind w:left="3800"/>
        <w:spacing w:after="0"/>
        <w:rPr>
          <w:sz w:val="20"/>
          <w:szCs w:val="20"/>
          <w:color w:val="auto"/>
        </w:rPr>
      </w:pPr>
      <w:r>
        <w:rPr>
          <w:rFonts w:ascii="Arial" w:cs="Arial" w:eastAsia="Arial" w:hAnsi="Arial"/>
          <w:sz w:val="21"/>
          <w:szCs w:val="21"/>
          <w:color w:val="auto"/>
        </w:rPr>
        <w:t>Steve Metzger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jc w:val="center"/>
        <w:spacing w:after="0"/>
        <w:rPr>
          <w:sz w:val="20"/>
          <w:szCs w:val="20"/>
          <w:color w:val="auto"/>
        </w:rPr>
      </w:pPr>
      <w:r>
        <w:rPr>
          <w:rFonts w:ascii="Arial" w:cs="Arial" w:eastAsia="Arial" w:hAnsi="Arial"/>
          <w:sz w:val="18"/>
          <w:szCs w:val="18"/>
          <w:color w:val="auto"/>
        </w:rPr>
        <w:t>First amendment to Steve Metzger’s Employment Agreement</w:t>
      </w:r>
    </w:p>
    <w:p>
      <w:pPr>
        <w:sectPr>
          <w:pgSz w:w="11900" w:h="16838" w:orient="portrait"/>
          <w:cols w:equalWidth="0" w:num="1">
            <w:col w:w="11240"/>
          </w:cols>
          <w:pgMar w:left="320" w:top="110"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CARLOS QUEZADA’S</w:t>
      </w: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162" w:lineRule="exact"/>
        <w:rPr>
          <w:sz w:val="20"/>
          <w:szCs w:val="20"/>
          <w:color w:val="auto"/>
        </w:rPr>
      </w:pPr>
    </w:p>
    <w:p>
      <w:pPr>
        <w:jc w:val="both"/>
        <w:ind w:firstLine="224"/>
        <w:spacing w:after="0" w:line="228" w:lineRule="auto"/>
        <w:rPr>
          <w:sz w:val="20"/>
          <w:szCs w:val="20"/>
          <w:color w:val="auto"/>
        </w:rPr>
      </w:pPr>
      <w:r>
        <w:rPr>
          <w:rFonts w:ascii="Arial" w:cs="Arial" w:eastAsia="Arial" w:hAnsi="Arial"/>
          <w:sz w:val="21"/>
          <w:szCs w:val="21"/>
          <w:color w:val="auto"/>
        </w:rPr>
        <w:t>This FIRST AMENDMENT TO CARLOS QUEZADA’S EMPLOYMENT AGREEMENT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is executed and agreed to by and between Carriage Services,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Carlos Quezada (“</w:t>
      </w:r>
      <w:r>
        <w:rPr>
          <w:rFonts w:ascii="Arial" w:cs="Arial" w:eastAsia="Arial" w:hAnsi="Arial"/>
          <w:sz w:val="21"/>
          <w:szCs w:val="21"/>
          <w:u w:val="single" w:color="auto"/>
          <w:color w:val="auto"/>
        </w:rPr>
        <w:t>Executive</w:t>
      </w:r>
      <w:r>
        <w:rPr>
          <w:rFonts w:ascii="Arial" w:cs="Arial" w:eastAsia="Arial" w:hAnsi="Arial"/>
          <w:sz w:val="21"/>
          <w:szCs w:val="21"/>
          <w:color w:val="auto"/>
        </w:rPr>
        <w:t>”), effective as of June 1, 2021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and the Company entered into an Employment Agreement dated June 25, 2020 (the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w:t>
      </w:r>
    </w:p>
    <w:p>
      <w:pPr>
        <w:spacing w:after="0" w:line="181"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Executive has been promoted to a new position and Executive and the Company desire Executive’s continued employment with the Company under certain amended terms and conditions as set forth herein; and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now desire to amend the Employment Agreement accordingly.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in consideration of the premises above, as well as consideration to be granted by the Company to the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Executive in the following form, the parties hereto agree as follows:</w:t>
      </w:r>
    </w:p>
    <w:p>
      <w:pPr>
        <w:spacing w:after="0" w:line="188" w:lineRule="exact"/>
        <w:rPr>
          <w:sz w:val="20"/>
          <w:szCs w:val="20"/>
          <w:color w:val="auto"/>
        </w:rPr>
      </w:pPr>
    </w:p>
    <w:p>
      <w:pPr>
        <w:ind w:firstLine="637"/>
        <w:spacing w:after="0" w:line="237" w:lineRule="auto"/>
        <w:tabs>
          <w:tab w:leader="none" w:pos="88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Section 1 of the Employment Agreement is hereby amended by replacing “Vice President of Cemetery Sales and Marketing” with “Executive Vice President and Chief Operating Officer” where such figure appears in Section 1.</w:t>
      </w:r>
    </w:p>
    <w:p>
      <w:pPr>
        <w:spacing w:after="0" w:line="181" w:lineRule="exact"/>
        <w:rPr>
          <w:rFonts w:ascii="Arial" w:cs="Arial" w:eastAsia="Arial" w:hAnsi="Arial"/>
          <w:sz w:val="21"/>
          <w:szCs w:val="21"/>
          <w:color w:val="auto"/>
        </w:rPr>
      </w:pPr>
    </w:p>
    <w:p>
      <w:pPr>
        <w:ind w:firstLine="637"/>
        <w:spacing w:after="0" w:line="237" w:lineRule="auto"/>
        <w:tabs>
          <w:tab w:leader="none" w:pos="90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Section 2(a) of the Employment Agreement is hereby amended by replacing “Three Hundred Thousand Dollars ($300,000.00)” with “Four Hundred Thousand Dollars ($400,000.00)” where such figure appears in Section 2(a).</w:t>
      </w:r>
    </w:p>
    <w:p>
      <w:pPr>
        <w:spacing w:after="0" w:line="181" w:lineRule="exact"/>
        <w:rPr>
          <w:rFonts w:ascii="Arial" w:cs="Arial" w:eastAsia="Arial" w:hAnsi="Arial"/>
          <w:sz w:val="21"/>
          <w:szCs w:val="21"/>
          <w:color w:val="auto"/>
        </w:rPr>
      </w:pPr>
    </w:p>
    <w:p>
      <w:pPr>
        <w:ind w:firstLine="637"/>
        <w:spacing w:after="0" w:line="237" w:lineRule="auto"/>
        <w:tabs>
          <w:tab w:leader="none" w:pos="84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Section 2(b) of the Employment Agreement is hereby amended by replacing “50%” with “75%” where such figure appears in Section 2(b).</w:t>
      </w:r>
    </w:p>
    <w:p>
      <w:pPr>
        <w:spacing w:after="0" w:line="181" w:lineRule="exact"/>
        <w:rPr>
          <w:rFonts w:ascii="Arial" w:cs="Arial" w:eastAsia="Arial" w:hAnsi="Arial"/>
          <w:sz w:val="21"/>
          <w:szCs w:val="21"/>
          <w:color w:val="auto"/>
        </w:rPr>
      </w:pPr>
    </w:p>
    <w:p>
      <w:pPr>
        <w:ind w:left="840" w:hanging="203"/>
        <w:spacing w:after="0"/>
        <w:tabs>
          <w:tab w:leader="none" w:pos="84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Except as otherwise provided herein, all other provisions of the Employment Agreement shall remain in effect.</w:t>
      </w:r>
    </w:p>
    <w:p>
      <w:pPr>
        <w:spacing w:after="0" w:line="205" w:lineRule="exact"/>
        <w:rPr>
          <w:rFonts w:ascii="Arial" w:cs="Arial" w:eastAsia="Arial" w:hAnsi="Arial"/>
          <w:sz w:val="21"/>
          <w:szCs w:val="21"/>
          <w:color w:val="auto"/>
        </w:rPr>
      </w:pPr>
    </w:p>
    <w:p>
      <w:pPr>
        <w:ind w:firstLine="637"/>
        <w:spacing w:after="0" w:line="237" w:lineRule="auto"/>
        <w:tabs>
          <w:tab w:leader="none" w:pos="86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This First Amendment and the Employment Agreement (other than as amended above) constitute the entire agreement between the parties on the subject of Executive’s employment with the Company.</w:t>
      </w:r>
    </w:p>
    <w:p>
      <w:pPr>
        <w:spacing w:after="0" w:line="181" w:lineRule="exact"/>
        <w:rPr>
          <w:rFonts w:ascii="Arial" w:cs="Arial" w:eastAsia="Arial" w:hAnsi="Arial"/>
          <w:sz w:val="21"/>
          <w:szCs w:val="21"/>
          <w:color w:val="auto"/>
        </w:rPr>
      </w:pPr>
    </w:p>
    <w:p>
      <w:pPr>
        <w:ind w:firstLine="637"/>
        <w:spacing w:after="0" w:line="237" w:lineRule="auto"/>
        <w:tabs>
          <w:tab w:leader="none" w:pos="86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This First Amendment shall be governed by and construed in accordance with the laws of the State of Texas, without regard to conflicts of laws principles thereof.</w:t>
      </w:r>
    </w:p>
    <w:p>
      <w:pPr>
        <w:spacing w:after="0" w:line="181" w:lineRule="exact"/>
        <w:rPr>
          <w:rFonts w:ascii="Arial" w:cs="Arial" w:eastAsia="Arial" w:hAnsi="Arial"/>
          <w:sz w:val="21"/>
          <w:szCs w:val="21"/>
          <w:color w:val="auto"/>
        </w:rPr>
      </w:pPr>
    </w:p>
    <w:p>
      <w:pPr>
        <w:ind w:firstLine="637"/>
        <w:spacing w:after="0" w:line="237" w:lineRule="auto"/>
        <w:tabs>
          <w:tab w:leader="none" w:pos="85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This First Amendment may be signed in counterparts, each of which shall be an original, with the same effect as if the signatures thereto and hereto were upon the same instrument.</w:t>
      </w:r>
    </w:p>
    <w:p>
      <w:pPr>
        <w:sectPr>
          <w:pgSz w:w="11900" w:h="16838" w:orient="portrait"/>
          <w:cols w:equalWidth="0" w:num="1">
            <w:col w:w="11240"/>
          </w:cols>
          <w:pgMar w:left="320" w:top="108" w:right="339" w:bottom="1440" w:gutter="0" w:footer="0" w:header="0"/>
        </w:sectPr>
      </w:pPr>
    </w:p>
    <w:bookmarkStart w:id="168" w:name="page169"/>
    <w:bookmarkEnd w:id="168"/>
    <w:p>
      <w:pPr>
        <w:ind w:left="6960"/>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and delivered this First Amendment as of the date set forth above.</w:t>
      </w:r>
    </w:p>
    <w:p>
      <w:pPr>
        <w:spacing w:after="0" w:line="200" w:lineRule="exact"/>
        <w:rPr>
          <w:sz w:val="20"/>
          <w:szCs w:val="20"/>
          <w:color w:val="auto"/>
        </w:rPr>
      </w:pPr>
    </w:p>
    <w:p>
      <w:pPr>
        <w:spacing w:after="0" w:line="233"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COMPANY:</w:t>
      </w:r>
    </w:p>
    <w:p>
      <w:pPr>
        <w:ind w:left="126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1"/>
          <w:szCs w:val="21"/>
          <w:u w:val="single" w:color="auto"/>
          <w:color w:val="auto"/>
        </w:rPr>
        <w:t>/s/ Melvin C. Payne</w:t>
      </w:r>
    </w:p>
    <w:p>
      <w:pPr>
        <w:ind w:left="1260"/>
        <w:spacing w:after="0" w:line="209" w:lineRule="auto"/>
        <w:rPr>
          <w:sz w:val="20"/>
          <w:szCs w:val="20"/>
          <w:color w:val="auto"/>
        </w:rPr>
      </w:pPr>
      <w:r>
        <w:rPr>
          <w:rFonts w:ascii="Arial" w:cs="Arial" w:eastAsia="Arial" w:hAnsi="Arial"/>
          <w:sz w:val="21"/>
          <w:szCs w:val="21"/>
          <w:color w:val="auto"/>
        </w:rPr>
        <w:t>By: Melvin C. Payne</w:t>
      </w:r>
    </w:p>
    <w:p>
      <w:pPr>
        <w:ind w:left="3800"/>
        <w:spacing w:after="0"/>
        <w:rPr>
          <w:sz w:val="20"/>
          <w:szCs w:val="20"/>
          <w:color w:val="auto"/>
        </w:rPr>
      </w:pPr>
      <w:r>
        <w:rPr>
          <w:rFonts w:ascii="Arial" w:cs="Arial" w:eastAsia="Arial" w:hAnsi="Arial"/>
          <w:sz w:val="21"/>
          <w:szCs w:val="21"/>
          <w:color w:val="auto"/>
        </w:rPr>
        <w:t>Chairman of the Board and Chief Executive Officer</w:t>
      </w:r>
    </w:p>
    <w:p>
      <w:pPr>
        <w:spacing w:after="0" w:line="386"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EXECUTIVE:</w:t>
      </w:r>
    </w:p>
    <w:p>
      <w:pPr>
        <w:ind w:left="1260"/>
        <w:spacing w:after="0"/>
        <w:rPr>
          <w:sz w:val="20"/>
          <w:szCs w:val="20"/>
          <w:color w:val="auto"/>
        </w:rPr>
      </w:pPr>
      <w:r>
        <w:rPr>
          <w:rFonts w:ascii="Arial" w:cs="Arial" w:eastAsia="Arial" w:hAnsi="Arial"/>
          <w:sz w:val="21"/>
          <w:szCs w:val="21"/>
          <w:color w:val="auto"/>
        </w:rPr>
        <w:t>Carlos Quezada</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1"/>
          <w:szCs w:val="21"/>
          <w:u w:val="single" w:color="auto"/>
          <w:color w:val="auto"/>
        </w:rPr>
        <w:t>/s/ Carlos Quezada</w:t>
      </w:r>
    </w:p>
    <w:p>
      <w:pPr>
        <w:ind w:left="3800"/>
        <w:spacing w:after="0"/>
        <w:rPr>
          <w:sz w:val="20"/>
          <w:szCs w:val="20"/>
          <w:color w:val="auto"/>
        </w:rPr>
      </w:pPr>
      <w:r>
        <w:rPr>
          <w:rFonts w:ascii="Arial" w:cs="Arial" w:eastAsia="Arial" w:hAnsi="Arial"/>
          <w:sz w:val="21"/>
          <w:szCs w:val="21"/>
          <w:color w:val="auto"/>
        </w:rPr>
        <w:t>Carlos Quezada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 page to</w:t>
      </w:r>
    </w:p>
    <w:p>
      <w:pPr>
        <w:jc w:val="center"/>
        <w:ind w:right="-439"/>
        <w:spacing w:after="0"/>
        <w:rPr>
          <w:sz w:val="20"/>
          <w:szCs w:val="20"/>
          <w:color w:val="auto"/>
        </w:rPr>
      </w:pPr>
      <w:r>
        <w:rPr>
          <w:rFonts w:ascii="Arial" w:cs="Arial" w:eastAsia="Arial" w:hAnsi="Arial"/>
          <w:sz w:val="18"/>
          <w:szCs w:val="18"/>
          <w:color w:val="auto"/>
        </w:rPr>
        <w:t>First amendment to Carlos Quezada’s Employment Agreement</w:t>
      </w:r>
    </w:p>
    <w:p>
      <w:pPr>
        <w:sectPr>
          <w:pgSz w:w="11900" w:h="16838" w:orient="portrait"/>
          <w:cols w:equalWidth="0" w:num="1">
            <w:col w:w="10800"/>
          </w:cols>
          <w:pgMar w:left="320" w:top="108" w:right="7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THE</w:t>
      </w:r>
    </w:p>
    <w:p>
      <w:pPr>
        <w:jc w:val="center"/>
        <w:spacing w:after="0"/>
        <w:rPr>
          <w:sz w:val="20"/>
          <w:szCs w:val="20"/>
          <w:color w:val="auto"/>
        </w:rPr>
      </w:pPr>
      <w:r>
        <w:rPr>
          <w:rFonts w:ascii="Arial" w:cs="Arial" w:eastAsia="Arial" w:hAnsi="Arial"/>
          <w:sz w:val="21"/>
          <w:szCs w:val="21"/>
          <w:b w:val="1"/>
          <w:bCs w:val="1"/>
          <w:color w:val="auto"/>
        </w:rPr>
        <w:t>GOOD TO GREAT II SHAREHOLDER VALUE CREATION PERFORMANCE AWARD AGREEMENT</w:t>
      </w:r>
    </w:p>
    <w:p>
      <w:pPr>
        <w:spacing w:after="0" w:line="188" w:lineRule="exact"/>
        <w:rPr>
          <w:sz w:val="20"/>
          <w:szCs w:val="20"/>
          <w:color w:val="auto"/>
        </w:rPr>
      </w:pPr>
    </w:p>
    <w:p>
      <w:pPr>
        <w:jc w:val="both"/>
        <w:ind w:firstLine="211"/>
        <w:spacing w:after="0" w:line="258" w:lineRule="auto"/>
        <w:rPr>
          <w:sz w:val="20"/>
          <w:szCs w:val="20"/>
          <w:color w:val="auto"/>
        </w:rPr>
      </w:pPr>
      <w:r>
        <w:rPr>
          <w:rFonts w:ascii="Arial" w:cs="Arial" w:eastAsia="Arial" w:hAnsi="Arial"/>
          <w:sz w:val="19"/>
          <w:szCs w:val="19"/>
          <w:color w:val="auto"/>
        </w:rPr>
        <w:t>This FIRST AMENDMENT TO THE GOOD TO GREAT II SHAREHOLDER VALUE CREATION PERFORMANCE AWARD AGREEMENT (this “</w:t>
      </w:r>
      <w:r>
        <w:rPr>
          <w:rFonts w:ascii="Arial" w:cs="Arial" w:eastAsia="Arial" w:hAnsi="Arial"/>
          <w:sz w:val="19"/>
          <w:szCs w:val="19"/>
          <w:u w:val="single" w:color="auto"/>
          <w:color w:val="auto"/>
        </w:rPr>
        <w:t>First Amendment</w:t>
      </w:r>
      <w:r>
        <w:rPr>
          <w:rFonts w:ascii="Arial" w:cs="Arial" w:eastAsia="Arial" w:hAnsi="Arial"/>
          <w:sz w:val="19"/>
          <w:szCs w:val="19"/>
          <w:color w:val="auto"/>
        </w:rPr>
        <w:t>”) is executed and agreed to by and between Carriage Services,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 (“</w:t>
      </w:r>
      <w:r>
        <w:rPr>
          <w:rFonts w:ascii="Arial" w:cs="Arial" w:eastAsia="Arial" w:hAnsi="Arial"/>
          <w:sz w:val="19"/>
          <w:szCs w:val="19"/>
          <w:u w:val="single" w:color="auto"/>
          <w:color w:val="auto"/>
        </w:rPr>
        <w:t>Employee</w:t>
      </w:r>
      <w:r>
        <w:rPr>
          <w:rFonts w:ascii="Arial" w:cs="Arial" w:eastAsia="Arial" w:hAnsi="Arial"/>
          <w:sz w:val="19"/>
          <w:szCs w:val="19"/>
          <w:color w:val="auto"/>
        </w:rPr>
        <w:t>”), effective as of June 1, 2021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w:t>
      </w:r>
    </w:p>
    <w:p>
      <w:pPr>
        <w:spacing w:after="0" w:line="13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Employee and the Company entered into the Good To Great II Shareholder Value Creation Performance Award Agreement dated May 19, 2020 (the “</w:t>
      </w:r>
      <w:r>
        <w:rPr>
          <w:rFonts w:ascii="Arial" w:cs="Arial" w:eastAsia="Arial" w:hAnsi="Arial"/>
          <w:sz w:val="21"/>
          <w:szCs w:val="21"/>
          <w:u w:val="single" w:color="auto"/>
          <w:color w:val="auto"/>
        </w:rPr>
        <w:t>Performance Award Agreement</w:t>
      </w:r>
      <w:r>
        <w:rPr>
          <w:rFonts w:ascii="Arial" w:cs="Arial" w:eastAsia="Arial" w:hAnsi="Arial"/>
          <w:sz w:val="21"/>
          <w:szCs w:val="21"/>
          <w:color w:val="auto"/>
        </w:rPr>
        <w:t>”); and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Employee has been promoted to the position[s] of ______________; and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now desire to amend the Performance Award Agreement accordingly.</w:t>
      </w:r>
    </w:p>
    <w:p>
      <w:pPr>
        <w:spacing w:after="0" w:line="206"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NOW, THEREFORE, in consideration of the premises above, as well as other good and valuable consideration, the parties hereto agree as follows:</w:t>
      </w:r>
    </w:p>
    <w:p>
      <w:pPr>
        <w:spacing w:after="0" w:line="181" w:lineRule="exact"/>
        <w:rPr>
          <w:sz w:val="20"/>
          <w:szCs w:val="20"/>
          <w:color w:val="auto"/>
        </w:rPr>
      </w:pPr>
    </w:p>
    <w:p>
      <w:pPr>
        <w:ind w:left="840" w:hanging="203"/>
        <w:spacing w:after="0"/>
        <w:tabs>
          <w:tab w:leader="none" w:pos="84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Section 1 of the Performance Award Agreement is hereby amended by replacing “_____%” with “_____%”.</w:t>
      </w:r>
    </w:p>
    <w:p>
      <w:pPr>
        <w:spacing w:after="0" w:line="205" w:lineRule="exact"/>
        <w:rPr>
          <w:rFonts w:ascii="Arial" w:cs="Arial" w:eastAsia="Arial" w:hAnsi="Arial"/>
          <w:sz w:val="21"/>
          <w:szCs w:val="21"/>
          <w:color w:val="auto"/>
        </w:rPr>
      </w:pPr>
    </w:p>
    <w:p>
      <w:pPr>
        <w:ind w:firstLine="637"/>
        <w:spacing w:after="0" w:line="237" w:lineRule="auto"/>
        <w:tabs>
          <w:tab w:leader="none" w:pos="84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Exhibit 1 to the Performance Award Agreement is hereby amended by deleting the “Payout Determination” section in its entirety and replacing it with the following language: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Payout Determination</w:t>
      </w:r>
    </w:p>
    <w:p>
      <w:pPr>
        <w:spacing w:after="0" w:line="212"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Payout</w:t>
      </w:r>
      <w:r>
        <w:rPr>
          <w:rFonts w:ascii="Arial" w:cs="Arial" w:eastAsia="Arial" w:hAnsi="Arial"/>
          <w:sz w:val="21"/>
          <w:szCs w:val="21"/>
          <w:color w:val="auto"/>
        </w:rPr>
        <w:t>” shall be determined by the performance of the Company’s common stock during the Performance Period. If the Company Stock Price Average reaches any of the Performance Tiers listed below, the Employee will be entitled to the corresponding Payout, subject to Section 4 and other provisions of the Agreement.</w:t>
      </w:r>
    </w:p>
    <w:p>
      <w:pPr>
        <w:spacing w:after="0" w:line="221" w:lineRule="exact"/>
        <w:rPr>
          <w:sz w:val="20"/>
          <w:szCs w:val="20"/>
          <w:color w:val="auto"/>
        </w:rPr>
      </w:pPr>
    </w:p>
    <w:tbl>
      <w:tblPr>
        <w:tblLayout w:type="fixed"/>
        <w:tblInd w:w="350" w:type="dxa"/>
        <w:tblCellMar>
          <w:top w:w="0" w:type="dxa"/>
          <w:left w:w="0" w:type="dxa"/>
          <w:bottom w:w="0" w:type="dxa"/>
          <w:right w:w="0" w:type="dxa"/>
        </w:tblCellMar>
      </w:tblPr>
      <w:tr>
        <w:trPr>
          <w:trHeight w:val="276"/>
        </w:trPr>
        <w:tc>
          <w:tcPr>
            <w:tcW w:w="38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Performance Tiers</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Tier 1</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Tier 2</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Tier 3</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Tier 4</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Tier 5</w:t>
            </w:r>
          </w:p>
        </w:tc>
      </w:tr>
      <w:tr>
        <w:trPr>
          <w:trHeight w:val="256"/>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Company Stock Price Average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$35.78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$43.88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7"/>
              </w:rPr>
              <w:t>$53.39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$64.48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$77.34</w:t>
            </w:r>
          </w:p>
        </w:tc>
      </w:tr>
      <w:tr>
        <w:trPr>
          <w:trHeight w:val="195"/>
        </w:trPr>
        <w:tc>
          <w:tcPr>
            <w:tcW w:w="38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1"/>
                <w:szCs w:val="21"/>
                <w:b w:val="1"/>
                <w:bCs w:val="1"/>
                <w:color w:val="auto"/>
              </w:rPr>
              <w:t>Payout</w:t>
            </w: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1"/>
                <w:szCs w:val="21"/>
                <w:b w:val="1"/>
                <w:bCs w:val="1"/>
                <w:color w:val="auto"/>
                <w:w w:val="99"/>
              </w:rPr>
              <w:t>X</w:t>
            </w: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1"/>
                <w:szCs w:val="21"/>
                <w:b w:val="1"/>
                <w:bCs w:val="1"/>
                <w:color w:val="auto"/>
              </w:rPr>
              <w:t>Y</w:t>
            </w: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1"/>
                <w:szCs w:val="21"/>
                <w:b w:val="1"/>
                <w:bCs w:val="1"/>
                <w:color w:val="auto"/>
              </w:rPr>
              <w:t>Z</w:t>
            </w: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1"/>
                <w:szCs w:val="21"/>
                <w:b w:val="1"/>
                <w:bCs w:val="1"/>
                <w:color w:val="auto"/>
              </w:rPr>
              <w:t>XX</w:t>
            </w: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1"/>
                <w:szCs w:val="21"/>
                <w:b w:val="1"/>
                <w:bCs w:val="1"/>
                <w:color w:val="auto"/>
              </w:rPr>
              <w:t>YY</w:t>
            </w:r>
          </w:p>
        </w:tc>
      </w:tr>
      <w:tr>
        <w:trPr>
          <w:trHeight w:val="269"/>
        </w:trPr>
        <w:tc>
          <w:tcPr>
            <w:tcW w:w="38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b w:val="1"/>
                <w:bCs w:val="1"/>
                <w:i w:val="1"/>
                <w:iCs w:val="1"/>
                <w:color w:val="auto"/>
                <w:w w:val="97"/>
              </w:rPr>
              <w:t>(in shares of Company common stock)</w:t>
            </w:r>
          </w:p>
        </w:tc>
        <w:tc>
          <w:tcPr>
            <w:tcW w:w="12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The Employee will only be entitled to the highest Payout achieved during the Performance Period, regardless of the closing price of the Company’s common stock on the Vesting Date, and may not receive multiple Payouts. By way of example:</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21"/>
          <w:szCs w:val="21"/>
          <w:u w:val="single" w:color="auto"/>
          <w:color w:val="auto"/>
        </w:rPr>
        <w:t>Example 1:</w:t>
      </w:r>
      <w:r>
        <w:rPr>
          <w:rFonts w:ascii="Arial" w:cs="Arial" w:eastAsia="Arial" w:hAnsi="Arial"/>
          <w:sz w:val="21"/>
          <w:szCs w:val="21"/>
          <w:color w:val="auto"/>
        </w:rPr>
        <w:t xml:space="preserve"> The Company Stock Price Average reaches a high of $40 in the second year of the Performance Period, before closing at $30 on the Vesting Date. The Employee will be eligible to receive a Payout of </w:t>
      </w:r>
      <w:r>
        <w:rPr>
          <w:rFonts w:ascii="Arial" w:cs="Arial" w:eastAsia="Arial" w:hAnsi="Arial"/>
          <w:sz w:val="21"/>
          <w:szCs w:val="21"/>
          <w:u w:val="single" w:color="auto"/>
          <w:color w:val="auto"/>
        </w:rPr>
        <w:t>X</w:t>
      </w:r>
      <w:r>
        <w:rPr>
          <w:rFonts w:ascii="Arial" w:cs="Arial" w:eastAsia="Arial" w:hAnsi="Arial"/>
          <w:sz w:val="21"/>
          <w:szCs w:val="21"/>
          <w:color w:val="auto"/>
        </w:rPr>
        <w:t xml:space="preserve"> shares.</w:t>
      </w:r>
    </w:p>
    <w:p>
      <w:pPr>
        <w:sectPr>
          <w:pgSz w:w="11900" w:h="16838" w:orient="portrait"/>
          <w:cols w:equalWidth="0" w:num="1">
            <w:col w:w="11240"/>
          </w:cols>
          <w:pgMar w:left="320" w:top="10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u w:val="single" w:color="auto"/>
          <w:color w:val="auto"/>
        </w:rPr>
        <w:t>Example 2:</w:t>
      </w:r>
      <w:r>
        <w:rPr>
          <w:rFonts w:ascii="Arial" w:cs="Arial" w:eastAsia="Arial" w:hAnsi="Arial"/>
          <w:sz w:val="19"/>
          <w:szCs w:val="19"/>
          <w:color w:val="auto"/>
        </w:rPr>
        <w:t xml:space="preserve"> The Company Stock Price Average reaches $55 in the second year of the Performance Period, and then reaches $67 in the third year, before closing at $50 on the Vesting Date. The Employee will be eligible to receive a Payout of </w:t>
      </w:r>
      <w:r>
        <w:rPr>
          <w:rFonts w:ascii="Arial" w:cs="Arial" w:eastAsia="Arial" w:hAnsi="Arial"/>
          <w:sz w:val="19"/>
          <w:szCs w:val="19"/>
          <w:u w:val="single" w:color="auto"/>
          <w:color w:val="auto"/>
        </w:rPr>
        <w:t>XX</w:t>
      </w:r>
      <w:r>
        <w:rPr>
          <w:rFonts w:ascii="Arial" w:cs="Arial" w:eastAsia="Arial" w:hAnsi="Arial"/>
          <w:sz w:val="19"/>
          <w:szCs w:val="19"/>
          <w:color w:val="auto"/>
        </w:rPr>
        <w:t xml:space="preserve"> shares.”</w:t>
      </w:r>
    </w:p>
    <w:p>
      <w:pPr>
        <w:spacing w:after="0" w:line="139" w:lineRule="exact"/>
        <w:rPr>
          <w:sz w:val="20"/>
          <w:szCs w:val="20"/>
          <w:color w:val="auto"/>
        </w:rPr>
      </w:pPr>
    </w:p>
    <w:p>
      <w:pPr>
        <w:ind w:left="840" w:hanging="203"/>
        <w:spacing w:after="0"/>
        <w:tabs>
          <w:tab w:leader="none" w:pos="8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Except as otherwise provided herein, all other provisions of the Performance Award Agreement shall remain in effect.</w:t>
      </w:r>
    </w:p>
    <w:p>
      <w:pPr>
        <w:spacing w:after="0" w:line="217" w:lineRule="exact"/>
        <w:rPr>
          <w:rFonts w:ascii="Arial" w:cs="Arial" w:eastAsia="Arial" w:hAnsi="Arial"/>
          <w:sz w:val="20"/>
          <w:szCs w:val="20"/>
          <w:color w:val="auto"/>
        </w:rPr>
      </w:pPr>
    </w:p>
    <w:p>
      <w:pPr>
        <w:ind w:firstLine="637"/>
        <w:spacing w:after="0" w:line="237" w:lineRule="auto"/>
        <w:tabs>
          <w:tab w:leader="none" w:pos="84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This Amendment shall be governed by and construed in accordance with the laws of the State of Texas, without regard to conflicts of laws principles thereof.</w:t>
      </w:r>
    </w:p>
    <w:p>
      <w:pPr>
        <w:spacing w:after="0" w:line="181" w:lineRule="exact"/>
        <w:rPr>
          <w:rFonts w:ascii="Arial" w:cs="Arial" w:eastAsia="Arial" w:hAnsi="Arial"/>
          <w:sz w:val="21"/>
          <w:szCs w:val="21"/>
          <w:color w:val="auto"/>
        </w:rPr>
      </w:pPr>
    </w:p>
    <w:p>
      <w:pPr>
        <w:ind w:firstLine="637"/>
        <w:spacing w:after="0" w:line="237" w:lineRule="auto"/>
        <w:tabs>
          <w:tab w:leader="none" w:pos="88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This Amendment may be signed in counterparts, each of which shall be an original, with the same effect as if the signatures thereto and hereto were upon the same instrument.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and delivered this First Amendment as of the date set forth above.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COMPANY:</w:t>
      </w:r>
    </w:p>
    <w:p>
      <w:pPr>
        <w:ind w:left="1260"/>
        <w:spacing w:after="0"/>
        <w:rPr>
          <w:sz w:val="20"/>
          <w:szCs w:val="20"/>
          <w:color w:val="auto"/>
        </w:rPr>
      </w:pPr>
      <w:r>
        <w:rPr>
          <w:rFonts w:ascii="Arial" w:cs="Arial" w:eastAsia="Arial" w:hAnsi="Arial"/>
          <w:sz w:val="21"/>
          <w:szCs w:val="21"/>
          <w:color w:val="auto"/>
        </w:rPr>
        <w:t>Carriage Services, Inc.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By: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-139065</wp:posOffset>
            </wp:positionV>
            <wp:extent cx="9359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21"/>
          <w:szCs w:val="21"/>
          <w:color w:val="auto"/>
        </w:rPr>
        <w:t>Chairman of the Board and Chief Executive Officer</w:t>
      </w:r>
    </w:p>
    <w:p>
      <w:pPr>
        <w:spacing w:after="0" w:line="392"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557530</wp:posOffset>
            </wp:positionV>
            <wp:extent cx="9359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7560" w:type="dxa"/>
            <w:vAlign w:val="bottom"/>
          </w:tcPr>
          <w:p>
            <w:pPr>
              <w:ind w:left="6460"/>
              <w:spacing w:after="0"/>
              <w:rPr>
                <w:sz w:val="20"/>
                <w:szCs w:val="20"/>
                <w:color w:val="auto"/>
              </w:rPr>
            </w:pPr>
            <w:r>
              <w:rPr>
                <w:rFonts w:ascii="Arial" w:cs="Arial" w:eastAsia="Arial" w:hAnsi="Arial"/>
                <w:sz w:val="18"/>
                <w:szCs w:val="18"/>
                <w:b w:val="1"/>
                <w:bCs w:val="1"/>
                <w:color w:val="auto"/>
                <w:w w:val="97"/>
              </w:rPr>
              <w:t>EXHIBIT 21.1</w:t>
            </w:r>
          </w:p>
        </w:tc>
      </w:tr>
      <w:tr>
        <w:trPr>
          <w:trHeight w:val="368"/>
        </w:trPr>
        <w:tc>
          <w:tcPr>
            <w:tcW w:w="3640" w:type="dxa"/>
            <w:vAlign w:val="bottom"/>
          </w:tcPr>
          <w:p>
            <w:pPr>
              <w:spacing w:after="0"/>
              <w:rPr>
                <w:sz w:val="24"/>
                <w:szCs w:val="24"/>
                <w:color w:val="auto"/>
              </w:rPr>
            </w:pPr>
          </w:p>
        </w:tc>
        <w:tc>
          <w:tcPr>
            <w:tcW w:w="7560" w:type="dxa"/>
            <w:vAlign w:val="bottom"/>
          </w:tcPr>
          <w:p>
            <w:pPr>
              <w:jc w:val="center"/>
              <w:ind w:right="3601"/>
              <w:spacing w:after="0"/>
              <w:rPr>
                <w:sz w:val="20"/>
                <w:szCs w:val="20"/>
                <w:color w:val="auto"/>
              </w:rPr>
            </w:pPr>
            <w:r>
              <w:rPr>
                <w:rFonts w:ascii="Arial" w:cs="Arial" w:eastAsia="Arial" w:hAnsi="Arial"/>
                <w:sz w:val="18"/>
                <w:szCs w:val="18"/>
                <w:b w:val="1"/>
                <w:bCs w:val="1"/>
                <w:color w:val="auto"/>
                <w:w w:val="97"/>
              </w:rPr>
              <w:t>CARRIAGE SERVICES, INC.</w:t>
            </w:r>
          </w:p>
        </w:tc>
      </w:tr>
      <w:tr>
        <w:trPr>
          <w:trHeight w:val="368"/>
        </w:trPr>
        <w:tc>
          <w:tcPr>
            <w:tcW w:w="3640" w:type="dxa"/>
            <w:vAlign w:val="bottom"/>
          </w:tcPr>
          <w:p>
            <w:pPr>
              <w:spacing w:after="0"/>
              <w:rPr>
                <w:sz w:val="24"/>
                <w:szCs w:val="24"/>
                <w:color w:val="auto"/>
              </w:rPr>
            </w:pPr>
          </w:p>
        </w:tc>
        <w:tc>
          <w:tcPr>
            <w:tcW w:w="7560" w:type="dxa"/>
            <w:vAlign w:val="bottom"/>
          </w:tcPr>
          <w:p>
            <w:pPr>
              <w:jc w:val="center"/>
              <w:ind w:right="3601"/>
              <w:spacing w:after="0"/>
              <w:rPr>
                <w:sz w:val="20"/>
                <w:szCs w:val="20"/>
                <w:color w:val="auto"/>
              </w:rPr>
            </w:pPr>
            <w:r>
              <w:rPr>
                <w:rFonts w:ascii="Arial" w:cs="Arial" w:eastAsia="Arial" w:hAnsi="Arial"/>
                <w:sz w:val="18"/>
                <w:szCs w:val="18"/>
                <w:b w:val="1"/>
                <w:bCs w:val="1"/>
                <w:color w:val="auto"/>
                <w:w w:val="94"/>
              </w:rPr>
              <w:t>SUBSIDIARIES AS OF DECEMBER 31, 2021</w:t>
            </w:r>
          </w:p>
        </w:tc>
      </w:tr>
      <w:tr>
        <w:trPr>
          <w:trHeight w:val="283"/>
        </w:trPr>
        <w:tc>
          <w:tcPr>
            <w:tcW w:w="36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7560" w:type="dxa"/>
            <w:vAlign w:val="bottom"/>
          </w:tcPr>
          <w:p>
            <w:pPr>
              <w:jc w:val="center"/>
              <w:ind w:left="2741"/>
              <w:spacing w:after="0"/>
              <w:rPr>
                <w:sz w:val="20"/>
                <w:szCs w:val="20"/>
                <w:color w:val="auto"/>
              </w:rPr>
            </w:pPr>
            <w:r>
              <w:rPr>
                <w:rFonts w:ascii="Arial" w:cs="Arial" w:eastAsia="Arial" w:hAnsi="Arial"/>
                <w:sz w:val="16"/>
                <w:szCs w:val="16"/>
                <w:b w:val="1"/>
                <w:bCs w:val="1"/>
                <w:color w:val="auto"/>
              </w:rPr>
              <w:t>JURISDICTION OF INCORPORATION</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Funeral Holdings,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CFS Funeral Services,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Holding Company,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Funeral Services of Michigan,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3"/>
              </w:rPr>
              <w:t>Michigan</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Funeral Services of Kentucky, Inc.</w:t>
            </w:r>
          </w:p>
        </w:tc>
        <w:tc>
          <w:tcPr>
            <w:tcW w:w="7560" w:type="dxa"/>
            <w:vAlign w:val="bottom"/>
          </w:tcPr>
          <w:p>
            <w:pPr>
              <w:jc w:val="center"/>
              <w:ind w:left="2741"/>
              <w:spacing w:after="0"/>
              <w:rPr>
                <w:sz w:val="20"/>
                <w:szCs w:val="20"/>
                <w:color w:val="auto"/>
              </w:rPr>
            </w:pPr>
            <w:r>
              <w:rPr>
                <w:rFonts w:ascii="Arial" w:cs="Arial" w:eastAsia="Arial" w:hAnsi="Arial"/>
                <w:sz w:val="16"/>
                <w:szCs w:val="16"/>
                <w:color w:val="auto"/>
                <w:w w:val="94"/>
              </w:rPr>
              <w:t>Kentucky</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Funeral Services of California,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Cemetery Services of Idaho,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9"/>
              </w:rPr>
              <w:t>Idaho</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Wilson &amp; Kratzer Mortuaries</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Rolling Hills Memorial Park</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Connecticut,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9"/>
              </w:rPr>
              <w:t>Connecticut</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CSI Funeral Services of Massachusetts,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Massachusetts</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CHC Insurance Agency of Ohio,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Ohio</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New Mexico, Inc.</w:t>
            </w:r>
          </w:p>
        </w:tc>
        <w:tc>
          <w:tcPr>
            <w:tcW w:w="7560" w:type="dxa"/>
            <w:vAlign w:val="bottom"/>
          </w:tcPr>
          <w:p>
            <w:pPr>
              <w:jc w:val="center"/>
              <w:ind w:left="2741"/>
              <w:spacing w:after="0"/>
              <w:rPr>
                <w:sz w:val="20"/>
                <w:szCs w:val="20"/>
                <w:color w:val="auto"/>
              </w:rPr>
            </w:pPr>
            <w:r>
              <w:rPr>
                <w:rFonts w:ascii="Arial" w:cs="Arial" w:eastAsia="Arial" w:hAnsi="Arial"/>
                <w:sz w:val="16"/>
                <w:szCs w:val="16"/>
                <w:color w:val="auto"/>
                <w:w w:val="94"/>
              </w:rPr>
              <w:t>New Mexico</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Forastiere Family Funeral Service,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Massachusetts</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Cemetery Services,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2"/>
              </w:rPr>
              <w:t>Texas</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Oklahoma, LLC</w:t>
            </w:r>
          </w:p>
        </w:tc>
        <w:tc>
          <w:tcPr>
            <w:tcW w:w="7560" w:type="dxa"/>
            <w:vAlign w:val="bottom"/>
          </w:tcPr>
          <w:p>
            <w:pPr>
              <w:jc w:val="center"/>
              <w:ind w:left="2741"/>
              <w:spacing w:after="0"/>
              <w:rPr>
                <w:sz w:val="20"/>
                <w:szCs w:val="20"/>
                <w:color w:val="auto"/>
              </w:rPr>
            </w:pPr>
            <w:r>
              <w:rPr>
                <w:rFonts w:ascii="Arial" w:cs="Arial" w:eastAsia="Arial" w:hAnsi="Arial"/>
                <w:sz w:val="16"/>
                <w:szCs w:val="16"/>
                <w:color w:val="auto"/>
                <w:w w:val="90"/>
              </w:rPr>
              <w:t>Oklahoma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Nevada,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Nevada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Hubbard Funeral Home, Inc.</w:t>
            </w:r>
          </w:p>
        </w:tc>
        <w:tc>
          <w:tcPr>
            <w:tcW w:w="7560" w:type="dxa"/>
            <w:vAlign w:val="bottom"/>
          </w:tcPr>
          <w:p>
            <w:pPr>
              <w:jc w:val="center"/>
              <w:ind w:left="2741"/>
              <w:spacing w:after="0"/>
              <w:rPr>
                <w:sz w:val="20"/>
                <w:szCs w:val="20"/>
                <w:color w:val="auto"/>
              </w:rPr>
            </w:pPr>
            <w:r>
              <w:rPr>
                <w:rFonts w:ascii="Arial" w:cs="Arial" w:eastAsia="Arial" w:hAnsi="Arial"/>
                <w:sz w:val="16"/>
                <w:szCs w:val="16"/>
                <w:color w:val="auto"/>
                <w:w w:val="94"/>
              </w:rPr>
              <w:t>Maryland</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Team California (Cemetery),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Team California (Funeral),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Team Florida (Cemetery),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Team Florida (Funeral),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Ohio,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Team Kansas,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w w:val="94"/>
              </w:rPr>
              <w:t>Carriage Municipal Cemetery Services of Nevada,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Nevada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Cemetery Services of California,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Insurance Agency of Massachusetts,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Massachusetts</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Internet Strategies,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Management,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Cochrane’s Chapel of the Roses,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Horizon Cremation Society,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4"/>
              </w:rPr>
              <w:t>California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Life Events,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Pennsylvania Holdings,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Funeral Management,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Florida Holdings,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Cloverdale Park,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9"/>
              </w:rPr>
              <w:t>Idaho</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Cataudella Funeral Home,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6"/>
              </w:rPr>
              <w:t>Massachusetts</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Investment Advisors,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Merger VI,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CSRE Holdings,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PNCA,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Operations,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Tennessee,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88"/>
              </w:rPr>
              <w:t>Delaware</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Carriage Services of Louisiana, Inc.</w:t>
            </w:r>
          </w:p>
        </w:tc>
        <w:tc>
          <w:tcPr>
            <w:tcW w:w="7560" w:type="dxa"/>
            <w:vAlign w:val="bottom"/>
          </w:tcPr>
          <w:p>
            <w:pPr>
              <w:jc w:val="center"/>
              <w:ind w:left="2741"/>
              <w:spacing w:after="0"/>
              <w:rPr>
                <w:sz w:val="20"/>
                <w:szCs w:val="20"/>
                <w:color w:val="auto"/>
              </w:rPr>
            </w:pPr>
            <w:r>
              <w:rPr>
                <w:rFonts w:ascii="Arial" w:cs="Arial" w:eastAsia="Arial" w:hAnsi="Arial"/>
                <w:sz w:val="16"/>
                <w:szCs w:val="16"/>
                <w:color w:val="auto"/>
                <w:w w:val="90"/>
              </w:rPr>
              <w:t>Louisiana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Calvary Memorial Park, Inc.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7"/>
              </w:rPr>
              <w:t>Virginia</w:t>
            </w:r>
          </w:p>
        </w:tc>
      </w:tr>
      <w:tr>
        <w:trPr>
          <w:trHeight w:val="211"/>
        </w:trPr>
        <w:tc>
          <w:tcPr>
            <w:tcW w:w="3640" w:type="dxa"/>
            <w:vAlign w:val="bottom"/>
          </w:tcPr>
          <w:p>
            <w:pPr>
              <w:spacing w:after="0"/>
              <w:rPr>
                <w:sz w:val="20"/>
                <w:szCs w:val="20"/>
                <w:color w:val="auto"/>
              </w:rPr>
            </w:pPr>
            <w:r>
              <w:rPr>
                <w:rFonts w:ascii="Arial" w:cs="Arial" w:eastAsia="Arial" w:hAnsi="Arial"/>
                <w:sz w:val="16"/>
                <w:szCs w:val="16"/>
                <w:color w:val="auto"/>
              </w:rPr>
              <w:t>Fairfax Memorial Funeral Home, LLC</w:t>
            </w:r>
          </w:p>
        </w:tc>
        <w:tc>
          <w:tcPr>
            <w:tcW w:w="7560" w:type="dxa"/>
            <w:vAlign w:val="bottom"/>
          </w:tcPr>
          <w:p>
            <w:pPr>
              <w:jc w:val="center"/>
              <w:ind w:left="2761"/>
              <w:spacing w:after="0"/>
              <w:rPr>
                <w:sz w:val="20"/>
                <w:szCs w:val="20"/>
                <w:color w:val="auto"/>
              </w:rPr>
            </w:pPr>
            <w:r>
              <w:rPr>
                <w:rFonts w:ascii="Arial" w:cs="Arial" w:eastAsia="Arial" w:hAnsi="Arial"/>
                <w:sz w:val="16"/>
                <w:szCs w:val="16"/>
                <w:color w:val="auto"/>
                <w:w w:val="97"/>
              </w:rPr>
              <w:t>Virginia</w:t>
            </w:r>
          </w:p>
        </w:tc>
      </w:tr>
    </w:tbl>
    <w:p>
      <w:pPr>
        <w:sectPr>
          <w:pgSz w:w="11900" w:h="16838" w:orient="portrait"/>
          <w:cols w:equalWidth="0" w:num="1">
            <w:col w:w="11200"/>
          </w:cols>
          <w:pgMar w:left="360" w:top="87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200" w:lineRule="exact"/>
        <w:rPr>
          <w:sz w:val="20"/>
          <w:szCs w:val="20"/>
          <w:color w:val="auto"/>
        </w:rPr>
      </w:pPr>
    </w:p>
    <w:p>
      <w:pPr>
        <w:spacing w:after="0" w:line="3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have issued our reports dated March 2, 2022, with respect to the consolidated financial statements and internal control over financial reporting included in the Annual Report of Carriage Services, Inc. on Form10-K for the year ended December 31, 2021. We consent to the incorporation by reference of said reports in the Registration Statements of Carriage Services, Inc. on Form S-3 (File No. 333-238862) and on Forms S-8 (File No. 333-162408, File No. 333-181724, File No. 333-218115, File No. 333-225142 and File No. 333-262913).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/s/GRANT THORNTON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March 2, 2022</w:t>
      </w:r>
    </w:p>
    <w:p>
      <w:pPr>
        <w:sectPr>
          <w:pgSz w:w="11900" w:h="16838" w:orient="portrait"/>
          <w:cols w:equalWidth="0" w:num="1">
            <w:col w:w="11240"/>
          </w:cols>
          <w:pgMar w:left="320" w:top="87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Melvin C. Payne, certify that:</w:t>
      </w:r>
    </w:p>
    <w:p>
      <w:pPr>
        <w:spacing w:after="0" w:line="84" w:lineRule="exact"/>
        <w:rPr>
          <w:sz w:val="20"/>
          <w:szCs w:val="20"/>
          <w:color w:val="auto"/>
        </w:rPr>
      </w:pPr>
    </w:p>
    <w:p>
      <w:pPr>
        <w:ind w:left="1180" w:hanging="622"/>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 (the “registrant”);</w:t>
      </w:r>
    </w:p>
    <w:p>
      <w:pPr>
        <w:spacing w:after="0" w:line="82" w:lineRule="exact"/>
        <w:rPr>
          <w:rFonts w:ascii="Arial" w:cs="Arial" w:eastAsia="Arial" w:hAnsi="Arial"/>
          <w:sz w:val="18"/>
          <w:szCs w:val="18"/>
          <w:color w:val="auto"/>
        </w:rPr>
      </w:pPr>
    </w:p>
    <w:p>
      <w:pPr>
        <w:jc w:val="both"/>
        <w:ind w:left="1180" w:hanging="622"/>
        <w:spacing w:after="0" w:line="252"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8"/>
          <w:szCs w:val="18"/>
          <w:color w:val="auto"/>
        </w:rPr>
      </w:pPr>
    </w:p>
    <w:p>
      <w:pPr>
        <w:ind w:left="1180" w:hanging="622"/>
        <w:spacing w:after="0" w:line="324" w:lineRule="auto"/>
        <w:tabs>
          <w:tab w:leader="none" w:pos="11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jc w:val="both"/>
        <w:ind w:left="1180" w:hanging="622"/>
        <w:spacing w:after="0" w:line="282" w:lineRule="auto"/>
        <w:tabs>
          <w:tab w:leader="none" w:pos="11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2460" w:hanging="481"/>
        <w:spacing w:after="0" w:line="299" w:lineRule="auto"/>
        <w:tabs>
          <w:tab w:leader="none" w:pos="245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6"/>
          <w:szCs w:val="16"/>
          <w:color w:val="auto"/>
        </w:rPr>
      </w:pPr>
    </w:p>
    <w:p>
      <w:pPr>
        <w:jc w:val="both"/>
        <w:ind w:left="2460" w:hanging="481"/>
        <w:spacing w:after="0" w:line="299" w:lineRule="auto"/>
        <w:tabs>
          <w:tab w:leader="none" w:pos="24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6"/>
          <w:szCs w:val="16"/>
          <w:color w:val="auto"/>
        </w:rPr>
      </w:pPr>
    </w:p>
    <w:p>
      <w:pPr>
        <w:jc w:val="both"/>
        <w:ind w:left="2460" w:hanging="481"/>
        <w:spacing w:after="0" w:line="252" w:lineRule="auto"/>
        <w:tabs>
          <w:tab w:leader="none" w:pos="245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8"/>
          <w:szCs w:val="18"/>
          <w:color w:val="auto"/>
        </w:rPr>
      </w:pPr>
    </w:p>
    <w:p>
      <w:pPr>
        <w:jc w:val="both"/>
        <w:ind w:left="2460" w:hanging="481"/>
        <w:spacing w:after="0" w:line="299" w:lineRule="auto"/>
        <w:tabs>
          <w:tab w:leader="none" w:pos="24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6"/>
          <w:szCs w:val="16"/>
          <w:color w:val="auto"/>
        </w:rPr>
      </w:pPr>
    </w:p>
    <w:p>
      <w:pPr>
        <w:jc w:val="both"/>
        <w:ind w:left="1180" w:hanging="622"/>
        <w:spacing w:after="0" w:line="252"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8"/>
          <w:szCs w:val="18"/>
          <w:color w:val="auto"/>
        </w:rPr>
      </w:pPr>
    </w:p>
    <w:p>
      <w:pPr>
        <w:jc w:val="both"/>
        <w:ind w:left="2460" w:hanging="481"/>
        <w:spacing w:after="0" w:line="252" w:lineRule="auto"/>
        <w:tabs>
          <w:tab w:leader="none" w:pos="245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2460" w:hanging="481"/>
        <w:spacing w:after="0" w:line="261" w:lineRule="auto"/>
        <w:tabs>
          <w:tab w:leader="none" w:pos="24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Dated:   March 2, 2022</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Melvin C. Payne</w:t>
            </w:r>
          </w:p>
        </w:tc>
      </w:tr>
      <w:tr>
        <w:trPr>
          <w:trHeight w:val="217"/>
        </w:trPr>
        <w:tc>
          <w:tcPr>
            <w:tcW w:w="56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Melvin C. Payne</w:t>
            </w:r>
          </w:p>
        </w:tc>
      </w:tr>
      <w:tr>
        <w:trPr>
          <w:trHeight w:val="224"/>
        </w:trPr>
        <w:tc>
          <w:tcPr>
            <w:tcW w:w="56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w:t>
            </w:r>
          </w:p>
        </w:tc>
      </w:tr>
      <w:tr>
        <w:trPr>
          <w:trHeight w:val="224"/>
        </w:trPr>
        <w:tc>
          <w:tcPr>
            <w:tcW w:w="56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7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C. Benjamin Brink, certify that:</w:t>
      </w:r>
    </w:p>
    <w:p>
      <w:pPr>
        <w:spacing w:after="0" w:line="84" w:lineRule="exact"/>
        <w:rPr>
          <w:sz w:val="20"/>
          <w:szCs w:val="20"/>
          <w:color w:val="auto"/>
        </w:rPr>
      </w:pPr>
    </w:p>
    <w:p>
      <w:pPr>
        <w:ind w:left="1180" w:hanging="622"/>
        <w:spacing w:after="0"/>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 (the “registrant”);</w:t>
      </w:r>
    </w:p>
    <w:p>
      <w:pPr>
        <w:spacing w:after="0" w:line="82" w:lineRule="exact"/>
        <w:rPr>
          <w:rFonts w:ascii="Arial" w:cs="Arial" w:eastAsia="Arial" w:hAnsi="Arial"/>
          <w:sz w:val="18"/>
          <w:szCs w:val="18"/>
          <w:color w:val="auto"/>
        </w:rPr>
      </w:pPr>
    </w:p>
    <w:p>
      <w:pPr>
        <w:jc w:val="both"/>
        <w:ind w:left="1180" w:hanging="622"/>
        <w:spacing w:after="0" w:line="252" w:lineRule="auto"/>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8"/>
          <w:szCs w:val="18"/>
          <w:color w:val="auto"/>
        </w:rPr>
      </w:pPr>
    </w:p>
    <w:p>
      <w:pPr>
        <w:ind w:left="1180" w:hanging="622"/>
        <w:spacing w:after="0" w:line="324" w:lineRule="auto"/>
        <w:tabs>
          <w:tab w:leader="none" w:pos="11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jc w:val="both"/>
        <w:ind w:left="1180" w:hanging="622"/>
        <w:spacing w:after="0" w:line="282" w:lineRule="auto"/>
        <w:tabs>
          <w:tab w:leader="none" w:pos="11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2460" w:hanging="481"/>
        <w:spacing w:after="0" w:line="299" w:lineRule="auto"/>
        <w:tabs>
          <w:tab w:leader="none" w:pos="245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6"/>
          <w:szCs w:val="16"/>
          <w:color w:val="auto"/>
        </w:rPr>
      </w:pPr>
    </w:p>
    <w:p>
      <w:pPr>
        <w:jc w:val="both"/>
        <w:ind w:left="2460" w:hanging="481"/>
        <w:spacing w:after="0" w:line="299" w:lineRule="auto"/>
        <w:tabs>
          <w:tab w:leader="none" w:pos="2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6"/>
          <w:szCs w:val="16"/>
          <w:color w:val="auto"/>
        </w:rPr>
      </w:pPr>
    </w:p>
    <w:p>
      <w:pPr>
        <w:jc w:val="both"/>
        <w:ind w:left="2460" w:hanging="481"/>
        <w:spacing w:after="0" w:line="252" w:lineRule="auto"/>
        <w:tabs>
          <w:tab w:leader="none" w:pos="245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8"/>
          <w:szCs w:val="18"/>
          <w:color w:val="auto"/>
        </w:rPr>
      </w:pPr>
    </w:p>
    <w:p>
      <w:pPr>
        <w:jc w:val="both"/>
        <w:ind w:left="2460" w:hanging="481"/>
        <w:spacing w:after="0" w:line="299" w:lineRule="auto"/>
        <w:tabs>
          <w:tab w:leader="none" w:pos="24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6"/>
          <w:szCs w:val="16"/>
          <w:color w:val="auto"/>
        </w:rPr>
      </w:pPr>
    </w:p>
    <w:p>
      <w:pPr>
        <w:jc w:val="both"/>
        <w:ind w:left="1180" w:hanging="622"/>
        <w:spacing w:after="0" w:line="252" w:lineRule="auto"/>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8"/>
          <w:szCs w:val="18"/>
          <w:color w:val="auto"/>
        </w:rPr>
      </w:pPr>
    </w:p>
    <w:p>
      <w:pPr>
        <w:jc w:val="both"/>
        <w:ind w:left="2460" w:hanging="481"/>
        <w:spacing w:after="0" w:line="252" w:lineRule="auto"/>
        <w:tabs>
          <w:tab w:leader="none" w:pos="245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2460" w:hanging="481"/>
        <w:spacing w:after="0" w:line="261" w:lineRule="auto"/>
        <w:tabs>
          <w:tab w:leader="none" w:pos="24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4540" w:type="dxa"/>
            <w:vAlign w:val="bottom"/>
          </w:tcPr>
          <w:p>
            <w:pPr>
              <w:ind w:left="160"/>
              <w:spacing w:after="0"/>
              <w:rPr>
                <w:sz w:val="20"/>
                <w:szCs w:val="20"/>
                <w:color w:val="auto"/>
              </w:rPr>
            </w:pPr>
            <w:r>
              <w:rPr>
                <w:rFonts w:ascii="Arial" w:cs="Arial" w:eastAsia="Arial" w:hAnsi="Arial"/>
                <w:sz w:val="18"/>
                <w:szCs w:val="18"/>
                <w:color w:val="auto"/>
              </w:rPr>
              <w:t>March 2, 2022</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 Benjamin Brink</w:t>
            </w:r>
          </w:p>
        </w:tc>
      </w:tr>
      <w:tr>
        <w:trPr>
          <w:trHeight w:val="217"/>
        </w:trPr>
        <w:tc>
          <w:tcPr>
            <w:tcW w:w="6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 Benjamin Brink</w:t>
            </w:r>
          </w:p>
        </w:tc>
      </w:tr>
      <w:tr>
        <w:trPr>
          <w:trHeight w:val="224"/>
        </w:trPr>
        <w:tc>
          <w:tcPr>
            <w:tcW w:w="6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4"/>
        </w:trPr>
        <w:tc>
          <w:tcPr>
            <w:tcW w:w="6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7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Principal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 18 U.S.C. § 1350</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Carriage Services, Inc. (the “Company”), as filed with the Securities and Exchange Commission on the date hereof (the “Report”), Melvin C. Payne, Chief Executive Officer of the Company, and C. Benjamin Brink, Executive Vice President, Chief Financial Officer and Treasurer of the Company, each certify, pursuant to 18 U.S.C. Section 1350, as adopted pursuant to Section 906 of the Sarbanes-Oxley Act of 2002, that, to his knowledge:</w:t>
      </w:r>
    </w:p>
    <w:p>
      <w:pPr>
        <w:spacing w:after="0" w:line="190" w:lineRule="exact"/>
        <w:rPr>
          <w:sz w:val="20"/>
          <w:szCs w:val="20"/>
          <w:color w:val="auto"/>
        </w:rPr>
      </w:pPr>
    </w:p>
    <w:p>
      <w:pPr>
        <w:ind w:left="980" w:hanging="422"/>
        <w:spacing w:after="0"/>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7" w:lineRule="exact"/>
        <w:rPr>
          <w:rFonts w:ascii="Arial" w:cs="Arial" w:eastAsia="Arial" w:hAnsi="Arial"/>
          <w:sz w:val="16"/>
          <w:szCs w:val="16"/>
          <w:color w:val="auto"/>
        </w:rPr>
      </w:pPr>
    </w:p>
    <w:p>
      <w:pPr>
        <w:ind w:left="980" w:hanging="422"/>
        <w:spacing w:after="0"/>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Dated:</w:t>
            </w:r>
          </w:p>
        </w:tc>
        <w:tc>
          <w:tcPr>
            <w:tcW w:w="4480" w:type="dxa"/>
            <w:vAlign w:val="bottom"/>
          </w:tcPr>
          <w:p>
            <w:pPr>
              <w:ind w:left="160"/>
              <w:spacing w:after="0"/>
              <w:rPr>
                <w:sz w:val="20"/>
                <w:szCs w:val="20"/>
                <w:color w:val="auto"/>
              </w:rPr>
            </w:pPr>
            <w:r>
              <w:rPr>
                <w:rFonts w:ascii="Arial" w:cs="Arial" w:eastAsia="Arial" w:hAnsi="Arial"/>
                <w:sz w:val="18"/>
                <w:szCs w:val="18"/>
                <w:color w:val="auto"/>
              </w:rPr>
              <w:t>March 2, 2022</w:t>
            </w: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Melvin C. Payne</w:t>
            </w:r>
          </w:p>
        </w:tc>
      </w:tr>
      <w:tr>
        <w:trPr>
          <w:trHeight w:val="217"/>
        </w:trPr>
        <w:tc>
          <w:tcPr>
            <w:tcW w:w="6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Melvin C. Payne</w:t>
            </w:r>
          </w:p>
        </w:tc>
      </w:tr>
      <w:tr>
        <w:trPr>
          <w:trHeight w:val="224"/>
        </w:trPr>
        <w:tc>
          <w:tcPr>
            <w:tcW w:w="6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24"/>
        </w:trPr>
        <w:tc>
          <w:tcPr>
            <w:tcW w:w="6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5"/>
        </w:trPr>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Benjamin Brink</w:t>
            </w:r>
          </w:p>
        </w:tc>
      </w:tr>
      <w:tr>
        <w:trPr>
          <w:trHeight w:val="217"/>
        </w:trPr>
        <w:tc>
          <w:tcPr>
            <w:tcW w:w="6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 Benjamin Brink</w:t>
            </w:r>
          </w:p>
        </w:tc>
      </w:tr>
      <w:tr>
        <w:trPr>
          <w:trHeight w:val="224"/>
        </w:trPr>
        <w:tc>
          <w:tcPr>
            <w:tcW w:w="6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4"/>
        </w:trPr>
        <w:tc>
          <w:tcPr>
            <w:tcW w:w="6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decimal"/>
      <w:start w:val="2"/>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lowerLetter"/>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lowerRoman"/>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1)"/>
      <w:numFmt w:val="lowerLetter"/>
      <w:start w:val="1"/>
    </w:lvl>
  </w:abstractNum>
  <w:abstractNum w:abstractNumId="35">
    <w:nsid w:val="5DC79EA8"/>
    <w:multiLevelType w:val="hybridMultilevel"/>
    <w:lvl w:ilvl="0">
      <w:lvlJc w:val="left"/>
      <w:lvlText w:val="(%1)"/>
      <w:numFmt w:val="lowerLetter"/>
      <w:start w:val="4"/>
    </w:lvl>
  </w:abstractNum>
  <w:abstractNum w:abstractNumId="36">
    <w:nsid w:val="540A471C"/>
    <w:multiLevelType w:val="hybridMultilevel"/>
    <w:lvl w:ilvl="0">
      <w:lvlJc w:val="left"/>
      <w:lvlText w:val="(%1)"/>
      <w:numFmt w:val="lowerRoman"/>
      <w:start w:val="1"/>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1"/>
    </w:lvl>
    <w:lvl w:ilvl="1">
      <w:lvlJc w:val="left"/>
      <w:lvlText w:val="%2."/>
      <w:numFmt w:val="lowerRoman"/>
      <w:start w:val="2"/>
    </w:lvl>
  </w:abstractNum>
  <w:abstractNum w:abstractNumId="39">
    <w:nsid w:val="613EFDC5"/>
    <w:multiLevelType w:val="hybridMultilevel"/>
    <w:lvl w:ilvl="0">
      <w:lvlJc w:val="left"/>
      <w:lvlText w:val="(%1)"/>
      <w:numFmt w:val="lowerLetter"/>
      <w:start w:val="2"/>
    </w:lvl>
    <w:lvl w:ilvl="1">
      <w:lvlJc w:val="left"/>
      <w:lvlText w:val="%2"/>
      <w:numFmt w:val="lowerRoman"/>
      <w:start w:val="1"/>
    </w:lvl>
  </w:abstractNum>
  <w:abstractNum w:abstractNumId="40">
    <w:nsid w:val="BF72B14"/>
    <w:multiLevelType w:val="hybridMultilevel"/>
    <w:lvl w:ilvl="0">
      <w:lvlJc w:val="left"/>
      <w:lvlText w:val="(%1)"/>
      <w:numFmt w:val="lowerLetter"/>
      <w:start w:val="1"/>
    </w:lvl>
    <w:lvl w:ilvl="1">
      <w:lvlJc w:val="left"/>
      <w:lvlText w:val="%2."/>
      <w:numFmt w:val="lowerRoman"/>
      <w:start w:val="1"/>
    </w:lvl>
  </w:abstractNum>
  <w:abstractNum w:abstractNumId="41">
    <w:nsid w:val="11447B73"/>
    <w:multiLevelType w:val="hybridMultilevel"/>
    <w:lvl w:ilvl="0">
      <w:lvlJc w:val="left"/>
      <w:lvlText w:val="%1."/>
      <w:numFmt w:val="lowerRoman"/>
      <w:start w:val="4"/>
    </w:lvl>
  </w:abstractNum>
  <w:abstractNum w:abstractNumId="42">
    <w:nsid w:val="42963E5A"/>
    <w:multiLevelType w:val="hybridMultilevel"/>
    <w:lvl w:ilvl="0">
      <w:lvlJc w:val="left"/>
      <w:lvlText w:val="(%1)"/>
      <w:numFmt w:val="lowerLetter"/>
      <w:start w:val="2"/>
    </w:lvl>
  </w:abstractNum>
  <w:abstractNum w:abstractNumId="43">
    <w:nsid w:val="A0382C5"/>
    <w:multiLevelType w:val="hybridMultilevel"/>
    <w:lvl w:ilvl="0">
      <w:lvlJc w:val="left"/>
      <w:lvlText w:val="%1."/>
      <w:numFmt w:val="decimal"/>
      <w:start w:val="1"/>
    </w:lvl>
    <w:lvl w:ilvl="1">
      <w:lvlJc w:val="left"/>
      <w:lvlText w:val="%2."/>
      <w:numFmt w:val="upperLetter"/>
      <w:start w:val="1"/>
    </w:lvl>
  </w:abstractNum>
  <w:abstractNum w:abstractNumId="44">
    <w:nsid w:val="8F2B15E"/>
    <w:multiLevelType w:val="hybridMultilevel"/>
    <w:lvl w:ilvl="0">
      <w:lvlJc w:val="left"/>
      <w:lvlText w:val="%1."/>
      <w:numFmt w:val="decimal"/>
      <w:start w:val="4"/>
    </w:lvl>
  </w:abstractNum>
  <w:abstractNum w:abstractNumId="45">
    <w:nsid w:val="1A32234B"/>
    <w:multiLevelType w:val="hybridMultilevel"/>
    <w:lvl w:ilvl="0">
      <w:lvlJc w:val="left"/>
      <w:lvlText w:val="%1."/>
      <w:numFmt w:val="decimal"/>
      <w:start w:val="1"/>
    </w:lvl>
    <w:lvl w:ilvl="1">
      <w:lvlJc w:val="left"/>
      <w:lvlText w:val="(%2)"/>
      <w:numFmt w:val="lowerLetter"/>
      <w:start w:val="1"/>
    </w:lvl>
  </w:abstractNum>
  <w:abstractNum w:abstractNumId="46">
    <w:nsid w:val="3B0FD379"/>
    <w:multiLevelType w:val="hybridMultilevel"/>
    <w:lvl w:ilvl="0">
      <w:lvlJc w:val="left"/>
      <w:lvlText w:val="%1."/>
      <w:numFmt w:val="decimal"/>
      <w:start w:val="3"/>
    </w:lvl>
    <w:lvl w:ilvl="1">
      <w:lvlJc w:val="left"/>
      <w:lvlText w:val="(%2)"/>
      <w:numFmt w:val="lowerLetter"/>
      <w:start w:val="1"/>
    </w:lvl>
  </w:abstractNum>
  <w:abstractNum w:abstractNumId="47">
    <w:nsid w:val="68EB2F63"/>
    <w:multiLevelType w:val="hybridMultilevel"/>
    <w:lvl w:ilvl="0">
      <w:lvlJc w:val="left"/>
      <w:lvlText w:val="%1"/>
      <w:numFmt w:val="decimal"/>
      <w:start w:val="1"/>
    </w:lvl>
    <w:lvl w:ilvl="1">
      <w:lvlJc w:val="left"/>
      <w:lvlText w:val="(%2)"/>
      <w:numFmt w:val="lowerLetter"/>
      <w:start w:val="2"/>
    </w:lvl>
  </w:abstractNum>
  <w:abstractNum w:abstractNumId="48">
    <w:nsid w:val="4962813B"/>
    <w:multiLevelType w:val="hybridMultilevel"/>
    <w:lvl w:ilvl="0">
      <w:lvlJc w:val="left"/>
      <w:lvlText w:val="%1."/>
      <w:numFmt w:val="decimal"/>
      <w:start w:val="5"/>
    </w:lvl>
    <w:lvl w:ilvl="1">
      <w:lvlJc w:val="left"/>
      <w:lvlText w:val="(%2)"/>
      <w:numFmt w:val="lowerLetter"/>
      <w:start w:val="1"/>
    </w:lvl>
  </w:abstractNum>
  <w:abstractNum w:abstractNumId="49">
    <w:nsid w:val="60B6DF70"/>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0">
    <w:nsid w:val="6A5EE6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1">
    <w:nsid w:val="14330624"/>
    <w:multiLevelType w:val="hybridMultilevel"/>
    <w:lvl w:ilvl="0">
      <w:lvlJc w:val="left"/>
      <w:lvlText w:val="(%1)"/>
      <w:numFmt w:val="lowerLetter"/>
      <w:start w:val="2"/>
    </w:lvl>
    <w:lvl w:ilvl="1">
      <w:lvlJc w:val="left"/>
      <w:lvlText w:val="(%2)"/>
      <w:numFmt w:val="decimal"/>
      <w:start w:val="1"/>
    </w:lvl>
  </w:abstractNum>
  <w:abstractNum w:abstractNumId="52">
    <w:nsid w:val="7FFFCA11"/>
    <w:multiLevelType w:val="hybridMultilevel"/>
    <w:lvl w:ilvl="0">
      <w:lvlJc w:val="left"/>
      <w:lvlText w:val="(%1)"/>
      <w:numFmt w:val="decimal"/>
      <w:start w:val="2"/>
    </w:lvl>
  </w:abstractNum>
  <w:abstractNum w:abstractNumId="53">
    <w:nsid w:val="1A27709E"/>
    <w:multiLevelType w:val="hybridMultilevel"/>
    <w:lvl w:ilvl="0">
      <w:lvlJc w:val="left"/>
      <w:lvlText w:val="%1"/>
      <w:numFmt w:val="lowerLetter"/>
      <w:start w:val="1"/>
    </w:lvl>
    <w:lvl w:ilvl="1">
      <w:lvlJc w:val="left"/>
      <w:lvlText w:val="(%2)"/>
      <w:numFmt w:val="decimal"/>
      <w:start w:val="6"/>
    </w:lvl>
  </w:abstractNum>
  <w:abstractNum w:abstractNumId="54">
    <w:nsid w:val="71EA1109"/>
    <w:multiLevelType w:val="hybridMultilevel"/>
    <w:lvl w:ilvl="0">
      <w:lvlJc w:val="left"/>
      <w:lvlText w:val="(%1)"/>
      <w:numFmt w:val="lowerLetter"/>
      <w:start w:val="3"/>
    </w:lvl>
    <w:lvl w:ilvl="1">
      <w:lvlJc w:val="left"/>
      <w:lvlText w:val="%2"/>
      <w:numFmt w:val="decimal"/>
      <w:start w:val="1"/>
    </w:lvl>
  </w:abstractNum>
  <w:abstractNum w:abstractNumId="55">
    <w:nsid w:val="100F59DC"/>
    <w:multiLevelType w:val="hybridMultilevel"/>
    <w:lvl w:ilvl="0">
      <w:lvlJc w:val="left"/>
      <w:lvlText w:val="%1"/>
      <w:numFmt w:val="lowerLetter"/>
      <w:start w:val="1"/>
    </w:lvl>
    <w:lvl w:ilvl="1">
      <w:lvlJc w:val="left"/>
      <w:lvlText w:val="(%2)"/>
      <w:numFmt w:val="decimal"/>
      <w:start w:val="1"/>
    </w:lvl>
  </w:abstractNum>
  <w:abstractNum w:abstractNumId="56">
    <w:nsid w:val="7FB7E0AA"/>
    <w:multiLevelType w:val="hybridMultilevel"/>
    <w:lvl w:ilvl="0">
      <w:lvlJc w:val="left"/>
      <w:lvlText w:val="(%1)"/>
      <w:numFmt w:val="lowerLetter"/>
      <w:start w:val="4"/>
    </w:lvl>
    <w:lvl w:ilvl="1">
      <w:lvlJc w:val="left"/>
      <w:lvlText w:val="(%2)"/>
      <w:numFmt w:val="decimal"/>
      <w:start w:val="1"/>
    </w:lvl>
  </w:abstractNum>
  <w:abstractNum w:abstractNumId="57">
    <w:nsid w:val="6EB5BD4"/>
    <w:multiLevelType w:val="hybridMultilevel"/>
    <w:lvl w:ilvl="0">
      <w:lvlJc w:val="left"/>
      <w:lvlText w:val="(%1)"/>
      <w:numFmt w:val="lowerLetter"/>
      <w:start w:val="6"/>
    </w:lvl>
    <w:lvl w:ilvl="1">
      <w:lvlJc w:val="left"/>
      <w:lvlText w:val="(%2)"/>
      <w:numFmt w:val="decimal"/>
      <w:start w:val="1"/>
    </w:lvl>
  </w:abstractNum>
  <w:abstractNum w:abstractNumId="58">
    <w:nsid w:val="6F6DD9AC"/>
    <w:multiLevelType w:val="hybridMultilevel"/>
    <w:lvl w:ilvl="0">
      <w:lvlJc w:val="left"/>
      <w:lvlText w:val="%1"/>
      <w:numFmt w:val="upperLetter"/>
      <w:start w:val="1"/>
    </w:lvl>
    <w:lvl w:ilvl="1">
      <w:lvlJc w:val="left"/>
      <w:lvlText w:val="(%2)"/>
      <w:numFmt w:val="decimal"/>
      <w:start w:val="4"/>
    </w:lvl>
  </w:abstractNum>
  <w:abstractNum w:abstractNumId="59">
    <w:nsid w:val="94211F2"/>
    <w:multiLevelType w:val="hybridMultilevel"/>
    <w:lvl w:ilvl="0">
      <w:lvlJc w:val="left"/>
      <w:lvlText w:val="(%1)"/>
      <w:numFmt w:val="upperLetter"/>
      <w:start w:val="2"/>
    </w:lvl>
    <w:lvl w:ilvl="1">
      <w:lvlJc w:val="left"/>
      <w:lvlText w:val="%2"/>
      <w:numFmt w:val="decimal"/>
      <w:start w:val="1"/>
    </w:lvl>
  </w:abstractNum>
  <w:abstractNum w:abstractNumId="60">
    <w:nsid w:val="885E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6"/>
    </w:lvl>
  </w:abstractNum>
  <w:abstractNum w:abstractNumId="61">
    <w:nsid w:val="76272110"/>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62">
    <w:nsid w:val="4C04A8AF"/>
    <w:multiLevelType w:val="hybridMultilevel"/>
    <w:lvl w:ilvl="0">
      <w:lvlJc w:val="left"/>
      <w:lvlText w:val="(%1)"/>
      <w:numFmt w:val="lowerLetter"/>
      <w:start w:val="3"/>
    </w:lvl>
    <w:lvl w:ilvl="1">
      <w:lvlJc w:val="left"/>
      <w:lvlText w:val="(%2)"/>
      <w:numFmt w:val="decimal"/>
      <w:start w:val="1"/>
    </w:lvl>
  </w:abstractNum>
  <w:abstractNum w:abstractNumId="63">
    <w:nsid w:val="1716703B"/>
    <w:multiLevelType w:val="hybridMultilevel"/>
    <w:lvl w:ilvl="0">
      <w:lvlJc w:val="left"/>
      <w:lvlText w:val="%1."/>
      <w:numFmt w:val="decimal"/>
      <w:start w:val="11"/>
    </w:lvl>
    <w:lvl w:ilvl="1">
      <w:lvlJc w:val="left"/>
      <w:lvlText w:val="(%2)"/>
      <w:numFmt w:val="lowerLetter"/>
      <w:start w:val="1"/>
    </w:lvl>
  </w:abstractNum>
  <w:abstractNum w:abstractNumId="64">
    <w:nsid w:val="14E17E33"/>
    <w:multiLevelType w:val="hybridMultilevel"/>
    <w:lvl w:ilvl="0">
      <w:lvlJc w:val="left"/>
      <w:lvlText w:val="%1."/>
      <w:numFmt w:val="decimal"/>
      <w:start w:val="13"/>
    </w:lvl>
  </w:abstractNum>
  <w:abstractNum w:abstractNumId="65">
    <w:nsid w:val="3222E7CD"/>
    <w:multiLevelType w:val="hybridMultilevel"/>
    <w:lvl w:ilvl="0">
      <w:lvlJc w:val="left"/>
      <w:lvlText w:val="%1."/>
      <w:numFmt w:val="decimal"/>
      <w:start w:val="15"/>
    </w:lvl>
  </w:abstractNum>
  <w:abstractNum w:abstractNumId="66">
    <w:nsid w:val="74DE0EE3"/>
    <w:multiLevelType w:val="hybridMultilevel"/>
    <w:lvl w:ilvl="0">
      <w:lvlJc w:val="left"/>
      <w:lvlText w:val="%1."/>
      <w:numFmt w:val="decimal"/>
      <w:start w:val="20"/>
    </w:lvl>
  </w:abstractNum>
  <w:abstractNum w:abstractNumId="67">
    <w:nsid w:val="68EBC550"/>
    <w:multiLevelType w:val="hybridMultilevel"/>
    <w:lvl w:ilvl="0">
      <w:lvlJc w:val="left"/>
      <w:lvlText w:val="%1."/>
      <w:numFmt w:val="decimal"/>
      <w:start w:val="25"/>
    </w:lvl>
    <w:lvl w:ilvl="1">
      <w:lvlJc w:val="left"/>
      <w:lvlText w:val="(%2)"/>
      <w:numFmt w:val="lowerLetter"/>
      <w:start w:val="1"/>
    </w:lvl>
  </w:abstractNum>
  <w:abstractNum w:abstractNumId="68">
    <w:nsid w:val="2DF6D648"/>
    <w:multiLevelType w:val="hybridMultilevel"/>
    <w:lvl w:ilvl="0">
      <w:lvlJc w:val="left"/>
      <w:lvlText w:val="%1."/>
      <w:numFmt w:val="decimal"/>
      <w:start w:val="30"/>
    </w:lvl>
    <w:lvl w:ilvl="1">
      <w:lvlJc w:val="left"/>
      <w:lvlText w:val="(%2)"/>
      <w:numFmt w:val="lowerLetter"/>
      <w:start w:val="1"/>
    </w:lvl>
  </w:abstractNum>
  <w:abstractNum w:abstractNumId="69">
    <w:nsid w:val="46B7D447"/>
    <w:multiLevelType w:val="hybridMultilevel"/>
    <w:lvl w:ilvl="0">
      <w:lvlJc w:val="left"/>
      <w:lvlText w:val="%1."/>
      <w:numFmt w:val="decimal"/>
      <w:start w:val="34"/>
    </w:lvl>
  </w:abstractNum>
  <w:abstractNum w:abstractNumId="70">
    <w:nsid w:val="4A2AC315"/>
    <w:multiLevelType w:val="hybridMultilevel"/>
    <w:lvl w:ilvl="0">
      <w:lvlJc w:val="left"/>
      <w:lvlText w:val="(%1)"/>
      <w:numFmt w:val="lowerLetter"/>
      <w:start w:val="2"/>
    </w:lvl>
  </w:abstractNum>
  <w:abstractNum w:abstractNumId="71">
    <w:nsid w:val="39EE015C"/>
    <w:multiLevelType w:val="hybridMultilevel"/>
    <w:lvl w:ilvl="0">
      <w:lvlJc w:val="left"/>
      <w:lvlText w:val="%1."/>
      <w:numFmt w:val="decimal"/>
      <w:start w:val="35"/>
    </w:lvl>
  </w:abstractNum>
  <w:abstractNum w:abstractNumId="72">
    <w:nsid w:val="57FC4FBB"/>
    <w:multiLevelType w:val="hybridMultilevel"/>
    <w:lvl w:ilvl="0">
      <w:lvlJc w:val="left"/>
      <w:lvlText w:val="%1."/>
      <w:numFmt w:val="decimal"/>
      <w:start w:val="37"/>
    </w:lvl>
  </w:abstractNum>
  <w:abstractNum w:abstractNumId="73">
    <w:nsid w:val="CC1016F"/>
    <w:multiLevelType w:val="hybridMultilevel"/>
    <w:lvl w:ilvl="0">
      <w:lvlJc w:val="left"/>
      <w:lvlText w:val="%1."/>
      <w:numFmt w:val="decimal"/>
      <w:start w:val="2"/>
    </w:lvl>
  </w:abstractNum>
  <w:abstractNum w:abstractNumId="74">
    <w:nsid w:val="43F18422"/>
    <w:multiLevelType w:val="hybridMultilevel"/>
    <w:lvl w:ilvl="0">
      <w:lvlJc w:val="left"/>
      <w:lvlText w:val="%1."/>
      <w:numFmt w:val="decimal"/>
      <w:start w:val="1"/>
    </w:lvl>
    <w:lvl w:ilvl="1">
      <w:lvlJc w:val="left"/>
      <w:lvlText w:val="(%2)"/>
      <w:numFmt w:val="lowerLetter"/>
      <w:start w:val="1"/>
    </w:lvl>
  </w:abstractNum>
  <w:abstractNum w:abstractNumId="75">
    <w:nsid w:val="60EF0119"/>
    <w:multiLevelType w:val="hybridMultilevel"/>
    <w:lvl w:ilvl="0">
      <w:lvlJc w:val="left"/>
      <w:lvlText w:val="%1."/>
      <w:numFmt w:val="decimal"/>
      <w:start w:val="3"/>
    </w:lvl>
    <w:lvl w:ilvl="1">
      <w:lvlJc w:val="left"/>
      <w:lvlText w:val="(%2)"/>
      <w:numFmt w:val="lowerLetter"/>
      <w:start w:val="1"/>
    </w:lvl>
  </w:abstractNum>
  <w:abstractNum w:abstractNumId="76">
    <w:nsid w:val="26F324BA"/>
    <w:multiLevelType w:val="hybridMultilevel"/>
    <w:lvl w:ilvl="0">
      <w:lvlJc w:val="left"/>
      <w:lvlText w:val="%1"/>
      <w:numFmt w:val="decimal"/>
      <w:start w:val="1"/>
    </w:lvl>
    <w:lvl w:ilvl="1">
      <w:lvlJc w:val="left"/>
      <w:lvlText w:val="(%2)"/>
      <w:numFmt w:val="lowerLetter"/>
      <w:start w:val="2"/>
    </w:lvl>
  </w:abstractNum>
  <w:abstractNum w:abstractNumId="77">
    <w:nsid w:val="7F01579B"/>
    <w:multiLevelType w:val="hybridMultilevel"/>
    <w:lvl w:ilvl="0">
      <w:lvlJc w:val="left"/>
      <w:lvlText w:val="%1."/>
      <w:numFmt w:val="decimal"/>
      <w:start w:val="5"/>
    </w:lvl>
    <w:lvl w:ilvl="1">
      <w:lvlJc w:val="left"/>
      <w:lvlText w:val="(%2)"/>
      <w:numFmt w:val="lowerLetter"/>
      <w:start w:val="1"/>
    </w:lvl>
  </w:abstractNum>
  <w:abstractNum w:abstractNumId="78">
    <w:nsid w:val="49DA307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9">
    <w:nsid w:val="7055A5F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80">
    <w:nsid w:val="5FB8370B"/>
    <w:multiLevelType w:val="hybridMultilevel"/>
    <w:lvl w:ilvl="0">
      <w:lvlJc w:val="left"/>
      <w:lvlText w:val="(%1)"/>
      <w:numFmt w:val="lowerLetter"/>
      <w:start w:val="2"/>
    </w:lvl>
    <w:lvl w:ilvl="1">
      <w:lvlJc w:val="left"/>
      <w:lvlText w:val="(%2)"/>
      <w:numFmt w:val="decimal"/>
      <w:start w:val="1"/>
    </w:lvl>
  </w:abstractNum>
  <w:abstractNum w:abstractNumId="81">
    <w:nsid w:val="50801EE1"/>
    <w:multiLevelType w:val="hybridMultilevel"/>
    <w:lvl w:ilvl="0">
      <w:lvlJc w:val="left"/>
      <w:lvlText w:val="(%1)"/>
      <w:numFmt w:val="decimal"/>
      <w:start w:val="2"/>
    </w:lvl>
  </w:abstractNum>
  <w:abstractNum w:abstractNumId="82">
    <w:nsid w:val="488AC1A"/>
    <w:multiLevelType w:val="hybridMultilevel"/>
    <w:lvl w:ilvl="0">
      <w:lvlJc w:val="left"/>
      <w:lvlText w:val="%1"/>
      <w:numFmt w:val="lowerLetter"/>
      <w:start w:val="1"/>
    </w:lvl>
    <w:lvl w:ilvl="1">
      <w:lvlJc w:val="left"/>
      <w:lvlText w:val="(%2)"/>
      <w:numFmt w:val="decimal"/>
      <w:start w:val="6"/>
    </w:lvl>
  </w:abstractNum>
  <w:abstractNum w:abstractNumId="83">
    <w:nsid w:val="5FB8011C"/>
    <w:multiLevelType w:val="hybridMultilevel"/>
    <w:lvl w:ilvl="0">
      <w:lvlJc w:val="left"/>
      <w:lvlText w:val="(%1)"/>
      <w:numFmt w:val="lowerLetter"/>
      <w:start w:val="3"/>
    </w:lvl>
    <w:lvl w:ilvl="1">
      <w:lvlJc w:val="left"/>
      <w:lvlText w:val="%2"/>
      <w:numFmt w:val="decimal"/>
      <w:start w:val="1"/>
    </w:lvl>
  </w:abstractNum>
  <w:abstractNum w:abstractNumId="84">
    <w:nsid w:val="6AA78F7F"/>
    <w:multiLevelType w:val="hybridMultilevel"/>
    <w:lvl w:ilvl="0">
      <w:lvlJc w:val="left"/>
      <w:lvlText w:val="%1"/>
      <w:numFmt w:val="lowerLetter"/>
      <w:start w:val="1"/>
    </w:lvl>
    <w:lvl w:ilvl="1">
      <w:lvlJc w:val="left"/>
      <w:lvlText w:val="(%2)"/>
      <w:numFmt w:val="decimal"/>
      <w:start w:val="1"/>
    </w:lvl>
  </w:abstractNum>
  <w:abstractNum w:abstractNumId="85">
    <w:nsid w:val="7672BD23"/>
    <w:multiLevelType w:val="hybridMultilevel"/>
    <w:lvl w:ilvl="0">
      <w:lvlJc w:val="left"/>
      <w:lvlText w:val="(%1)"/>
      <w:numFmt w:val="lowerLetter"/>
      <w:start w:val="4"/>
    </w:lvl>
    <w:lvl w:ilvl="1">
      <w:lvlJc w:val="left"/>
      <w:lvlText w:val="(%2)"/>
      <w:numFmt w:val="decimal"/>
      <w:start w:val="1"/>
    </w:lvl>
  </w:abstractNum>
  <w:abstractNum w:abstractNumId="86">
    <w:nsid w:val="6FC75AF8"/>
    <w:multiLevelType w:val="hybridMultilevel"/>
    <w:lvl w:ilvl="0">
      <w:lvlJc w:val="left"/>
      <w:lvlText w:val="(%1)"/>
      <w:numFmt w:val="lowerLetter"/>
      <w:start w:val="6"/>
    </w:lvl>
    <w:lvl w:ilvl="1">
      <w:lvlJc w:val="left"/>
      <w:lvlText w:val="(%2)"/>
      <w:numFmt w:val="decimal"/>
      <w:start w:val="1"/>
    </w:lvl>
  </w:abstractNum>
  <w:abstractNum w:abstractNumId="87">
    <w:nsid w:val="6A5F7029"/>
    <w:multiLevelType w:val="hybridMultilevel"/>
    <w:lvl w:ilvl="0">
      <w:lvlJc w:val="left"/>
      <w:lvlText w:val="%1"/>
      <w:numFmt w:val="upperLetter"/>
      <w:start w:val="1"/>
    </w:lvl>
    <w:lvl w:ilvl="1">
      <w:lvlJc w:val="left"/>
      <w:lvlText w:val="(%2)"/>
      <w:numFmt w:val="decimal"/>
      <w:start w:val="4"/>
    </w:lvl>
  </w:abstractNum>
  <w:abstractNum w:abstractNumId="88">
    <w:nsid w:val="7D5E18F8"/>
    <w:multiLevelType w:val="hybridMultilevel"/>
    <w:lvl w:ilvl="0">
      <w:lvlJc w:val="left"/>
      <w:lvlText w:val="(%1)"/>
      <w:numFmt w:val="upperLetter"/>
      <w:start w:val="2"/>
    </w:lvl>
    <w:lvl w:ilvl="1">
      <w:lvlJc w:val="left"/>
      <w:lvlText w:val="%2"/>
      <w:numFmt w:val="decimal"/>
      <w:start w:val="1"/>
    </w:lvl>
  </w:abstractNum>
  <w:abstractNum w:abstractNumId="89">
    <w:nsid w:val="5F3534A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6"/>
    </w:lvl>
  </w:abstractNum>
  <w:abstractNum w:abstractNumId="90">
    <w:nsid w:val="73A1821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91">
    <w:nsid w:val="7DE67713"/>
    <w:multiLevelType w:val="hybridMultilevel"/>
    <w:lvl w:ilvl="0">
      <w:lvlJc w:val="left"/>
      <w:lvlText w:val="(%1)"/>
      <w:numFmt w:val="lowerLetter"/>
      <w:start w:val="3"/>
    </w:lvl>
    <w:lvl w:ilvl="1">
      <w:lvlJc w:val="left"/>
      <w:lvlText w:val="(%2)"/>
      <w:numFmt w:val="decimal"/>
      <w:start w:val="1"/>
    </w:lvl>
  </w:abstractNum>
  <w:abstractNum w:abstractNumId="92">
    <w:nsid w:val="555C55B5"/>
    <w:multiLevelType w:val="hybridMultilevel"/>
    <w:lvl w:ilvl="0">
      <w:lvlJc w:val="left"/>
      <w:lvlText w:val="%1."/>
      <w:numFmt w:val="decimal"/>
      <w:start w:val="11"/>
    </w:lvl>
    <w:lvl w:ilvl="1">
      <w:lvlJc w:val="left"/>
      <w:lvlText w:val="(%2)"/>
      <w:numFmt w:val="lowerLetter"/>
      <w:start w:val="1"/>
    </w:lvl>
  </w:abstractNum>
  <w:abstractNum w:abstractNumId="93">
    <w:nsid w:val="3FA62ACA"/>
    <w:multiLevelType w:val="hybridMultilevel"/>
    <w:lvl w:ilvl="0">
      <w:lvlJc w:val="left"/>
      <w:lvlText w:val="%1."/>
      <w:numFmt w:val="decimal"/>
      <w:start w:val="13"/>
    </w:lvl>
  </w:abstractNum>
  <w:abstractNum w:abstractNumId="94">
    <w:nsid w:val="14FCE74E"/>
    <w:multiLevelType w:val="hybridMultilevel"/>
    <w:lvl w:ilvl="0">
      <w:lvlJc w:val="left"/>
      <w:lvlText w:val="%1."/>
      <w:numFmt w:val="decimal"/>
      <w:start w:val="15"/>
    </w:lvl>
  </w:abstractNum>
  <w:abstractNum w:abstractNumId="95">
    <w:nsid w:val="6A3DD3E8"/>
    <w:multiLevelType w:val="hybridMultilevel"/>
    <w:lvl w:ilvl="0">
      <w:lvlJc w:val="left"/>
      <w:lvlText w:val="%1."/>
      <w:numFmt w:val="decimal"/>
      <w:start w:val="20"/>
    </w:lvl>
  </w:abstractNum>
  <w:abstractNum w:abstractNumId="96">
    <w:nsid w:val="71C91298"/>
    <w:multiLevelType w:val="hybridMultilevel"/>
    <w:lvl w:ilvl="0">
      <w:lvlJc w:val="left"/>
      <w:lvlText w:val="%1."/>
      <w:numFmt w:val="decimal"/>
      <w:start w:val="25"/>
    </w:lvl>
    <w:lvl w:ilvl="1">
      <w:lvlJc w:val="left"/>
      <w:lvlText w:val="(%2)"/>
      <w:numFmt w:val="lowerLetter"/>
      <w:start w:val="1"/>
    </w:lvl>
  </w:abstractNum>
  <w:abstractNum w:abstractNumId="97">
    <w:nsid w:val="9DAF632"/>
    <w:multiLevelType w:val="hybridMultilevel"/>
    <w:lvl w:ilvl="0">
      <w:lvlJc w:val="left"/>
      <w:lvlText w:val="%1."/>
      <w:numFmt w:val="decimal"/>
      <w:start w:val="30"/>
    </w:lvl>
    <w:lvl w:ilvl="1">
      <w:lvlJc w:val="left"/>
      <w:lvlText w:val="(%2)"/>
      <w:numFmt w:val="lowerLetter"/>
      <w:start w:val="1"/>
    </w:lvl>
  </w:abstractNum>
  <w:abstractNum w:abstractNumId="98">
    <w:nsid w:val="53299938"/>
    <w:multiLevelType w:val="hybridMultilevel"/>
    <w:lvl w:ilvl="0">
      <w:lvlJc w:val="left"/>
      <w:lvlText w:val="%1."/>
      <w:numFmt w:val="decimal"/>
      <w:start w:val="33"/>
    </w:lvl>
  </w:abstractNum>
  <w:abstractNum w:abstractNumId="99">
    <w:nsid w:val="1FBFE8E0"/>
    <w:multiLevelType w:val="hybridMultilevel"/>
    <w:lvl w:ilvl="0">
      <w:lvlJc w:val="left"/>
      <w:lvlText w:val="%1."/>
      <w:numFmt w:val="decimal"/>
      <w:start w:val="34"/>
    </w:lvl>
  </w:abstractNum>
  <w:abstractNum w:abstractNumId="100">
    <w:nsid w:val="5092CA79"/>
    <w:multiLevelType w:val="hybridMultilevel"/>
    <w:lvl w:ilvl="0">
      <w:lvlJc w:val="left"/>
      <w:lvlText w:val="(%1)"/>
      <w:numFmt w:val="lowerLetter"/>
      <w:start w:val="2"/>
    </w:lvl>
  </w:abstractNum>
  <w:abstractNum w:abstractNumId="101">
    <w:nsid w:val="1D545C4D"/>
    <w:multiLevelType w:val="hybridMultilevel"/>
    <w:lvl w:ilvl="0">
      <w:lvlJc w:val="left"/>
      <w:lvlText w:val="%1."/>
      <w:numFmt w:val="decimal"/>
      <w:start w:val="35"/>
    </w:lvl>
  </w:abstractNum>
  <w:abstractNum w:abstractNumId="102">
    <w:nsid w:val="59ADEA3D"/>
    <w:multiLevelType w:val="hybridMultilevel"/>
    <w:lvl w:ilvl="0">
      <w:lvlJc w:val="left"/>
      <w:lvlText w:val="%1."/>
      <w:numFmt w:val="decimal"/>
      <w:start w:val="37"/>
    </w:lvl>
  </w:abstractNum>
  <w:abstractNum w:abstractNumId="103">
    <w:nsid w:val="288F1A34"/>
    <w:multiLevelType w:val="hybridMultilevel"/>
    <w:lvl w:ilvl="0">
      <w:lvlJc w:val="left"/>
      <w:lvlText w:val="%1."/>
      <w:numFmt w:val="decimal"/>
      <w:start w:val="2"/>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3"/>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8"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155" Type="http://schemas.openxmlformats.org/officeDocument/2006/relationships/hyperlink" Target="http://www.sec.gov/Archives/edgar/data/1016281/0000890566-97-000478.txt" TargetMode="External"/><Relationship Id="rId156" Type="http://schemas.openxmlformats.org/officeDocument/2006/relationships/hyperlink" Target="http://www.sec.gov/Archives/edgar/data/1016281/0000890566-97-002454.txt" TargetMode="External"/><Relationship Id="rId157" Type="http://schemas.openxmlformats.org/officeDocument/2006/relationships/hyperlink" Target="http://www.sec.gov/Archives/edgar/data/1016281/000091205702031617/a2085940zex-1.htm" TargetMode="External"/><Relationship Id="rId159" Type="http://schemas.openxmlformats.org/officeDocument/2006/relationships/hyperlink" Target="https://www.sec.gov/ix?doc=/Archives/edgar/data/0001016281/000119312521160561/d535610d8k.htm" TargetMode="External"/><Relationship Id="rId160" Type="http://schemas.openxmlformats.org/officeDocument/2006/relationships/hyperlink" Target="http://www.sec.gov/Archives/edgar/data/1016281/000119312512341003/d377326dex101.htm" TargetMode="External"/><Relationship Id="rId161" Type="http://schemas.openxmlformats.org/officeDocument/2006/relationships/hyperlink" Target="http://www.sec.gov/Archives/edgar/data/1016281/000101628114000055/a1028firstamendmenttosecon.htm" TargetMode="External"/><Relationship Id="rId162" Type="http://schemas.openxmlformats.org/officeDocument/2006/relationships/hyperlink" Target="http://www.sec.gov/Archives/edgar/data/1016281/000101628113000112/a101amendedandrestatedcarr.htm" TargetMode="External"/><Relationship Id="rId163" Type="http://schemas.openxmlformats.org/officeDocument/2006/relationships/hyperlink" Target="http://www.sec.gov/Archives/edgar/data/1016281/000101628118000045/csv12312017proxy.htm" TargetMode="External"/><Relationship Id="rId164" Type="http://schemas.openxmlformats.org/officeDocument/2006/relationships/hyperlink" Target="https://www.sec.gov/Archives/edgar/data/0001016281/000119312521106515/d55684ddef14a.htm" TargetMode="External"/><Relationship Id="rId165" Type="http://schemas.openxmlformats.org/officeDocument/2006/relationships/hyperlink" Target="http://www.sec.gov/Archives/edgar/data/1016281/000101628117000047/csv12312016proxy.htm" TargetMode="External"/><Relationship Id="rId166" Type="http://schemas.openxmlformats.org/officeDocument/2006/relationships/hyperlink" Target="https://www.sec.gov/Archives/edgar/data/0001016281/000119312521106515/d55684ddef14a.htm#toc55684_50" TargetMode="External"/><Relationship Id="rId167" Type="http://schemas.openxmlformats.org/officeDocument/2006/relationships/hyperlink" Target="http://www.sec.gov/Archives/edgar/data/1016281/000091205701506194/a2043597zex-10_20.txt" TargetMode="External"/><Relationship Id="rId168" Type="http://schemas.openxmlformats.org/officeDocument/2006/relationships/hyperlink" Target="http://www.sec.gov/Archives/edgar/data/1016281/000101628113000089/a101incentivestockoptionag.htm" TargetMode="External"/><Relationship Id="rId169" Type="http://schemas.openxmlformats.org/officeDocument/2006/relationships/hyperlink" Target="http://www.sec.gov/Archives/edgar/data/1016281/000101628113000089/a102restrictedstockagreeme.htm" TargetMode="External"/><Relationship Id="rId170" Type="http://schemas.openxmlformats.org/officeDocument/2006/relationships/hyperlink" Target="http://www.sec.gov/Archives/edgar/data/1016281/000101628118000024/csv-ex1030x20171231x10k.htm" TargetMode="External"/><Relationship Id="rId171" Type="http://schemas.openxmlformats.org/officeDocument/2006/relationships/hyperlink" Target="http://www.sec.gov/Archives/edgar/data/1016281/000101628118000024/csv-ex1031x20171231x10k.htm" TargetMode="External"/><Relationship Id="rId174" Type="http://schemas.openxmlformats.org/officeDocument/2006/relationships/hyperlink" Target="http://www.sec.gov/Archives/edgar/data/1016281/000101628118000024/csv-ex1033x20171231x10k.htm" TargetMode="External"/><Relationship Id="rId175" Type="http://schemas.openxmlformats.org/officeDocument/2006/relationships/hyperlink" Target="http://www.sec.gov/Archives/edgar/data/1016281/000101628119000115/employmentagreementformpay.htm" TargetMode="External"/><Relationship Id="rId176" Type="http://schemas.openxmlformats.org/officeDocument/2006/relationships/hyperlink" Target="https://www.sec.gov/Archives/edgar/data/1016281/000101628121000042/a101melpaynefirstamendment.htm" TargetMode="External"/><Relationship Id="rId177" Type="http://schemas.openxmlformats.org/officeDocument/2006/relationships/hyperlink" Target="https://www.sec.gov/ix?doc=/Archives/edgar/data/0001016281/000101628121000112/csv-20210331.htm" TargetMode="External"/><Relationship Id="rId178" Type="http://schemas.openxmlformats.org/officeDocument/2006/relationships/hyperlink" Target="http://www.sec.gov/Archives/edgar/data/1016281/000101628119000115/employmentagreementforshaw.htm" TargetMode="External"/><Relationship Id="rId179" Type="http://schemas.openxmlformats.org/officeDocument/2006/relationships/hyperlink" Target="http://www.sec.gov/Archives/edgar/data/1016281/000101628119000115/employmentagreementforpaul.htm" TargetMode="External"/><Relationship Id="rId180" Type="http://schemas.openxmlformats.org/officeDocument/2006/relationships/hyperlink" Target="http://www.sec.gov/Archives/edgar/data/1016281/000101628119000115/employmentagreementforcarl.htm" TargetMode="External"/><Relationship Id="rId181" Type="http://schemas.openxmlformats.org/officeDocument/2006/relationships/hyperlink" Target="https://www.sec.gov/Archives/edgar/data/0001016281/000101628120000103/a8-kxmay202020xannualmeeti.htm" TargetMode="External"/><Relationship Id="rId182" Type="http://schemas.openxmlformats.org/officeDocument/2006/relationships/hyperlink" Target="https://www.sec.gov/ix?doc=/Archives/edgar/data/0001016281/000119312521338438/d114046d8k.htm" TargetMode="External"/><Relationship Id="rId183" Type="http://schemas.openxmlformats.org/officeDocument/2006/relationships/hyperlink" Target="https://www.sec.gov/Archives/edgar/data/1016281/000119312520240126/d35567dex101.htm" TargetMode="External"/><Relationship Id="rId186" Type="http://schemas.openxmlformats.org/officeDocument/2006/relationships/hyperlink" Target="https://www.sec.gov/ix?doc=/Archives/edgar/data/1016281/000101628121000071/csv-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2022-03-02T16:13:52Z</dcterms:created>
  <dcterms:modified xsi:type="dcterms:W3CDTF">2022-03-02T16:13:52Z</dcterms:modified>
</cp:coreProperties>
</file>